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40" w:rsidRPr="00304864" w:rsidRDefault="00AA2AD3" w:rsidP="00304864">
      <w:pPr>
        <w:pStyle w:val="Aufzhlung"/>
        <w:spacing w:after="120" w:line="240" w:lineRule="auto"/>
        <w:contextualSpacing w:val="0"/>
        <w:rPr>
          <w:rFonts w:cs="Arial"/>
          <w:sz w:val="22"/>
          <w:szCs w:val="22"/>
        </w:rPr>
      </w:pPr>
      <w:r>
        <w:rPr>
          <w:rFonts w:cs="Arial"/>
          <w:noProof/>
          <w:lang w:val="en-US" w:eastAsia="en-US"/>
        </w:rPr>
        <w:drawing>
          <wp:anchor distT="0" distB="0" distL="114300" distR="114300" simplePos="0" relativeHeight="251657728" behindDoc="0" locked="0" layoutInCell="1" allowOverlap="1">
            <wp:simplePos x="0" y="0"/>
            <wp:positionH relativeFrom="column">
              <wp:posOffset>1825625</wp:posOffset>
            </wp:positionH>
            <wp:positionV relativeFrom="paragraph">
              <wp:posOffset>-65405</wp:posOffset>
            </wp:positionV>
            <wp:extent cx="2552700" cy="1066800"/>
            <wp:effectExtent l="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1066800"/>
                    </a:xfrm>
                    <a:prstGeom prst="rect">
                      <a:avLst/>
                    </a:prstGeom>
                    <a:noFill/>
                  </pic:spPr>
                </pic:pic>
              </a:graphicData>
            </a:graphic>
          </wp:anchor>
        </w:drawing>
      </w:r>
    </w:p>
    <w:p w:rsidR="00DF4E40" w:rsidRPr="00304864" w:rsidRDefault="00DF4E40" w:rsidP="00304864">
      <w:pPr>
        <w:rPr>
          <w:rFonts w:ascii="Arial" w:hAnsi="Arial" w:cs="Arial"/>
          <w:sz w:val="22"/>
          <w:szCs w:val="22"/>
        </w:rPr>
      </w:pPr>
    </w:p>
    <w:p w:rsidR="00DF4E40" w:rsidRPr="00304864" w:rsidRDefault="00DF4E40" w:rsidP="00304864">
      <w:pPr>
        <w:rPr>
          <w:rFonts w:ascii="Arial" w:hAnsi="Arial" w:cs="Arial"/>
          <w:sz w:val="22"/>
          <w:szCs w:val="22"/>
        </w:rPr>
      </w:pPr>
    </w:p>
    <w:p w:rsidR="00DF4E40" w:rsidRPr="00304864" w:rsidRDefault="00DF4E40" w:rsidP="00304864">
      <w:pPr>
        <w:rPr>
          <w:rFonts w:ascii="Arial" w:hAnsi="Arial" w:cs="Arial"/>
          <w:color w:val="002060"/>
          <w:sz w:val="22"/>
          <w:szCs w:val="22"/>
        </w:rPr>
      </w:pPr>
    </w:p>
    <w:p w:rsidR="00DF4E40" w:rsidRDefault="00DF4E40" w:rsidP="00304864">
      <w:pPr>
        <w:jc w:val="center"/>
        <w:rPr>
          <w:rFonts w:ascii="Arial" w:hAnsi="Arial" w:cs="Arial"/>
          <w:b/>
          <w:color w:val="002060"/>
          <w:sz w:val="22"/>
          <w:szCs w:val="22"/>
        </w:rPr>
      </w:pPr>
    </w:p>
    <w:p w:rsidR="00B74FFA" w:rsidRDefault="00B74FFA" w:rsidP="00304864">
      <w:pPr>
        <w:jc w:val="center"/>
        <w:rPr>
          <w:rFonts w:ascii="Arial" w:hAnsi="Arial" w:cs="Arial"/>
          <w:b/>
          <w:color w:val="002060"/>
          <w:sz w:val="22"/>
          <w:szCs w:val="22"/>
        </w:rPr>
      </w:pPr>
    </w:p>
    <w:p w:rsidR="00BE016B" w:rsidRDefault="00BE016B" w:rsidP="00304864">
      <w:pPr>
        <w:jc w:val="center"/>
        <w:rPr>
          <w:rFonts w:ascii="Arial" w:hAnsi="Arial" w:cs="Arial"/>
          <w:b/>
          <w:color w:val="002060"/>
          <w:sz w:val="22"/>
          <w:szCs w:val="22"/>
        </w:rPr>
      </w:pPr>
    </w:p>
    <w:p w:rsidR="00B74FFA" w:rsidRDefault="00B74FFA" w:rsidP="00304864">
      <w:pPr>
        <w:jc w:val="center"/>
        <w:rPr>
          <w:rFonts w:ascii="Arial" w:hAnsi="Arial" w:cs="Arial"/>
          <w:b/>
          <w:color w:val="002060"/>
          <w:sz w:val="22"/>
          <w:szCs w:val="22"/>
        </w:rPr>
      </w:pPr>
    </w:p>
    <w:p w:rsidR="00B74FFA" w:rsidRPr="00304864" w:rsidRDefault="00B74FFA" w:rsidP="00304864">
      <w:pPr>
        <w:jc w:val="center"/>
        <w:rPr>
          <w:rFonts w:ascii="Arial" w:hAnsi="Arial" w:cs="Arial"/>
          <w:b/>
          <w:color w:val="002060"/>
          <w:sz w:val="22"/>
          <w:szCs w:val="22"/>
        </w:rPr>
      </w:pPr>
    </w:p>
    <w:p w:rsidR="00DF4E40" w:rsidRPr="00304864" w:rsidRDefault="00DF4E40" w:rsidP="00304864">
      <w:pPr>
        <w:jc w:val="center"/>
        <w:rPr>
          <w:rFonts w:ascii="Arial" w:hAnsi="Arial" w:cs="Arial"/>
          <w:b/>
          <w:color w:val="002060"/>
          <w:sz w:val="36"/>
          <w:szCs w:val="36"/>
        </w:rPr>
      </w:pPr>
      <w:r w:rsidRPr="00304864">
        <w:rPr>
          <w:rFonts w:ascii="Arial" w:hAnsi="Arial" w:cs="Arial"/>
          <w:b/>
          <w:color w:val="002060"/>
          <w:sz w:val="36"/>
          <w:szCs w:val="36"/>
        </w:rPr>
        <w:t>European Territorial Cooperation</w:t>
      </w:r>
    </w:p>
    <w:p w:rsidR="00DF4E40" w:rsidRPr="00304864" w:rsidRDefault="00DF4E40" w:rsidP="00304864">
      <w:pPr>
        <w:jc w:val="center"/>
        <w:rPr>
          <w:rFonts w:ascii="Arial" w:hAnsi="Arial" w:cs="Arial"/>
          <w:b/>
          <w:color w:val="002060"/>
          <w:sz w:val="36"/>
          <w:szCs w:val="36"/>
        </w:rPr>
      </w:pPr>
    </w:p>
    <w:p w:rsidR="00DF4E40" w:rsidRPr="00304864" w:rsidRDefault="00DF4E40" w:rsidP="00304864">
      <w:pPr>
        <w:tabs>
          <w:tab w:val="left" w:pos="7513"/>
        </w:tabs>
        <w:jc w:val="center"/>
        <w:rPr>
          <w:rFonts w:ascii="Arial" w:hAnsi="Arial" w:cs="Arial"/>
          <w:b/>
          <w:color w:val="002060"/>
          <w:sz w:val="36"/>
          <w:szCs w:val="36"/>
        </w:rPr>
      </w:pPr>
    </w:p>
    <w:p w:rsidR="00DF4E40" w:rsidRPr="003634BE" w:rsidRDefault="00DF4E40" w:rsidP="00304864">
      <w:pPr>
        <w:tabs>
          <w:tab w:val="left" w:pos="7513"/>
        </w:tabs>
        <w:jc w:val="center"/>
        <w:rPr>
          <w:rFonts w:ascii="Arial" w:hAnsi="Arial" w:cs="Arial"/>
          <w:b/>
          <w:color w:val="002060"/>
          <w:sz w:val="36"/>
          <w:szCs w:val="36"/>
          <w:lang w:val="en-US"/>
        </w:rPr>
      </w:pPr>
      <w:r w:rsidRPr="003634BE">
        <w:rPr>
          <w:rFonts w:ascii="Arial" w:hAnsi="Arial" w:cs="Arial"/>
          <w:b/>
          <w:color w:val="002060"/>
          <w:sz w:val="36"/>
          <w:szCs w:val="36"/>
          <w:lang w:val="en-US"/>
        </w:rPr>
        <w:t xml:space="preserve">ADRION </w:t>
      </w:r>
    </w:p>
    <w:p w:rsidR="00DF4E40" w:rsidRPr="003634BE" w:rsidRDefault="00DF4E40" w:rsidP="00304864">
      <w:pPr>
        <w:tabs>
          <w:tab w:val="left" w:pos="7513"/>
        </w:tabs>
        <w:jc w:val="center"/>
        <w:rPr>
          <w:rFonts w:ascii="Arial" w:hAnsi="Arial" w:cs="Arial"/>
          <w:b/>
          <w:color w:val="002060"/>
          <w:sz w:val="36"/>
          <w:szCs w:val="36"/>
          <w:lang w:val="en-US"/>
        </w:rPr>
      </w:pPr>
    </w:p>
    <w:p w:rsidR="00DF4E40" w:rsidRPr="003634BE" w:rsidRDefault="00DF4E40" w:rsidP="00304864">
      <w:pPr>
        <w:tabs>
          <w:tab w:val="left" w:pos="7513"/>
        </w:tabs>
        <w:jc w:val="center"/>
        <w:rPr>
          <w:rFonts w:ascii="Arial" w:hAnsi="Arial" w:cs="Arial"/>
          <w:b/>
          <w:color w:val="002060"/>
          <w:sz w:val="36"/>
          <w:szCs w:val="36"/>
          <w:lang w:val="en-US"/>
        </w:rPr>
      </w:pPr>
    </w:p>
    <w:p w:rsidR="00DF4E40" w:rsidRPr="003634BE" w:rsidRDefault="00DF4E40" w:rsidP="00304864">
      <w:pPr>
        <w:tabs>
          <w:tab w:val="left" w:pos="7513"/>
        </w:tabs>
        <w:jc w:val="center"/>
        <w:rPr>
          <w:rFonts w:ascii="Arial" w:hAnsi="Arial" w:cs="Arial"/>
          <w:b/>
          <w:color w:val="002060"/>
          <w:sz w:val="36"/>
          <w:szCs w:val="36"/>
          <w:lang w:val="en-US"/>
        </w:rPr>
      </w:pPr>
      <w:r w:rsidRPr="003634BE">
        <w:rPr>
          <w:rFonts w:ascii="Arial" w:hAnsi="Arial" w:cs="Arial"/>
          <w:b/>
          <w:color w:val="002060"/>
          <w:sz w:val="36"/>
          <w:szCs w:val="36"/>
          <w:lang w:val="en-US"/>
        </w:rPr>
        <w:t xml:space="preserve">Interreg V-B </w:t>
      </w:r>
    </w:p>
    <w:p w:rsidR="00DF4E40" w:rsidRPr="003634BE" w:rsidRDefault="00DF4E40" w:rsidP="00304864">
      <w:pPr>
        <w:tabs>
          <w:tab w:val="left" w:pos="7513"/>
        </w:tabs>
        <w:jc w:val="center"/>
        <w:rPr>
          <w:rFonts w:ascii="Arial" w:hAnsi="Arial" w:cs="Arial"/>
          <w:b/>
          <w:color w:val="002060"/>
          <w:sz w:val="36"/>
          <w:szCs w:val="36"/>
          <w:lang w:val="en-US"/>
        </w:rPr>
      </w:pPr>
      <w:r w:rsidRPr="003634BE">
        <w:rPr>
          <w:rFonts w:ascii="Arial" w:hAnsi="Arial" w:cs="Arial"/>
          <w:b/>
          <w:color w:val="002060"/>
          <w:sz w:val="36"/>
          <w:szCs w:val="36"/>
          <w:lang w:val="en-US"/>
        </w:rPr>
        <w:t xml:space="preserve">ADRIATIC-IONIAN </w:t>
      </w:r>
    </w:p>
    <w:p w:rsidR="00DF4E40" w:rsidRPr="00304864" w:rsidRDefault="00DF4E40" w:rsidP="00304864">
      <w:pPr>
        <w:tabs>
          <w:tab w:val="left" w:pos="7513"/>
        </w:tabs>
        <w:jc w:val="center"/>
        <w:rPr>
          <w:rFonts w:ascii="Arial" w:hAnsi="Arial" w:cs="Arial"/>
          <w:b/>
          <w:color w:val="002060"/>
          <w:sz w:val="36"/>
          <w:szCs w:val="36"/>
        </w:rPr>
      </w:pPr>
      <w:r w:rsidRPr="00304864">
        <w:rPr>
          <w:rFonts w:ascii="Arial" w:hAnsi="Arial" w:cs="Arial"/>
          <w:b/>
          <w:color w:val="002060"/>
          <w:sz w:val="36"/>
          <w:szCs w:val="36"/>
        </w:rPr>
        <w:t>COOPERATION PROGRAMME</w:t>
      </w:r>
    </w:p>
    <w:p w:rsidR="00DF4E40" w:rsidRPr="00304864" w:rsidRDefault="00DF4E40" w:rsidP="00304864">
      <w:pPr>
        <w:tabs>
          <w:tab w:val="left" w:pos="7513"/>
        </w:tabs>
        <w:jc w:val="center"/>
        <w:rPr>
          <w:rFonts w:ascii="Arial" w:hAnsi="Arial" w:cs="Arial"/>
          <w:b/>
          <w:color w:val="002060"/>
          <w:sz w:val="36"/>
          <w:szCs w:val="36"/>
        </w:rPr>
      </w:pPr>
      <w:r w:rsidRPr="00304864">
        <w:rPr>
          <w:rFonts w:ascii="Arial" w:hAnsi="Arial" w:cs="Arial"/>
          <w:b/>
          <w:color w:val="002060"/>
          <w:sz w:val="36"/>
          <w:szCs w:val="36"/>
        </w:rPr>
        <w:t>2014-2020</w:t>
      </w:r>
    </w:p>
    <w:p w:rsidR="00DF4E40" w:rsidRPr="00304864" w:rsidRDefault="00DF4E40" w:rsidP="00304864">
      <w:pPr>
        <w:tabs>
          <w:tab w:val="left" w:pos="7513"/>
        </w:tabs>
        <w:rPr>
          <w:rFonts w:ascii="Arial" w:hAnsi="Arial" w:cs="Arial"/>
          <w:color w:val="002060"/>
          <w:sz w:val="22"/>
          <w:szCs w:val="22"/>
        </w:rPr>
      </w:pPr>
    </w:p>
    <w:p w:rsidR="00DF4E40" w:rsidRPr="00304864" w:rsidRDefault="00DF4E40" w:rsidP="00304864">
      <w:pPr>
        <w:tabs>
          <w:tab w:val="left" w:pos="7513"/>
        </w:tabs>
        <w:rPr>
          <w:rFonts w:ascii="Arial" w:hAnsi="Arial" w:cs="Arial"/>
          <w:color w:val="002060"/>
          <w:sz w:val="22"/>
          <w:szCs w:val="22"/>
        </w:rPr>
      </w:pPr>
    </w:p>
    <w:p w:rsidR="00DF4E40" w:rsidRPr="00304864" w:rsidRDefault="00415612" w:rsidP="00304864">
      <w:pPr>
        <w:tabs>
          <w:tab w:val="left" w:pos="7513"/>
        </w:tabs>
        <w:jc w:val="center"/>
        <w:rPr>
          <w:rFonts w:ascii="Arial" w:hAnsi="Arial" w:cs="Arial"/>
          <w:b/>
          <w:noProof/>
          <w:color w:val="002060"/>
          <w:sz w:val="22"/>
          <w:szCs w:val="22"/>
          <w:lang w:eastAsia="it-IT"/>
        </w:rPr>
      </w:pPr>
      <w:r>
        <w:rPr>
          <w:rFonts w:ascii="Arial" w:hAnsi="Arial" w:cs="Arial"/>
          <w:b/>
          <w:noProof/>
          <w:color w:val="002060"/>
          <w:sz w:val="22"/>
          <w:szCs w:val="22"/>
          <w:lang w:eastAsia="it-IT"/>
        </w:rPr>
        <w:t>3</w:t>
      </w:r>
      <w:r w:rsidRPr="00C558E2">
        <w:rPr>
          <w:rFonts w:ascii="Arial" w:hAnsi="Arial" w:cs="Arial"/>
          <w:b/>
          <w:noProof/>
          <w:color w:val="002060"/>
          <w:sz w:val="22"/>
          <w:szCs w:val="22"/>
          <w:vertAlign w:val="superscript"/>
          <w:lang w:eastAsia="it-IT"/>
        </w:rPr>
        <w:t>rd</w:t>
      </w:r>
      <w:r w:rsidR="00DF4E40" w:rsidRPr="007549AE">
        <w:rPr>
          <w:rFonts w:ascii="Arial" w:hAnsi="Arial" w:cs="Arial"/>
          <w:b/>
          <w:noProof/>
          <w:color w:val="002060"/>
          <w:sz w:val="22"/>
          <w:szCs w:val="22"/>
          <w:lang w:eastAsia="it-IT"/>
        </w:rPr>
        <w:t>amendment</w:t>
      </w:r>
      <w:r w:rsidR="00DF4E40" w:rsidRPr="00304864">
        <w:rPr>
          <w:rFonts w:ascii="Arial" w:hAnsi="Arial" w:cs="Arial"/>
          <w:b/>
          <w:noProof/>
          <w:color w:val="002060"/>
          <w:sz w:val="22"/>
          <w:szCs w:val="22"/>
          <w:lang w:eastAsia="it-IT"/>
        </w:rPr>
        <w:t xml:space="preserve"> after </w:t>
      </w:r>
      <w:r w:rsidR="008772FE">
        <w:rPr>
          <w:rFonts w:ascii="Arial" w:hAnsi="Arial" w:cs="Arial"/>
          <w:b/>
          <w:noProof/>
          <w:color w:val="002060"/>
          <w:sz w:val="22"/>
          <w:szCs w:val="22"/>
          <w:lang w:eastAsia="it-IT"/>
        </w:rPr>
        <w:t>c</w:t>
      </w:r>
      <w:r w:rsidR="00DF4E40" w:rsidRPr="00304864">
        <w:rPr>
          <w:rFonts w:ascii="Arial" w:hAnsi="Arial" w:cs="Arial"/>
          <w:b/>
          <w:noProof/>
          <w:color w:val="002060"/>
          <w:sz w:val="22"/>
          <w:szCs w:val="22"/>
          <w:lang w:eastAsia="it-IT"/>
        </w:rPr>
        <w:t xml:space="preserve">ooperation </w:t>
      </w:r>
      <w:r w:rsidR="008772FE">
        <w:rPr>
          <w:rFonts w:ascii="Arial" w:hAnsi="Arial" w:cs="Arial"/>
          <w:b/>
          <w:noProof/>
          <w:color w:val="002060"/>
          <w:sz w:val="22"/>
          <w:szCs w:val="22"/>
          <w:lang w:eastAsia="it-IT"/>
        </w:rPr>
        <w:t>p</w:t>
      </w:r>
      <w:r w:rsidR="00DF4E40" w:rsidRPr="00304864">
        <w:rPr>
          <w:rFonts w:ascii="Arial" w:hAnsi="Arial" w:cs="Arial"/>
          <w:b/>
          <w:noProof/>
          <w:color w:val="002060"/>
          <w:sz w:val="22"/>
          <w:szCs w:val="22"/>
          <w:lang w:eastAsia="it-IT"/>
        </w:rPr>
        <w:t xml:space="preserve">rogramme submission </w:t>
      </w:r>
    </w:p>
    <w:p w:rsidR="00DF4E40" w:rsidRPr="00304864" w:rsidRDefault="00DF4E40" w:rsidP="00304864">
      <w:pPr>
        <w:tabs>
          <w:tab w:val="left" w:pos="7513"/>
        </w:tabs>
        <w:jc w:val="center"/>
        <w:rPr>
          <w:rFonts w:ascii="Arial" w:hAnsi="Arial" w:cs="Arial"/>
          <w:b/>
          <w:noProof/>
          <w:color w:val="002060"/>
          <w:sz w:val="22"/>
          <w:szCs w:val="22"/>
          <w:lang w:eastAsia="it-IT"/>
        </w:rPr>
      </w:pPr>
      <w:r w:rsidRPr="00304864">
        <w:rPr>
          <w:rFonts w:ascii="Arial" w:hAnsi="Arial" w:cs="Arial"/>
          <w:b/>
          <w:noProof/>
          <w:color w:val="002060"/>
          <w:sz w:val="22"/>
          <w:szCs w:val="22"/>
          <w:lang w:eastAsia="it-IT"/>
        </w:rPr>
        <w:t>to the European Commission</w:t>
      </w:r>
    </w:p>
    <w:p w:rsidR="00DF4E40" w:rsidRPr="00AA3E9A" w:rsidRDefault="00674CA9" w:rsidP="00304864">
      <w:pPr>
        <w:tabs>
          <w:tab w:val="left" w:pos="7513"/>
        </w:tabs>
        <w:jc w:val="center"/>
        <w:rPr>
          <w:rFonts w:ascii="Arial" w:hAnsi="Arial" w:cs="Arial"/>
          <w:b/>
          <w:noProof/>
          <w:color w:val="002060"/>
          <w:sz w:val="22"/>
          <w:szCs w:val="22"/>
          <w:lang w:eastAsia="it-IT"/>
        </w:rPr>
      </w:pPr>
      <w:r>
        <w:rPr>
          <w:rFonts w:ascii="Arial" w:hAnsi="Arial" w:cs="Arial"/>
          <w:b/>
          <w:noProof/>
          <w:color w:val="002060"/>
          <w:sz w:val="22"/>
          <w:szCs w:val="22"/>
          <w:lang w:eastAsia="it-IT"/>
        </w:rPr>
        <w:t>28</w:t>
      </w:r>
      <w:r w:rsidR="00415612">
        <w:rPr>
          <w:rFonts w:ascii="Arial" w:hAnsi="Arial" w:cs="Arial"/>
          <w:b/>
          <w:noProof/>
          <w:color w:val="002060"/>
          <w:sz w:val="22"/>
          <w:szCs w:val="22"/>
          <w:lang w:eastAsia="it-IT"/>
        </w:rPr>
        <w:t xml:space="preserve"> August</w:t>
      </w:r>
      <w:r w:rsidR="00DF4E40" w:rsidRPr="005709F9">
        <w:rPr>
          <w:rFonts w:ascii="Arial" w:hAnsi="Arial" w:cs="Arial"/>
          <w:b/>
          <w:noProof/>
          <w:color w:val="002060"/>
          <w:sz w:val="22"/>
          <w:szCs w:val="22"/>
          <w:lang w:eastAsia="it-IT"/>
        </w:rPr>
        <w:t xml:space="preserve"> 2015</w:t>
      </w:r>
    </w:p>
    <w:p w:rsidR="00DF4E40" w:rsidRPr="00304864" w:rsidRDefault="00DF4E40" w:rsidP="00AA3E9A">
      <w:pPr>
        <w:jc w:val="center"/>
        <w:rPr>
          <w:rFonts w:ascii="Arial" w:hAnsi="Arial" w:cs="Arial"/>
          <w:noProof/>
          <w:color w:val="002060"/>
          <w:sz w:val="22"/>
          <w:szCs w:val="22"/>
          <w:lang w:eastAsia="it-IT"/>
        </w:rPr>
      </w:pPr>
    </w:p>
    <w:p w:rsidR="00DF4E40" w:rsidRPr="00304864" w:rsidRDefault="00DF4E40">
      <w:pPr>
        <w:jc w:val="center"/>
        <w:rPr>
          <w:rFonts w:ascii="Arial" w:hAnsi="Arial" w:cs="Arial"/>
          <w:color w:val="002060"/>
          <w:sz w:val="22"/>
          <w:szCs w:val="22"/>
        </w:rPr>
      </w:pPr>
    </w:p>
    <w:p w:rsidR="00DF4E40" w:rsidRPr="00304864" w:rsidRDefault="00DF4E40">
      <w:pPr>
        <w:rPr>
          <w:rFonts w:ascii="Arial" w:hAnsi="Arial" w:cs="Arial"/>
          <w:color w:val="002060"/>
          <w:sz w:val="22"/>
          <w:szCs w:val="22"/>
        </w:rPr>
      </w:pPr>
    </w:p>
    <w:p w:rsidR="00DF4E40" w:rsidRPr="00AA3E9A" w:rsidRDefault="00AA2AD3">
      <w:pPr>
        <w:jc w:val="center"/>
        <w:rPr>
          <w:rFonts w:ascii="Arial" w:hAnsi="Arial" w:cs="Arial"/>
          <w:b/>
          <w:i/>
          <w:color w:val="002060"/>
          <w:sz w:val="22"/>
          <w:szCs w:val="22"/>
        </w:rPr>
      </w:pPr>
      <w:r>
        <w:rPr>
          <w:rFonts w:ascii="Arial" w:hAnsi="Arial" w:cs="Arial"/>
          <w:b/>
          <w:i/>
          <w:noProof/>
          <w:color w:val="002060"/>
          <w:sz w:val="22"/>
          <w:szCs w:val="22"/>
          <w:lang w:val="en-US"/>
        </w:rPr>
        <w:drawing>
          <wp:inline distT="0" distB="0" distL="0" distR="0">
            <wp:extent cx="3093125" cy="51036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4198" cy="510540"/>
                    </a:xfrm>
                    <a:prstGeom prst="rect">
                      <a:avLst/>
                    </a:prstGeom>
                    <a:noFill/>
                    <a:ln>
                      <a:noFill/>
                    </a:ln>
                  </pic:spPr>
                </pic:pic>
              </a:graphicData>
            </a:graphic>
          </wp:inline>
        </w:drawing>
      </w:r>
    </w:p>
    <w:p w:rsidR="00DF4E40" w:rsidRPr="00304864" w:rsidRDefault="00DF4E40">
      <w:pPr>
        <w:jc w:val="left"/>
        <w:rPr>
          <w:rFonts w:ascii="Arial" w:hAnsi="Arial" w:cs="Arial"/>
          <w:b/>
          <w:i/>
          <w:color w:val="002060"/>
          <w:sz w:val="22"/>
          <w:szCs w:val="22"/>
        </w:rPr>
      </w:pPr>
    </w:p>
    <w:p w:rsidR="00F92654" w:rsidRDefault="00F92654">
      <w:pPr>
        <w:jc w:val="left"/>
        <w:rPr>
          <w:rFonts w:ascii="Arial" w:hAnsi="Arial" w:cs="Arial"/>
          <w:b/>
          <w:i/>
          <w:color w:val="002060"/>
          <w:sz w:val="22"/>
          <w:szCs w:val="22"/>
        </w:rPr>
        <w:sectPr w:rsidR="00F92654" w:rsidSect="00845224">
          <w:headerReference w:type="default" r:id="rId13"/>
          <w:footerReference w:type="even" r:id="rId14"/>
          <w:footerReference w:type="default" r:id="rId15"/>
          <w:footerReference w:type="first" r:id="rId16"/>
          <w:pgSz w:w="11906" w:h="16838"/>
          <w:pgMar w:top="1417" w:right="1134" w:bottom="1134" w:left="1134" w:header="601" w:footer="680" w:gutter="0"/>
          <w:cols w:space="720"/>
          <w:titlePg/>
          <w:docGrid w:linePitch="326"/>
        </w:sectPr>
      </w:pPr>
    </w:p>
    <w:p w:rsidR="00DF4E40" w:rsidRPr="00AA3E9A" w:rsidRDefault="00DF4E40">
      <w:pPr>
        <w:jc w:val="left"/>
        <w:rPr>
          <w:rFonts w:ascii="Arial" w:hAnsi="Arial" w:cs="Arial"/>
          <w:b/>
          <w:i/>
          <w:color w:val="002060"/>
          <w:sz w:val="22"/>
          <w:szCs w:val="22"/>
        </w:rPr>
      </w:pPr>
      <w:r w:rsidRPr="00A30AEC">
        <w:rPr>
          <w:rFonts w:ascii="Arial" w:hAnsi="Arial" w:cs="Arial"/>
          <w:b/>
          <w:i/>
          <w:color w:val="002060"/>
          <w:sz w:val="20"/>
        </w:rPr>
        <w:lastRenderedPageBreak/>
        <w:t>D</w:t>
      </w:r>
      <w:r w:rsidR="00E30729">
        <w:rPr>
          <w:rFonts w:ascii="Arial" w:hAnsi="Arial" w:cs="Arial"/>
          <w:b/>
          <w:i/>
          <w:color w:val="002060"/>
          <w:sz w:val="20"/>
        </w:rPr>
        <w:t>rafting of the Programme document co-funded by the South East Europe Programme</w:t>
      </w:r>
    </w:p>
    <w:p w:rsidR="00F92654" w:rsidRDefault="00F92654">
      <w:pPr>
        <w:jc w:val="left"/>
        <w:rPr>
          <w:rFonts w:ascii="Arial" w:hAnsi="Arial" w:cs="Arial"/>
          <w:b/>
          <w:i/>
          <w:caps/>
          <w:sz w:val="22"/>
          <w:szCs w:val="22"/>
        </w:rPr>
        <w:sectPr w:rsidR="00F92654" w:rsidSect="00A961B0">
          <w:type w:val="continuous"/>
          <w:pgSz w:w="11906" w:h="16838"/>
          <w:pgMar w:top="1417" w:right="1134" w:bottom="1134" w:left="1134" w:header="601" w:footer="680" w:gutter="0"/>
          <w:cols w:space="720"/>
          <w:titlePg/>
          <w:docGrid w:linePitch="326"/>
        </w:sectPr>
      </w:pPr>
    </w:p>
    <w:p w:rsidR="00F92654" w:rsidRDefault="00F92654">
      <w:pPr>
        <w:rPr>
          <w:rFonts w:ascii="Arial" w:hAnsi="Arial" w:cs="Arial"/>
          <w:b/>
          <w:sz w:val="22"/>
          <w:szCs w:val="22"/>
        </w:rPr>
        <w:sectPr w:rsidR="00F92654" w:rsidSect="00A961B0">
          <w:type w:val="continuous"/>
          <w:pgSz w:w="11906" w:h="16838"/>
          <w:pgMar w:top="1417" w:right="1134" w:bottom="1134" w:left="1134" w:header="601" w:footer="680" w:gutter="0"/>
          <w:cols w:space="720"/>
          <w:titlePg/>
          <w:docGrid w:linePitch="326"/>
        </w:sectPr>
      </w:pPr>
    </w:p>
    <w:p w:rsidR="00DF4E40" w:rsidRPr="00304864" w:rsidRDefault="00DF4E40">
      <w:pPr>
        <w:rPr>
          <w:rFonts w:ascii="Arial" w:hAnsi="Arial" w:cs="Arial"/>
          <w:b/>
          <w:caps/>
          <w:sz w:val="22"/>
          <w:szCs w:val="22"/>
        </w:rPr>
      </w:pPr>
      <w:r w:rsidRPr="00304864">
        <w:rPr>
          <w:rFonts w:ascii="Arial" w:hAnsi="Arial" w:cs="Arial"/>
          <w:b/>
          <w:sz w:val="22"/>
          <w:szCs w:val="22"/>
        </w:rPr>
        <w:lastRenderedPageBreak/>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5560"/>
      </w:tblGrid>
      <w:tr w:rsidR="00DF4E40" w:rsidRPr="00304864" w:rsidTr="00DD27CA">
        <w:tc>
          <w:tcPr>
            <w:tcW w:w="3510" w:type="dxa"/>
            <w:shd w:val="clear" w:color="auto" w:fill="C6D9F1"/>
          </w:tcPr>
          <w:p w:rsidR="00DF4E40" w:rsidRPr="00304864" w:rsidRDefault="00DF4E40">
            <w:pPr>
              <w:pStyle w:val="TOC1"/>
              <w:tabs>
                <w:tab w:val="left" w:pos="1916"/>
              </w:tabs>
              <w:spacing w:before="0"/>
              <w:ind w:left="0" w:firstLine="0"/>
              <w:jc w:val="left"/>
              <w:rPr>
                <w:rFonts w:ascii="Arial" w:hAnsi="Arial" w:cs="Arial"/>
                <w:caps w:val="0"/>
                <w:szCs w:val="22"/>
              </w:rPr>
            </w:pPr>
            <w:r w:rsidRPr="00304864">
              <w:rPr>
                <w:rFonts w:ascii="Arial" w:hAnsi="Arial" w:cs="Arial"/>
                <w:caps w:val="0"/>
                <w:sz w:val="22"/>
                <w:szCs w:val="22"/>
              </w:rPr>
              <w:lastRenderedPageBreak/>
              <w:t>CCI</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r w:rsidRPr="00304864">
              <w:rPr>
                <w:rFonts w:ascii="Arial" w:hAnsi="Arial" w:cs="Arial"/>
                <w:sz w:val="22"/>
                <w:szCs w:val="22"/>
              </w:rPr>
              <w:t>2014TC16M4TN002</w:t>
            </w: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Title</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r w:rsidRPr="00304864">
              <w:rPr>
                <w:rFonts w:ascii="Arial" w:hAnsi="Arial" w:cs="Arial"/>
                <w:caps w:val="0"/>
                <w:sz w:val="22"/>
                <w:szCs w:val="22"/>
              </w:rPr>
              <w:t xml:space="preserve">Interreg V-B Adriatic-Ionian </w:t>
            </w:r>
            <w:r w:rsidR="008772FE">
              <w:rPr>
                <w:rFonts w:ascii="Arial" w:hAnsi="Arial" w:cs="Arial"/>
                <w:caps w:val="0"/>
                <w:sz w:val="22"/>
                <w:szCs w:val="22"/>
              </w:rPr>
              <w:t>c</w:t>
            </w:r>
            <w:r w:rsidRPr="00304864">
              <w:rPr>
                <w:rFonts w:ascii="Arial" w:hAnsi="Arial" w:cs="Arial"/>
                <w:caps w:val="0"/>
                <w:sz w:val="22"/>
                <w:szCs w:val="22"/>
              </w:rPr>
              <w:t xml:space="preserve">ooperation </w:t>
            </w:r>
            <w:r w:rsidR="008772FE">
              <w:rPr>
                <w:rFonts w:ascii="Arial" w:hAnsi="Arial" w:cs="Arial"/>
                <w:caps w:val="0"/>
                <w:sz w:val="22"/>
                <w:szCs w:val="22"/>
              </w:rPr>
              <w:t>p</w:t>
            </w:r>
            <w:r w:rsidRPr="00304864">
              <w:rPr>
                <w:rFonts w:ascii="Arial" w:hAnsi="Arial" w:cs="Arial"/>
                <w:caps w:val="0"/>
                <w:sz w:val="22"/>
                <w:szCs w:val="22"/>
              </w:rPr>
              <w:t>rogramme 2014-2020</w:t>
            </w: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Version</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r w:rsidRPr="00304864">
              <w:rPr>
                <w:rFonts w:ascii="Arial" w:hAnsi="Arial" w:cs="Arial"/>
                <w:caps w:val="0"/>
                <w:sz w:val="22"/>
                <w:szCs w:val="22"/>
              </w:rPr>
              <w:t>2nd</w:t>
            </w: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First Year</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r w:rsidRPr="00304864">
              <w:rPr>
                <w:rFonts w:ascii="Arial" w:hAnsi="Arial" w:cs="Arial"/>
                <w:caps w:val="0"/>
                <w:sz w:val="22"/>
                <w:szCs w:val="22"/>
              </w:rPr>
              <w:t>2014</w:t>
            </w: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Last Year</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r w:rsidRPr="00304864">
              <w:rPr>
                <w:rFonts w:ascii="Arial" w:hAnsi="Arial" w:cs="Arial"/>
                <w:caps w:val="0"/>
                <w:sz w:val="22"/>
                <w:szCs w:val="22"/>
              </w:rPr>
              <w:t>2020</w:t>
            </w: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Eligible from</w:t>
            </w:r>
          </w:p>
        </w:tc>
        <w:tc>
          <w:tcPr>
            <w:tcW w:w="5560" w:type="dxa"/>
          </w:tcPr>
          <w:p w:rsidR="00DF4E40" w:rsidRPr="00A30AEC" w:rsidRDefault="00AC1852">
            <w:pPr>
              <w:pStyle w:val="TOC1"/>
              <w:tabs>
                <w:tab w:val="left" w:pos="1916"/>
              </w:tabs>
              <w:spacing w:before="0"/>
              <w:ind w:left="0" w:firstLine="0"/>
              <w:rPr>
                <w:rFonts w:ascii="Arial" w:hAnsi="Arial" w:cs="Arial"/>
                <w:caps w:val="0"/>
                <w:sz w:val="22"/>
                <w:szCs w:val="22"/>
              </w:rPr>
            </w:pPr>
            <w:r w:rsidRPr="00A30AEC">
              <w:rPr>
                <w:rFonts w:ascii="Arial" w:hAnsi="Arial" w:cs="Arial"/>
                <w:caps w:val="0"/>
                <w:sz w:val="22"/>
                <w:szCs w:val="22"/>
              </w:rPr>
              <w:t>1 January 2014</w:t>
            </w: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Eligible until</w:t>
            </w:r>
          </w:p>
        </w:tc>
        <w:tc>
          <w:tcPr>
            <w:tcW w:w="5560" w:type="dxa"/>
          </w:tcPr>
          <w:p w:rsidR="00DF4E40" w:rsidRPr="00A30AEC" w:rsidRDefault="00AC1852">
            <w:pPr>
              <w:pStyle w:val="TOC1"/>
              <w:tabs>
                <w:tab w:val="left" w:pos="1916"/>
              </w:tabs>
              <w:spacing w:before="0"/>
              <w:ind w:left="0" w:firstLine="0"/>
              <w:rPr>
                <w:rFonts w:ascii="Arial" w:hAnsi="Arial" w:cs="Arial"/>
                <w:caps w:val="0"/>
                <w:sz w:val="22"/>
                <w:szCs w:val="22"/>
              </w:rPr>
            </w:pPr>
            <w:r w:rsidRPr="00A30AEC">
              <w:rPr>
                <w:rFonts w:ascii="Arial" w:hAnsi="Arial" w:cs="Arial"/>
                <w:caps w:val="0"/>
                <w:sz w:val="22"/>
                <w:szCs w:val="22"/>
              </w:rPr>
              <w:t>31 December 2023</w:t>
            </w: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EC Dec</w:t>
            </w:r>
            <w:r w:rsidRPr="00304864">
              <w:rPr>
                <w:rFonts w:ascii="Arial" w:hAnsi="Arial" w:cs="Arial"/>
                <w:caps w:val="0"/>
                <w:sz w:val="22"/>
                <w:szCs w:val="22"/>
              </w:rPr>
              <w:t>ision Number</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EC Decision Date</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MS amending decision N.</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p>
        </w:tc>
      </w:tr>
      <w:tr w:rsidR="00DF4E40" w:rsidRPr="00304864" w:rsidTr="00DD27CA">
        <w:trPr>
          <w:trHeight w:val="178"/>
        </w:trPr>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MS amending date</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MS amending decision entry into forcer date</w:t>
            </w:r>
          </w:p>
        </w:tc>
        <w:tc>
          <w:tcPr>
            <w:tcW w:w="5560" w:type="dxa"/>
          </w:tcPr>
          <w:p w:rsidR="00DF4E40" w:rsidRPr="00304864" w:rsidRDefault="00DF4E40">
            <w:pPr>
              <w:pStyle w:val="TOC1"/>
              <w:tabs>
                <w:tab w:val="left" w:pos="1916"/>
              </w:tabs>
              <w:spacing w:before="0"/>
              <w:ind w:left="0" w:firstLine="0"/>
              <w:rPr>
                <w:rFonts w:ascii="Arial" w:hAnsi="Arial" w:cs="Arial"/>
                <w:caps w:val="0"/>
                <w:szCs w:val="22"/>
              </w:rPr>
            </w:pPr>
          </w:p>
        </w:tc>
      </w:tr>
      <w:tr w:rsidR="00DF4E40" w:rsidRPr="00304864" w:rsidTr="00DD27CA">
        <w:tc>
          <w:tcPr>
            <w:tcW w:w="3510" w:type="dxa"/>
            <w:shd w:val="clear" w:color="auto" w:fill="C6D9F1"/>
          </w:tcPr>
          <w:p w:rsidR="00DF4E40" w:rsidRPr="00304864" w:rsidRDefault="00DF4E40" w:rsidP="00AA3E9A">
            <w:pPr>
              <w:pStyle w:val="TOC1"/>
              <w:tabs>
                <w:tab w:val="left" w:pos="1916"/>
              </w:tabs>
              <w:spacing w:before="0"/>
              <w:ind w:left="0" w:firstLine="0"/>
              <w:jc w:val="left"/>
              <w:rPr>
                <w:rFonts w:ascii="Arial" w:hAnsi="Arial" w:cs="Arial"/>
                <w:caps w:val="0"/>
                <w:szCs w:val="22"/>
              </w:rPr>
            </w:pPr>
            <w:r w:rsidRPr="00AA3E9A">
              <w:rPr>
                <w:rFonts w:ascii="Arial" w:hAnsi="Arial" w:cs="Arial"/>
                <w:caps w:val="0"/>
                <w:sz w:val="22"/>
                <w:szCs w:val="22"/>
              </w:rPr>
              <w:t>NUTS regions covered by the cooperation programme</w:t>
            </w:r>
          </w:p>
        </w:tc>
        <w:tc>
          <w:tcPr>
            <w:tcW w:w="5560" w:type="dxa"/>
          </w:tcPr>
          <w:tbl>
            <w:tblPr>
              <w:tblW w:w="0" w:type="auto"/>
              <w:tblLook w:val="0000"/>
            </w:tblPr>
            <w:tblGrid>
              <w:gridCol w:w="779"/>
              <w:gridCol w:w="4565"/>
            </w:tblGrid>
            <w:tr w:rsidR="00DF4E40" w:rsidRPr="00304864" w:rsidTr="00A30AEC">
              <w:trPr>
                <w:trHeight w:val="528"/>
              </w:trPr>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EL11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Aνατολική Μακεδονία, Θράκη (Anatoliki Makedonia, Thraki)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EL12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Κεντρική Μακεδονία (Kentriki Makedonia)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EL13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Δυτική Μακεδονία (Dytiki Makedonia)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EL14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Θεσσαλία (Thessalia)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EL21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Ήπειρος (Ipeiros)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EL22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Ιόνια Νησιά (Ionia Nisia)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EL23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ΔυτικήΕλλάδα (DytikiEllada)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EL24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ΣτερεάΕλλάδα (StereaEllada)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EL25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Πελοπόννησος (Peloponnisos)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EL30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Aττική (Attiki)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EL41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ΒόρειοΑιγαίο (VoreioAigaio)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EL42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ΝότιοΑιγαίο (NotioAigaio)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EL43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Κρήτη (Kriti)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HR03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JadranskaHrvatska</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HR04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KontinentalnaHrvatska</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ITC4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Lombardia</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ITF1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Abruzzo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ITF2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Molise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ITF4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Puglia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ITF5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Basilicata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ITF6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Calabria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ITG1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Sicilia </w:t>
                  </w:r>
                </w:p>
              </w:tc>
            </w:tr>
            <w:tr w:rsidR="00DF4E40" w:rsidRPr="00791C49"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ITH1 </w:t>
                  </w:r>
                </w:p>
              </w:tc>
              <w:tc>
                <w:tcPr>
                  <w:tcW w:w="0" w:type="auto"/>
                </w:tcPr>
                <w:p w:rsidR="00DF4E40" w:rsidRPr="00304864" w:rsidRDefault="00DF4E40">
                  <w:pPr>
                    <w:autoSpaceDE w:val="0"/>
                    <w:autoSpaceDN w:val="0"/>
                    <w:adjustRightInd w:val="0"/>
                    <w:jc w:val="left"/>
                    <w:rPr>
                      <w:rFonts w:ascii="Arial" w:hAnsi="Arial" w:cs="Arial"/>
                      <w:color w:val="000000"/>
                      <w:szCs w:val="22"/>
                      <w:lang w:val="it-IT" w:eastAsia="en-GB"/>
                    </w:rPr>
                  </w:pPr>
                  <w:r w:rsidRPr="00304864">
                    <w:rPr>
                      <w:rFonts w:ascii="Arial" w:hAnsi="Arial" w:cs="Arial"/>
                      <w:color w:val="000000"/>
                      <w:sz w:val="22"/>
                      <w:szCs w:val="22"/>
                      <w:lang w:val="it-IT" w:eastAsia="en-GB"/>
                    </w:rPr>
                    <w:t xml:space="preserve">Provincia Autonoma di Bolzano/Bozen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lastRenderedPageBreak/>
                    <w:t xml:space="preserve">ITH2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ProvinciaAutonoma di Trento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ITH3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Veneto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ITH4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Friuli-Venezia Giulia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ITH5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Emilia-Romagna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ITI2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Umbria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ITI3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Marche </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SI01 </w:t>
                  </w:r>
                </w:p>
              </w:tc>
              <w:tc>
                <w:tcPr>
                  <w:tcW w:w="0" w:type="auto"/>
                </w:tcPr>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VzhodnaSlovenija</w:t>
                  </w:r>
                </w:p>
              </w:tc>
            </w:tr>
            <w:tr w:rsidR="00DF4E40" w:rsidRPr="00304864" w:rsidTr="00596A84">
              <w:trPr>
                <w:trHeight w:val="109"/>
              </w:trPr>
              <w:tc>
                <w:tcPr>
                  <w:tcW w:w="0" w:type="auto"/>
                </w:tcPr>
                <w:p w:rsidR="00DF4E40" w:rsidRPr="00304864" w:rsidRDefault="00DF4E40" w:rsidP="00AA3E9A">
                  <w:pPr>
                    <w:autoSpaceDE w:val="0"/>
                    <w:autoSpaceDN w:val="0"/>
                    <w:adjustRightInd w:val="0"/>
                    <w:jc w:val="left"/>
                    <w:rPr>
                      <w:rFonts w:ascii="Arial" w:hAnsi="Arial" w:cs="Arial"/>
                      <w:color w:val="000000"/>
                      <w:szCs w:val="22"/>
                      <w:lang w:eastAsia="en-GB"/>
                    </w:rPr>
                  </w:pPr>
                  <w:r w:rsidRPr="00AA3E9A">
                    <w:rPr>
                      <w:rFonts w:ascii="Arial" w:hAnsi="Arial" w:cs="Arial"/>
                      <w:color w:val="000000"/>
                      <w:sz w:val="22"/>
                      <w:szCs w:val="22"/>
                      <w:lang w:eastAsia="en-GB"/>
                    </w:rPr>
                    <w:t xml:space="preserve">SI02 </w:t>
                  </w:r>
                </w:p>
              </w:tc>
              <w:tc>
                <w:tcPr>
                  <w:tcW w:w="0" w:type="auto"/>
                </w:tcPr>
                <w:p w:rsidR="00DF4E40" w:rsidRPr="00304864" w:rsidRDefault="00DF4E40">
                  <w:pPr>
                    <w:autoSpaceDE w:val="0"/>
                    <w:autoSpaceDN w:val="0"/>
                    <w:adjustRightInd w:val="0"/>
                    <w:jc w:val="left"/>
                    <w:rPr>
                      <w:rFonts w:ascii="Arial" w:hAnsi="Arial" w:cs="Arial"/>
                      <w:color w:val="000000"/>
                      <w:szCs w:val="22"/>
                      <w:lang w:val="it-IT" w:eastAsia="en-GB"/>
                    </w:rPr>
                  </w:pPr>
                  <w:r w:rsidRPr="00304864">
                    <w:rPr>
                      <w:rFonts w:ascii="Arial" w:hAnsi="Arial" w:cs="Arial"/>
                      <w:color w:val="000000"/>
                      <w:sz w:val="22"/>
                      <w:szCs w:val="22"/>
                      <w:lang w:val="it-IT" w:eastAsia="en-GB"/>
                    </w:rPr>
                    <w:t>ZahodnaSlovenija</w:t>
                  </w:r>
                </w:p>
                <w:p w:rsidR="00DF4E40" w:rsidRPr="00304864" w:rsidRDefault="00DF4E40">
                  <w:pPr>
                    <w:autoSpaceDE w:val="0"/>
                    <w:autoSpaceDN w:val="0"/>
                    <w:adjustRightInd w:val="0"/>
                    <w:jc w:val="left"/>
                    <w:rPr>
                      <w:rFonts w:ascii="Arial" w:hAnsi="Arial" w:cs="Arial"/>
                      <w:color w:val="000000"/>
                      <w:szCs w:val="22"/>
                      <w:lang w:val="it-IT" w:eastAsia="en-GB"/>
                    </w:rPr>
                  </w:pPr>
                  <w:r w:rsidRPr="00304864">
                    <w:rPr>
                      <w:rFonts w:ascii="Arial" w:hAnsi="Arial" w:cs="Arial"/>
                      <w:color w:val="000000"/>
                      <w:sz w:val="22"/>
                      <w:szCs w:val="22"/>
                      <w:lang w:val="it-IT" w:eastAsia="en-GB"/>
                    </w:rPr>
                    <w:t>AL Albania BA Bosnia and Herzegovina</w:t>
                  </w:r>
                </w:p>
                <w:p w:rsidR="00DF4E40" w:rsidRPr="00304864" w:rsidRDefault="00DF4E40">
                  <w:pPr>
                    <w:autoSpaceDE w:val="0"/>
                    <w:autoSpaceDN w:val="0"/>
                    <w:adjustRightInd w:val="0"/>
                    <w:jc w:val="left"/>
                    <w:rPr>
                      <w:rFonts w:ascii="Arial" w:hAnsi="Arial" w:cs="Arial"/>
                      <w:color w:val="000000"/>
                      <w:szCs w:val="22"/>
                      <w:lang w:eastAsia="en-GB"/>
                    </w:rPr>
                  </w:pPr>
                  <w:r w:rsidRPr="00304864">
                    <w:rPr>
                      <w:rFonts w:ascii="Arial" w:hAnsi="Arial" w:cs="Arial"/>
                      <w:color w:val="000000"/>
                      <w:sz w:val="22"/>
                      <w:szCs w:val="22"/>
                      <w:lang w:eastAsia="en-GB"/>
                    </w:rPr>
                    <w:t xml:space="preserve">ME Montenegro RS Serbia </w:t>
                  </w:r>
                </w:p>
              </w:tc>
            </w:tr>
          </w:tbl>
          <w:p w:rsidR="00DF4E40" w:rsidRPr="00AA3E9A" w:rsidRDefault="00DF4E40" w:rsidP="00AA3E9A">
            <w:pPr>
              <w:jc w:val="left"/>
              <w:rPr>
                <w:rFonts w:ascii="Arial" w:hAnsi="Arial" w:cs="Arial"/>
                <w:szCs w:val="22"/>
              </w:rPr>
            </w:pPr>
          </w:p>
        </w:tc>
      </w:tr>
    </w:tbl>
    <w:p w:rsidR="00DF4E40" w:rsidRPr="00AA3E9A" w:rsidRDefault="00DF4E40" w:rsidP="00AA3E9A">
      <w:pPr>
        <w:pStyle w:val="TOC1"/>
        <w:tabs>
          <w:tab w:val="left" w:pos="1916"/>
        </w:tabs>
        <w:spacing w:before="0"/>
        <w:ind w:left="0" w:firstLine="0"/>
        <w:rPr>
          <w:rFonts w:ascii="Arial" w:hAnsi="Arial" w:cs="Arial"/>
          <w:caps w:val="0"/>
          <w:sz w:val="22"/>
          <w:szCs w:val="22"/>
        </w:rPr>
      </w:pPr>
      <w:r w:rsidRPr="00AA3E9A">
        <w:rPr>
          <w:rFonts w:ascii="Arial" w:hAnsi="Arial" w:cs="Arial"/>
          <w:caps w:val="0"/>
          <w:sz w:val="22"/>
          <w:szCs w:val="22"/>
        </w:rPr>
        <w:lastRenderedPageBreak/>
        <w:br w:type="page"/>
      </w:r>
    </w:p>
    <w:p w:rsidR="00DF4E40" w:rsidRPr="00AA3E9A" w:rsidRDefault="00DF4E40" w:rsidP="00AA3E9A">
      <w:pPr>
        <w:pStyle w:val="TOC1"/>
        <w:tabs>
          <w:tab w:val="left" w:pos="1916"/>
        </w:tabs>
        <w:spacing w:before="0"/>
        <w:ind w:left="0" w:firstLine="0"/>
        <w:rPr>
          <w:rFonts w:ascii="Arial" w:hAnsi="Arial" w:cs="Arial"/>
          <w:caps w:val="0"/>
          <w:sz w:val="22"/>
          <w:szCs w:val="22"/>
        </w:rPr>
      </w:pPr>
    </w:p>
    <w:p w:rsidR="00DF4E40" w:rsidRPr="00304864" w:rsidRDefault="00DF4E40">
      <w:pPr>
        <w:rPr>
          <w:rFonts w:ascii="Arial" w:hAnsi="Arial" w:cs="Arial"/>
          <w:b/>
          <w:sz w:val="22"/>
          <w:szCs w:val="22"/>
        </w:rPr>
      </w:pPr>
      <w:r w:rsidRPr="00304864">
        <w:rPr>
          <w:rFonts w:ascii="Arial" w:hAnsi="Arial" w:cs="Arial"/>
          <w:b/>
          <w:sz w:val="22"/>
          <w:szCs w:val="22"/>
        </w:rPr>
        <w:t>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458"/>
      </w:tblGrid>
      <w:tr w:rsidR="00DF4E40" w:rsidRPr="00304864" w:rsidTr="004E4383">
        <w:tc>
          <w:tcPr>
            <w:tcW w:w="2376" w:type="dxa"/>
          </w:tcPr>
          <w:p w:rsidR="00DF4E40" w:rsidRPr="00304864" w:rsidRDefault="00DF4E40">
            <w:pPr>
              <w:rPr>
                <w:rFonts w:ascii="Arial" w:hAnsi="Arial" w:cs="Arial"/>
                <w:b/>
                <w:szCs w:val="22"/>
              </w:rPr>
            </w:pPr>
            <w:r w:rsidRPr="00304864">
              <w:rPr>
                <w:rFonts w:ascii="Arial" w:hAnsi="Arial" w:cs="Arial"/>
                <w:b/>
                <w:sz w:val="22"/>
                <w:szCs w:val="22"/>
              </w:rPr>
              <w:t>AA</w:t>
            </w:r>
          </w:p>
        </w:tc>
        <w:tc>
          <w:tcPr>
            <w:tcW w:w="6458" w:type="dxa"/>
          </w:tcPr>
          <w:p w:rsidR="00DF4E40" w:rsidRPr="00304864" w:rsidRDefault="005121FD">
            <w:pPr>
              <w:rPr>
                <w:rFonts w:ascii="Arial" w:hAnsi="Arial" w:cs="Arial"/>
                <w:szCs w:val="22"/>
              </w:rPr>
            </w:pPr>
            <w:r>
              <w:rPr>
                <w:rFonts w:ascii="Arial" w:hAnsi="Arial" w:cs="Arial"/>
                <w:sz w:val="22"/>
                <w:szCs w:val="22"/>
              </w:rPr>
              <w:t>a</w:t>
            </w:r>
            <w:r w:rsidR="00DF4E40" w:rsidRPr="00304864">
              <w:rPr>
                <w:rFonts w:ascii="Arial" w:hAnsi="Arial" w:cs="Arial"/>
                <w:sz w:val="22"/>
                <w:szCs w:val="22"/>
              </w:rPr>
              <w:t xml:space="preserve">udit </w:t>
            </w:r>
            <w:r>
              <w:rPr>
                <w:rFonts w:ascii="Arial" w:hAnsi="Arial" w:cs="Arial"/>
                <w:sz w:val="22"/>
                <w:szCs w:val="22"/>
              </w:rPr>
              <w:t>a</w:t>
            </w:r>
            <w:r w:rsidR="00DF4E40" w:rsidRPr="00304864">
              <w:rPr>
                <w:rFonts w:ascii="Arial" w:hAnsi="Arial" w:cs="Arial"/>
                <w:sz w:val="22"/>
                <w:szCs w:val="22"/>
              </w:rPr>
              <w:t>uthority</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ADRION</w:t>
            </w:r>
          </w:p>
        </w:tc>
        <w:tc>
          <w:tcPr>
            <w:tcW w:w="6458" w:type="dxa"/>
          </w:tcPr>
          <w:p w:rsidR="00DF4E40" w:rsidRPr="00304864" w:rsidRDefault="00DF4E40">
            <w:pPr>
              <w:rPr>
                <w:rFonts w:ascii="Arial" w:hAnsi="Arial" w:cs="Arial"/>
                <w:szCs w:val="22"/>
              </w:rPr>
            </w:pPr>
            <w:r w:rsidRPr="00304864">
              <w:rPr>
                <w:rFonts w:ascii="Arial" w:hAnsi="Arial" w:cs="Arial"/>
                <w:sz w:val="22"/>
                <w:szCs w:val="22"/>
              </w:rPr>
              <w:t xml:space="preserve">Adriatic-Ionian Programme </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CA</w:t>
            </w:r>
          </w:p>
        </w:tc>
        <w:tc>
          <w:tcPr>
            <w:tcW w:w="6458" w:type="dxa"/>
          </w:tcPr>
          <w:p w:rsidR="00DF4E40" w:rsidRPr="00304864" w:rsidRDefault="005121FD">
            <w:pPr>
              <w:rPr>
                <w:rFonts w:ascii="Arial" w:hAnsi="Arial" w:cs="Arial"/>
                <w:szCs w:val="22"/>
              </w:rPr>
            </w:pPr>
            <w:r>
              <w:rPr>
                <w:rFonts w:ascii="Arial" w:hAnsi="Arial" w:cs="Arial"/>
                <w:sz w:val="22"/>
                <w:szCs w:val="22"/>
              </w:rPr>
              <w:t>c</w:t>
            </w:r>
            <w:r w:rsidR="00DF4E40" w:rsidRPr="00304864">
              <w:rPr>
                <w:rFonts w:ascii="Arial" w:hAnsi="Arial" w:cs="Arial"/>
                <w:sz w:val="22"/>
                <w:szCs w:val="22"/>
              </w:rPr>
              <w:t xml:space="preserve">ertifying </w:t>
            </w:r>
            <w:r>
              <w:rPr>
                <w:rFonts w:ascii="Arial" w:hAnsi="Arial" w:cs="Arial"/>
                <w:sz w:val="22"/>
                <w:szCs w:val="22"/>
              </w:rPr>
              <w:t>a</w:t>
            </w:r>
            <w:r w:rsidR="00DF4E40" w:rsidRPr="00304864">
              <w:rPr>
                <w:rFonts w:ascii="Arial" w:hAnsi="Arial" w:cs="Arial"/>
                <w:sz w:val="22"/>
                <w:szCs w:val="22"/>
              </w:rPr>
              <w:t>uthority</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CP</w:t>
            </w:r>
          </w:p>
        </w:tc>
        <w:tc>
          <w:tcPr>
            <w:tcW w:w="6458" w:type="dxa"/>
          </w:tcPr>
          <w:p w:rsidR="00DF4E40" w:rsidRPr="00304864" w:rsidRDefault="00DF4E40">
            <w:pPr>
              <w:rPr>
                <w:rFonts w:ascii="Arial" w:hAnsi="Arial" w:cs="Arial"/>
                <w:szCs w:val="22"/>
              </w:rPr>
            </w:pPr>
            <w:r w:rsidRPr="00304864">
              <w:rPr>
                <w:rFonts w:ascii="Arial" w:hAnsi="Arial" w:cs="Arial"/>
                <w:sz w:val="22"/>
                <w:szCs w:val="22"/>
              </w:rPr>
              <w:t>cooperation programme</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ENI</w:t>
            </w:r>
          </w:p>
        </w:tc>
        <w:tc>
          <w:tcPr>
            <w:tcW w:w="6458" w:type="dxa"/>
          </w:tcPr>
          <w:p w:rsidR="00DF4E40" w:rsidRPr="00304864" w:rsidRDefault="00DF4E40">
            <w:pPr>
              <w:rPr>
                <w:rFonts w:ascii="Arial" w:hAnsi="Arial" w:cs="Arial"/>
                <w:szCs w:val="22"/>
              </w:rPr>
            </w:pPr>
            <w:r w:rsidRPr="00304864">
              <w:rPr>
                <w:rFonts w:ascii="Arial" w:hAnsi="Arial" w:cs="Arial"/>
                <w:sz w:val="22"/>
                <w:szCs w:val="22"/>
              </w:rPr>
              <w:t>European Neighbourhood Instrument</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ERDF</w:t>
            </w:r>
          </w:p>
        </w:tc>
        <w:tc>
          <w:tcPr>
            <w:tcW w:w="6458" w:type="dxa"/>
          </w:tcPr>
          <w:p w:rsidR="00DF4E40" w:rsidRPr="00304864" w:rsidRDefault="00DF4E40">
            <w:pPr>
              <w:rPr>
                <w:rFonts w:ascii="Arial" w:hAnsi="Arial" w:cs="Arial"/>
                <w:szCs w:val="22"/>
              </w:rPr>
            </w:pPr>
            <w:r w:rsidRPr="00304864">
              <w:rPr>
                <w:rFonts w:ascii="Arial" w:hAnsi="Arial" w:cs="Arial"/>
                <w:sz w:val="22"/>
                <w:szCs w:val="22"/>
              </w:rPr>
              <w:t>European Regional Development Fund</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ETC</w:t>
            </w:r>
          </w:p>
        </w:tc>
        <w:tc>
          <w:tcPr>
            <w:tcW w:w="6458" w:type="dxa"/>
          </w:tcPr>
          <w:p w:rsidR="00DF4E40" w:rsidRPr="00304864" w:rsidRDefault="00DF4E40">
            <w:pPr>
              <w:rPr>
                <w:rFonts w:ascii="Arial" w:hAnsi="Arial" w:cs="Arial"/>
                <w:szCs w:val="22"/>
              </w:rPr>
            </w:pPr>
            <w:r w:rsidRPr="00304864">
              <w:rPr>
                <w:rFonts w:ascii="Arial" w:hAnsi="Arial" w:cs="Arial"/>
                <w:sz w:val="22"/>
                <w:szCs w:val="22"/>
              </w:rPr>
              <w:t>European Territorial Cooperation</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EUSAIR</w:t>
            </w:r>
          </w:p>
        </w:tc>
        <w:tc>
          <w:tcPr>
            <w:tcW w:w="6458" w:type="dxa"/>
          </w:tcPr>
          <w:p w:rsidR="00DF4E40" w:rsidRPr="00304864" w:rsidRDefault="00DF4E40">
            <w:pPr>
              <w:rPr>
                <w:rFonts w:ascii="Arial" w:hAnsi="Arial" w:cs="Arial"/>
                <w:szCs w:val="22"/>
              </w:rPr>
            </w:pPr>
            <w:r w:rsidRPr="00304864">
              <w:rPr>
                <w:rFonts w:ascii="Arial" w:hAnsi="Arial" w:cs="Arial"/>
                <w:sz w:val="22"/>
                <w:szCs w:val="22"/>
              </w:rPr>
              <w:t>European Strategy for Adriatic and Ionian Region</w:t>
            </w:r>
          </w:p>
        </w:tc>
      </w:tr>
      <w:tr w:rsidR="00EF3972" w:rsidRPr="00304864" w:rsidTr="00127590">
        <w:tc>
          <w:tcPr>
            <w:tcW w:w="2376" w:type="dxa"/>
          </w:tcPr>
          <w:p w:rsidR="00EF3972" w:rsidRPr="00AA3E9A" w:rsidRDefault="009956A4" w:rsidP="00127590">
            <w:pPr>
              <w:rPr>
                <w:rFonts w:ascii="Arial" w:hAnsi="Arial" w:cs="Arial"/>
                <w:b/>
                <w:szCs w:val="22"/>
              </w:rPr>
            </w:pPr>
            <w:r>
              <w:rPr>
                <w:rFonts w:ascii="Arial" w:hAnsi="Arial" w:cs="Arial"/>
                <w:b/>
                <w:sz w:val="22"/>
                <w:szCs w:val="22"/>
              </w:rPr>
              <w:t>ERDF</w:t>
            </w:r>
            <w:r w:rsidR="00EF3972">
              <w:rPr>
                <w:rFonts w:ascii="Arial" w:hAnsi="Arial" w:cs="Arial"/>
                <w:b/>
                <w:sz w:val="22"/>
                <w:szCs w:val="22"/>
              </w:rPr>
              <w:t xml:space="preserve"> Partner</w:t>
            </w:r>
            <w:r w:rsidR="00EF3972" w:rsidRPr="00AA3E9A">
              <w:rPr>
                <w:rFonts w:ascii="Arial" w:hAnsi="Arial" w:cs="Arial"/>
                <w:b/>
                <w:sz w:val="22"/>
                <w:szCs w:val="22"/>
              </w:rPr>
              <w:t xml:space="preserve"> States</w:t>
            </w:r>
          </w:p>
        </w:tc>
        <w:tc>
          <w:tcPr>
            <w:tcW w:w="6458" w:type="dxa"/>
          </w:tcPr>
          <w:p w:rsidR="00EF3972" w:rsidRPr="00304864" w:rsidRDefault="00EF3972" w:rsidP="00127590">
            <w:pPr>
              <w:rPr>
                <w:rFonts w:ascii="Arial" w:hAnsi="Arial" w:cs="Arial"/>
                <w:szCs w:val="22"/>
              </w:rPr>
            </w:pPr>
            <w:r w:rsidRPr="00304864">
              <w:rPr>
                <w:rFonts w:ascii="Arial" w:hAnsi="Arial" w:cs="Arial"/>
                <w:sz w:val="22"/>
                <w:szCs w:val="22"/>
              </w:rPr>
              <w:t>Croatia, Greece, Italy, Slovenia</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ICT</w:t>
            </w:r>
          </w:p>
        </w:tc>
        <w:tc>
          <w:tcPr>
            <w:tcW w:w="6458" w:type="dxa"/>
          </w:tcPr>
          <w:p w:rsidR="00DF4E40" w:rsidRPr="00304864" w:rsidRDefault="005121FD">
            <w:pPr>
              <w:rPr>
                <w:rFonts w:ascii="Arial" w:hAnsi="Arial" w:cs="Arial"/>
                <w:szCs w:val="22"/>
              </w:rPr>
            </w:pPr>
            <w:r>
              <w:rPr>
                <w:rFonts w:ascii="Arial" w:hAnsi="Arial" w:cs="Arial"/>
                <w:sz w:val="22"/>
                <w:szCs w:val="22"/>
              </w:rPr>
              <w:t>i</w:t>
            </w:r>
            <w:r w:rsidR="00DF4E40" w:rsidRPr="00304864">
              <w:rPr>
                <w:rFonts w:ascii="Arial" w:hAnsi="Arial" w:cs="Arial"/>
                <w:sz w:val="22"/>
                <w:szCs w:val="22"/>
              </w:rPr>
              <w:t xml:space="preserve">nformation and </w:t>
            </w:r>
            <w:r>
              <w:rPr>
                <w:rFonts w:ascii="Arial" w:hAnsi="Arial" w:cs="Arial"/>
                <w:sz w:val="22"/>
                <w:szCs w:val="22"/>
              </w:rPr>
              <w:t>c</w:t>
            </w:r>
            <w:r w:rsidR="00DF4E40" w:rsidRPr="00304864">
              <w:rPr>
                <w:rFonts w:ascii="Arial" w:hAnsi="Arial" w:cs="Arial"/>
                <w:sz w:val="22"/>
                <w:szCs w:val="22"/>
              </w:rPr>
              <w:t>ommunication technologies</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IP</w:t>
            </w:r>
          </w:p>
        </w:tc>
        <w:tc>
          <w:tcPr>
            <w:tcW w:w="6458" w:type="dxa"/>
          </w:tcPr>
          <w:p w:rsidR="00DF4E40" w:rsidRPr="00304864" w:rsidRDefault="005121FD">
            <w:pPr>
              <w:rPr>
                <w:rFonts w:ascii="Arial" w:hAnsi="Arial" w:cs="Arial"/>
                <w:szCs w:val="22"/>
              </w:rPr>
            </w:pPr>
            <w:r>
              <w:rPr>
                <w:rFonts w:ascii="Arial" w:hAnsi="Arial" w:cs="Arial"/>
                <w:sz w:val="22"/>
                <w:szCs w:val="22"/>
              </w:rPr>
              <w:t>i</w:t>
            </w:r>
            <w:r w:rsidR="00DF4E40" w:rsidRPr="00304864">
              <w:rPr>
                <w:rFonts w:ascii="Arial" w:hAnsi="Arial" w:cs="Arial"/>
                <w:sz w:val="22"/>
                <w:szCs w:val="22"/>
              </w:rPr>
              <w:t xml:space="preserve">nvestment </w:t>
            </w:r>
            <w:r>
              <w:rPr>
                <w:rFonts w:ascii="Arial" w:hAnsi="Arial" w:cs="Arial"/>
                <w:sz w:val="22"/>
                <w:szCs w:val="22"/>
              </w:rPr>
              <w:t>p</w:t>
            </w:r>
            <w:r w:rsidR="00DF4E40" w:rsidRPr="00304864">
              <w:rPr>
                <w:rFonts w:ascii="Arial" w:hAnsi="Arial" w:cs="Arial"/>
                <w:sz w:val="22"/>
                <w:szCs w:val="22"/>
              </w:rPr>
              <w:t>riority</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IPA</w:t>
            </w:r>
          </w:p>
        </w:tc>
        <w:tc>
          <w:tcPr>
            <w:tcW w:w="6458" w:type="dxa"/>
          </w:tcPr>
          <w:p w:rsidR="00DF4E40" w:rsidRPr="00304864" w:rsidRDefault="00DF4E40">
            <w:pPr>
              <w:rPr>
                <w:rFonts w:ascii="Arial" w:hAnsi="Arial" w:cs="Arial"/>
                <w:szCs w:val="22"/>
              </w:rPr>
            </w:pPr>
            <w:r w:rsidRPr="00304864">
              <w:rPr>
                <w:rFonts w:ascii="Arial" w:hAnsi="Arial" w:cs="Arial"/>
                <w:sz w:val="22"/>
                <w:szCs w:val="22"/>
              </w:rPr>
              <w:t>Instrument for Pre-Accession Assistance</w:t>
            </w:r>
          </w:p>
        </w:tc>
      </w:tr>
      <w:tr w:rsidR="00AC1852" w:rsidRPr="00C558E2" w:rsidTr="004E4383">
        <w:tc>
          <w:tcPr>
            <w:tcW w:w="2376" w:type="dxa"/>
          </w:tcPr>
          <w:p w:rsidR="00AC1852" w:rsidRPr="00AA3E9A" w:rsidRDefault="00AC1852" w:rsidP="00AA3E9A">
            <w:pPr>
              <w:rPr>
                <w:rFonts w:ascii="Arial" w:hAnsi="Arial" w:cs="Arial"/>
                <w:b/>
                <w:sz w:val="22"/>
                <w:szCs w:val="22"/>
              </w:rPr>
            </w:pPr>
            <w:r w:rsidRPr="00AA3E9A">
              <w:rPr>
                <w:rFonts w:ascii="Arial" w:hAnsi="Arial" w:cs="Arial"/>
                <w:b/>
                <w:sz w:val="22"/>
                <w:szCs w:val="22"/>
              </w:rPr>
              <w:t xml:space="preserve">IPA </w:t>
            </w:r>
            <w:r w:rsidR="009E59B0" w:rsidRPr="00A30AEC">
              <w:rPr>
                <w:rFonts w:ascii="Arial" w:hAnsi="Arial" w:cs="Arial"/>
                <w:b/>
                <w:sz w:val="22"/>
                <w:szCs w:val="22"/>
              </w:rPr>
              <w:t>Partner States</w:t>
            </w:r>
          </w:p>
        </w:tc>
        <w:tc>
          <w:tcPr>
            <w:tcW w:w="6458" w:type="dxa"/>
          </w:tcPr>
          <w:p w:rsidR="00AC1852" w:rsidRPr="00A30AEC" w:rsidRDefault="00AC1852" w:rsidP="00AA3E9A">
            <w:pPr>
              <w:rPr>
                <w:rFonts w:ascii="Arial" w:hAnsi="Arial" w:cs="Arial"/>
                <w:sz w:val="22"/>
                <w:szCs w:val="22"/>
                <w:lang w:val="it-IT"/>
              </w:rPr>
            </w:pPr>
            <w:r w:rsidRPr="00AA3E9A">
              <w:rPr>
                <w:rFonts w:ascii="Arial" w:hAnsi="Arial" w:cs="Arial"/>
                <w:sz w:val="22"/>
                <w:szCs w:val="22"/>
                <w:lang w:val="it-IT"/>
              </w:rPr>
              <w:t xml:space="preserve">Albania, Bosnia </w:t>
            </w:r>
            <w:r w:rsidR="00674CA9">
              <w:rPr>
                <w:rFonts w:ascii="Arial" w:hAnsi="Arial" w:cs="Arial"/>
                <w:sz w:val="22"/>
                <w:szCs w:val="22"/>
                <w:lang w:val="it-IT"/>
              </w:rPr>
              <w:t xml:space="preserve">and </w:t>
            </w:r>
            <w:r w:rsidRPr="00AA3E9A">
              <w:rPr>
                <w:rFonts w:ascii="Arial" w:hAnsi="Arial" w:cs="Arial"/>
                <w:sz w:val="22"/>
                <w:szCs w:val="22"/>
                <w:lang w:val="it-IT"/>
              </w:rPr>
              <w:t>Herzegovina, Montenegro, Serbia</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JS</w:t>
            </w:r>
          </w:p>
        </w:tc>
        <w:tc>
          <w:tcPr>
            <w:tcW w:w="6458" w:type="dxa"/>
          </w:tcPr>
          <w:p w:rsidR="00DF4E40" w:rsidRPr="00304864" w:rsidRDefault="005121FD">
            <w:pPr>
              <w:rPr>
                <w:rFonts w:ascii="Arial" w:hAnsi="Arial" w:cs="Arial"/>
                <w:szCs w:val="22"/>
              </w:rPr>
            </w:pPr>
            <w:r>
              <w:rPr>
                <w:rFonts w:ascii="Arial" w:hAnsi="Arial" w:cs="Arial"/>
                <w:sz w:val="22"/>
                <w:szCs w:val="22"/>
              </w:rPr>
              <w:t>j</w:t>
            </w:r>
            <w:r w:rsidR="00DF4E40" w:rsidRPr="00304864">
              <w:rPr>
                <w:rFonts w:ascii="Arial" w:hAnsi="Arial" w:cs="Arial"/>
                <w:sz w:val="22"/>
                <w:szCs w:val="22"/>
              </w:rPr>
              <w:t xml:space="preserve">oint </w:t>
            </w:r>
            <w:r>
              <w:rPr>
                <w:rFonts w:ascii="Arial" w:hAnsi="Arial" w:cs="Arial"/>
                <w:sz w:val="22"/>
                <w:szCs w:val="22"/>
              </w:rPr>
              <w:t>s</w:t>
            </w:r>
            <w:r w:rsidR="00DF4E40" w:rsidRPr="00304864">
              <w:rPr>
                <w:rFonts w:ascii="Arial" w:hAnsi="Arial" w:cs="Arial"/>
                <w:sz w:val="22"/>
                <w:szCs w:val="22"/>
              </w:rPr>
              <w:t>ecretariat</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MA</w:t>
            </w:r>
          </w:p>
        </w:tc>
        <w:tc>
          <w:tcPr>
            <w:tcW w:w="6458" w:type="dxa"/>
          </w:tcPr>
          <w:p w:rsidR="00DF4E40" w:rsidRPr="00304864" w:rsidRDefault="005121FD">
            <w:pPr>
              <w:rPr>
                <w:rFonts w:ascii="Arial" w:hAnsi="Arial" w:cs="Arial"/>
                <w:szCs w:val="22"/>
              </w:rPr>
            </w:pPr>
            <w:r>
              <w:rPr>
                <w:rFonts w:ascii="Arial" w:hAnsi="Arial" w:cs="Arial"/>
                <w:sz w:val="22"/>
                <w:szCs w:val="22"/>
              </w:rPr>
              <w:t>m</w:t>
            </w:r>
            <w:r w:rsidR="00DF4E40" w:rsidRPr="00304864">
              <w:rPr>
                <w:rFonts w:ascii="Arial" w:hAnsi="Arial" w:cs="Arial"/>
                <w:sz w:val="22"/>
                <w:szCs w:val="22"/>
              </w:rPr>
              <w:t xml:space="preserve">anaging </w:t>
            </w:r>
            <w:r>
              <w:rPr>
                <w:rFonts w:ascii="Arial" w:hAnsi="Arial" w:cs="Arial"/>
                <w:sz w:val="22"/>
                <w:szCs w:val="22"/>
              </w:rPr>
              <w:t>a</w:t>
            </w:r>
            <w:r w:rsidR="00DF4E40" w:rsidRPr="00304864">
              <w:rPr>
                <w:rFonts w:ascii="Arial" w:hAnsi="Arial" w:cs="Arial"/>
                <w:sz w:val="22"/>
                <w:szCs w:val="22"/>
              </w:rPr>
              <w:t>uthority</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MC</w:t>
            </w:r>
          </w:p>
        </w:tc>
        <w:tc>
          <w:tcPr>
            <w:tcW w:w="6458" w:type="dxa"/>
          </w:tcPr>
          <w:p w:rsidR="00DF4E40" w:rsidRPr="00304864" w:rsidRDefault="005121FD">
            <w:pPr>
              <w:rPr>
                <w:rFonts w:ascii="Arial" w:hAnsi="Arial" w:cs="Arial"/>
                <w:szCs w:val="22"/>
              </w:rPr>
            </w:pPr>
            <w:r>
              <w:rPr>
                <w:rFonts w:ascii="Arial" w:hAnsi="Arial" w:cs="Arial"/>
                <w:sz w:val="22"/>
                <w:szCs w:val="22"/>
              </w:rPr>
              <w:t>m</w:t>
            </w:r>
            <w:r w:rsidR="00DF4E40" w:rsidRPr="00304864">
              <w:rPr>
                <w:rFonts w:ascii="Arial" w:hAnsi="Arial" w:cs="Arial"/>
                <w:sz w:val="22"/>
                <w:szCs w:val="22"/>
              </w:rPr>
              <w:t xml:space="preserve">onitoring </w:t>
            </w:r>
            <w:r>
              <w:rPr>
                <w:rFonts w:ascii="Arial" w:hAnsi="Arial" w:cs="Arial"/>
                <w:sz w:val="22"/>
                <w:szCs w:val="22"/>
              </w:rPr>
              <w:t>c</w:t>
            </w:r>
            <w:r w:rsidR="00DF4E40" w:rsidRPr="00304864">
              <w:rPr>
                <w:rFonts w:ascii="Arial" w:hAnsi="Arial" w:cs="Arial"/>
                <w:sz w:val="22"/>
                <w:szCs w:val="22"/>
              </w:rPr>
              <w:t>ommittee</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NCP</w:t>
            </w:r>
          </w:p>
        </w:tc>
        <w:tc>
          <w:tcPr>
            <w:tcW w:w="6458" w:type="dxa"/>
          </w:tcPr>
          <w:p w:rsidR="00DF4E40" w:rsidRPr="00304864" w:rsidRDefault="005121FD">
            <w:pPr>
              <w:rPr>
                <w:rFonts w:ascii="Arial" w:hAnsi="Arial" w:cs="Arial"/>
                <w:szCs w:val="22"/>
              </w:rPr>
            </w:pPr>
            <w:r>
              <w:rPr>
                <w:rFonts w:ascii="Arial" w:hAnsi="Arial" w:cs="Arial"/>
                <w:sz w:val="22"/>
                <w:szCs w:val="22"/>
              </w:rPr>
              <w:t>n</w:t>
            </w:r>
            <w:r w:rsidR="00DF4E40" w:rsidRPr="00304864">
              <w:rPr>
                <w:rFonts w:ascii="Arial" w:hAnsi="Arial" w:cs="Arial"/>
                <w:sz w:val="22"/>
                <w:szCs w:val="22"/>
              </w:rPr>
              <w:t xml:space="preserve">ational </w:t>
            </w:r>
            <w:r>
              <w:rPr>
                <w:rFonts w:ascii="Arial" w:hAnsi="Arial" w:cs="Arial"/>
                <w:sz w:val="22"/>
                <w:szCs w:val="22"/>
              </w:rPr>
              <w:t>c</w:t>
            </w:r>
            <w:r w:rsidR="00DF4E40" w:rsidRPr="00304864">
              <w:rPr>
                <w:rFonts w:ascii="Arial" w:hAnsi="Arial" w:cs="Arial"/>
                <w:sz w:val="22"/>
                <w:szCs w:val="22"/>
              </w:rPr>
              <w:t xml:space="preserve">ontact </w:t>
            </w:r>
            <w:r>
              <w:rPr>
                <w:rFonts w:ascii="Arial" w:hAnsi="Arial" w:cs="Arial"/>
                <w:sz w:val="22"/>
                <w:szCs w:val="22"/>
              </w:rPr>
              <w:t>p</w:t>
            </w:r>
            <w:r w:rsidR="00DF4E40" w:rsidRPr="00304864">
              <w:rPr>
                <w:rFonts w:ascii="Arial" w:hAnsi="Arial" w:cs="Arial"/>
                <w:sz w:val="22"/>
                <w:szCs w:val="22"/>
              </w:rPr>
              <w:t>oint</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PA</w:t>
            </w:r>
          </w:p>
        </w:tc>
        <w:tc>
          <w:tcPr>
            <w:tcW w:w="6458" w:type="dxa"/>
          </w:tcPr>
          <w:p w:rsidR="00DF4E40" w:rsidRPr="00304864" w:rsidRDefault="005121FD">
            <w:pPr>
              <w:rPr>
                <w:rFonts w:ascii="Arial" w:hAnsi="Arial" w:cs="Arial"/>
                <w:szCs w:val="22"/>
              </w:rPr>
            </w:pPr>
            <w:r>
              <w:rPr>
                <w:rFonts w:ascii="Arial" w:hAnsi="Arial" w:cs="Arial"/>
                <w:sz w:val="22"/>
                <w:szCs w:val="22"/>
              </w:rPr>
              <w:t>p</w:t>
            </w:r>
            <w:r w:rsidR="00DF4E40" w:rsidRPr="00304864">
              <w:rPr>
                <w:rFonts w:ascii="Arial" w:hAnsi="Arial" w:cs="Arial"/>
                <w:sz w:val="22"/>
                <w:szCs w:val="22"/>
              </w:rPr>
              <w:t xml:space="preserve">riority </w:t>
            </w:r>
            <w:r>
              <w:rPr>
                <w:rFonts w:ascii="Arial" w:hAnsi="Arial" w:cs="Arial"/>
                <w:sz w:val="22"/>
                <w:szCs w:val="22"/>
              </w:rPr>
              <w:t>a</w:t>
            </w:r>
            <w:r w:rsidR="00DF4E40" w:rsidRPr="00304864">
              <w:rPr>
                <w:rFonts w:ascii="Arial" w:hAnsi="Arial" w:cs="Arial"/>
                <w:sz w:val="22"/>
                <w:szCs w:val="22"/>
              </w:rPr>
              <w:t>xis</w:t>
            </w:r>
          </w:p>
        </w:tc>
      </w:tr>
      <w:tr w:rsidR="00DF4E40" w:rsidRPr="008F7B62"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Partner States</w:t>
            </w:r>
          </w:p>
        </w:tc>
        <w:tc>
          <w:tcPr>
            <w:tcW w:w="6458" w:type="dxa"/>
          </w:tcPr>
          <w:p w:rsidR="00DF4E40" w:rsidRPr="00304864" w:rsidRDefault="00AC1852" w:rsidP="00AA3E9A">
            <w:pPr>
              <w:rPr>
                <w:rFonts w:ascii="Arial" w:hAnsi="Arial" w:cs="Arial"/>
                <w:szCs w:val="22"/>
                <w:lang w:val="it-IT"/>
              </w:rPr>
            </w:pPr>
            <w:r w:rsidRPr="00A30AEC">
              <w:rPr>
                <w:rFonts w:ascii="Arial" w:hAnsi="Arial" w:cs="Arial"/>
                <w:sz w:val="22"/>
                <w:szCs w:val="22"/>
                <w:lang w:val="it-IT"/>
              </w:rPr>
              <w:t>Croatia, Greece, Italy, Slovenia</w:t>
            </w:r>
            <w:r w:rsidR="003E2F90">
              <w:rPr>
                <w:rFonts w:ascii="Arial" w:hAnsi="Arial" w:cs="Arial"/>
                <w:sz w:val="22"/>
                <w:szCs w:val="22"/>
                <w:lang w:val="it-IT"/>
              </w:rPr>
              <w:t>,</w:t>
            </w:r>
            <w:r w:rsidR="00DF4E40" w:rsidRPr="00AA3E9A">
              <w:rPr>
                <w:rFonts w:ascii="Arial" w:hAnsi="Arial" w:cs="Arial"/>
                <w:sz w:val="22"/>
                <w:szCs w:val="22"/>
                <w:lang w:val="it-IT"/>
              </w:rPr>
              <w:t xml:space="preserve">Albania, Bosnia </w:t>
            </w:r>
            <w:r w:rsidR="00674CA9">
              <w:rPr>
                <w:rFonts w:ascii="Arial" w:hAnsi="Arial" w:cs="Arial"/>
                <w:sz w:val="22"/>
                <w:szCs w:val="22"/>
                <w:lang w:val="it-IT"/>
              </w:rPr>
              <w:t xml:space="preserve">and </w:t>
            </w:r>
            <w:r w:rsidR="00DF4E40" w:rsidRPr="00AA3E9A">
              <w:rPr>
                <w:rFonts w:ascii="Arial" w:hAnsi="Arial" w:cs="Arial"/>
                <w:sz w:val="22"/>
                <w:szCs w:val="22"/>
                <w:lang w:val="it-IT"/>
              </w:rPr>
              <w:t>Herzegovina, Montenegro, Serbia</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SEA</w:t>
            </w:r>
          </w:p>
        </w:tc>
        <w:tc>
          <w:tcPr>
            <w:tcW w:w="6458" w:type="dxa"/>
          </w:tcPr>
          <w:p w:rsidR="00DF4E40" w:rsidRPr="00304864" w:rsidRDefault="00DF4E40">
            <w:pPr>
              <w:rPr>
                <w:rFonts w:ascii="Arial" w:hAnsi="Arial" w:cs="Arial"/>
                <w:szCs w:val="22"/>
              </w:rPr>
            </w:pPr>
            <w:r w:rsidRPr="00304864">
              <w:rPr>
                <w:rFonts w:ascii="Arial" w:hAnsi="Arial" w:cs="Arial"/>
                <w:sz w:val="22"/>
                <w:szCs w:val="22"/>
              </w:rPr>
              <w:t>Strategic Environmental Assessment</w:t>
            </w:r>
          </w:p>
        </w:tc>
      </w:tr>
      <w:tr w:rsidR="00DF4E40" w:rsidRPr="00304864" w:rsidTr="00615BD2">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RIS3</w:t>
            </w:r>
          </w:p>
        </w:tc>
        <w:tc>
          <w:tcPr>
            <w:tcW w:w="6458" w:type="dxa"/>
          </w:tcPr>
          <w:p w:rsidR="00DF4E40" w:rsidRPr="00304864" w:rsidRDefault="00DF4E40">
            <w:pPr>
              <w:rPr>
                <w:rFonts w:ascii="Arial" w:hAnsi="Arial" w:cs="Arial"/>
                <w:szCs w:val="22"/>
              </w:rPr>
            </w:pPr>
            <w:r w:rsidRPr="00304864">
              <w:rPr>
                <w:rFonts w:ascii="Arial" w:hAnsi="Arial" w:cs="Arial"/>
                <w:bCs/>
                <w:sz w:val="22"/>
                <w:szCs w:val="22"/>
              </w:rPr>
              <w:t xml:space="preserve">Research and Innovation Strategies for Smart Specialisation </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SEE</w:t>
            </w:r>
          </w:p>
        </w:tc>
        <w:tc>
          <w:tcPr>
            <w:tcW w:w="6458" w:type="dxa"/>
          </w:tcPr>
          <w:p w:rsidR="00DF4E40" w:rsidRPr="00304864" w:rsidRDefault="00DF4E40">
            <w:pPr>
              <w:rPr>
                <w:rFonts w:ascii="Arial" w:hAnsi="Arial" w:cs="Arial"/>
                <w:szCs w:val="22"/>
              </w:rPr>
            </w:pPr>
            <w:r w:rsidRPr="00304864">
              <w:rPr>
                <w:rFonts w:ascii="Arial" w:hAnsi="Arial" w:cs="Arial"/>
                <w:sz w:val="22"/>
                <w:szCs w:val="22"/>
              </w:rPr>
              <w:t>South East Programme 2007-2013</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SME</w:t>
            </w:r>
          </w:p>
        </w:tc>
        <w:tc>
          <w:tcPr>
            <w:tcW w:w="6458" w:type="dxa"/>
          </w:tcPr>
          <w:p w:rsidR="00DF4E40" w:rsidRPr="00304864" w:rsidRDefault="00DF4E40">
            <w:pPr>
              <w:rPr>
                <w:rFonts w:ascii="Arial" w:hAnsi="Arial" w:cs="Arial"/>
                <w:szCs w:val="22"/>
              </w:rPr>
            </w:pPr>
            <w:r w:rsidRPr="00304864">
              <w:rPr>
                <w:rFonts w:ascii="Arial" w:hAnsi="Arial" w:cs="Arial"/>
                <w:sz w:val="22"/>
                <w:szCs w:val="22"/>
              </w:rPr>
              <w:t>Small and Medium sized Enterprises</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 xml:space="preserve">SO </w:t>
            </w:r>
          </w:p>
        </w:tc>
        <w:tc>
          <w:tcPr>
            <w:tcW w:w="6458" w:type="dxa"/>
          </w:tcPr>
          <w:p w:rsidR="00DF4E40" w:rsidRPr="00304864" w:rsidRDefault="005121FD">
            <w:pPr>
              <w:rPr>
                <w:rFonts w:ascii="Arial" w:hAnsi="Arial" w:cs="Arial"/>
                <w:szCs w:val="22"/>
              </w:rPr>
            </w:pPr>
            <w:r>
              <w:rPr>
                <w:rFonts w:ascii="Arial" w:hAnsi="Arial" w:cs="Arial"/>
                <w:sz w:val="22"/>
                <w:szCs w:val="22"/>
              </w:rPr>
              <w:t>s</w:t>
            </w:r>
            <w:r w:rsidR="00DF4E40" w:rsidRPr="00304864">
              <w:rPr>
                <w:rFonts w:ascii="Arial" w:hAnsi="Arial" w:cs="Arial"/>
                <w:sz w:val="22"/>
                <w:szCs w:val="22"/>
              </w:rPr>
              <w:t xml:space="preserve">pecific </w:t>
            </w:r>
            <w:r>
              <w:rPr>
                <w:rFonts w:ascii="Arial" w:hAnsi="Arial" w:cs="Arial"/>
                <w:sz w:val="22"/>
                <w:szCs w:val="22"/>
              </w:rPr>
              <w:t>o</w:t>
            </w:r>
            <w:r w:rsidR="00DF4E40" w:rsidRPr="00304864">
              <w:rPr>
                <w:rFonts w:ascii="Arial" w:hAnsi="Arial" w:cs="Arial"/>
                <w:sz w:val="22"/>
                <w:szCs w:val="22"/>
              </w:rPr>
              <w:t>bjective</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SWOT (analysis)</w:t>
            </w:r>
          </w:p>
        </w:tc>
        <w:tc>
          <w:tcPr>
            <w:tcW w:w="6458" w:type="dxa"/>
          </w:tcPr>
          <w:p w:rsidR="00DF4E40" w:rsidRPr="00304864" w:rsidRDefault="005121FD">
            <w:pPr>
              <w:rPr>
                <w:rFonts w:ascii="Arial" w:hAnsi="Arial" w:cs="Arial"/>
                <w:szCs w:val="22"/>
              </w:rPr>
            </w:pPr>
            <w:r>
              <w:rPr>
                <w:rFonts w:ascii="Arial" w:hAnsi="Arial" w:cs="Arial"/>
                <w:sz w:val="22"/>
                <w:szCs w:val="22"/>
              </w:rPr>
              <w:t>s</w:t>
            </w:r>
            <w:r w:rsidR="00DF4E40" w:rsidRPr="00304864">
              <w:rPr>
                <w:rFonts w:ascii="Arial" w:hAnsi="Arial" w:cs="Arial"/>
                <w:sz w:val="22"/>
                <w:szCs w:val="22"/>
              </w:rPr>
              <w:t xml:space="preserve">trength, </w:t>
            </w:r>
            <w:r>
              <w:rPr>
                <w:rFonts w:ascii="Arial" w:hAnsi="Arial" w:cs="Arial"/>
                <w:sz w:val="22"/>
                <w:szCs w:val="22"/>
              </w:rPr>
              <w:t>w</w:t>
            </w:r>
            <w:r w:rsidR="00DF4E40" w:rsidRPr="00304864">
              <w:rPr>
                <w:rFonts w:ascii="Arial" w:hAnsi="Arial" w:cs="Arial"/>
                <w:sz w:val="22"/>
                <w:szCs w:val="22"/>
              </w:rPr>
              <w:t xml:space="preserve">eaknesses, </w:t>
            </w:r>
            <w:r>
              <w:rPr>
                <w:rFonts w:ascii="Arial" w:hAnsi="Arial" w:cs="Arial"/>
                <w:sz w:val="22"/>
                <w:szCs w:val="22"/>
              </w:rPr>
              <w:t>o</w:t>
            </w:r>
            <w:r w:rsidR="00DF4E40" w:rsidRPr="00304864">
              <w:rPr>
                <w:rFonts w:ascii="Arial" w:hAnsi="Arial" w:cs="Arial"/>
                <w:sz w:val="22"/>
                <w:szCs w:val="22"/>
              </w:rPr>
              <w:t xml:space="preserve">pportunities and </w:t>
            </w:r>
            <w:r>
              <w:rPr>
                <w:rFonts w:ascii="Arial" w:hAnsi="Arial" w:cs="Arial"/>
                <w:sz w:val="22"/>
                <w:szCs w:val="22"/>
              </w:rPr>
              <w:t>t</w:t>
            </w:r>
            <w:r w:rsidR="00DF4E40" w:rsidRPr="00304864">
              <w:rPr>
                <w:rFonts w:ascii="Arial" w:hAnsi="Arial" w:cs="Arial"/>
                <w:sz w:val="22"/>
                <w:szCs w:val="22"/>
              </w:rPr>
              <w:t>hreats</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TA</w:t>
            </w:r>
          </w:p>
        </w:tc>
        <w:tc>
          <w:tcPr>
            <w:tcW w:w="6458" w:type="dxa"/>
          </w:tcPr>
          <w:p w:rsidR="00DF4E40" w:rsidRPr="00304864" w:rsidRDefault="005121FD">
            <w:pPr>
              <w:rPr>
                <w:rFonts w:ascii="Arial" w:hAnsi="Arial" w:cs="Arial"/>
                <w:szCs w:val="22"/>
              </w:rPr>
            </w:pPr>
            <w:r>
              <w:rPr>
                <w:rFonts w:ascii="Arial" w:hAnsi="Arial" w:cs="Arial"/>
                <w:sz w:val="22"/>
                <w:szCs w:val="22"/>
              </w:rPr>
              <w:t>t</w:t>
            </w:r>
            <w:r w:rsidR="00DF4E40" w:rsidRPr="00304864">
              <w:rPr>
                <w:rFonts w:ascii="Arial" w:hAnsi="Arial" w:cs="Arial"/>
                <w:sz w:val="22"/>
                <w:szCs w:val="22"/>
              </w:rPr>
              <w:t xml:space="preserve">echnical </w:t>
            </w:r>
            <w:r>
              <w:rPr>
                <w:rFonts w:ascii="Arial" w:hAnsi="Arial" w:cs="Arial"/>
                <w:sz w:val="22"/>
                <w:szCs w:val="22"/>
              </w:rPr>
              <w:t>a</w:t>
            </w:r>
            <w:r w:rsidR="00DF4E40" w:rsidRPr="00304864">
              <w:rPr>
                <w:rFonts w:ascii="Arial" w:hAnsi="Arial" w:cs="Arial"/>
                <w:sz w:val="22"/>
                <w:szCs w:val="22"/>
              </w:rPr>
              <w:t>ssistance</w:t>
            </w:r>
          </w:p>
        </w:tc>
      </w:tr>
      <w:tr w:rsidR="00DF4E40" w:rsidRPr="00304864" w:rsidTr="004E4383">
        <w:tc>
          <w:tcPr>
            <w:tcW w:w="2376" w:type="dxa"/>
          </w:tcPr>
          <w:p w:rsidR="00DF4E40" w:rsidRPr="00AA3E9A" w:rsidRDefault="00DF4E40" w:rsidP="00AA3E9A">
            <w:pPr>
              <w:rPr>
                <w:rFonts w:ascii="Arial" w:hAnsi="Arial" w:cs="Arial"/>
                <w:b/>
                <w:szCs w:val="22"/>
              </w:rPr>
            </w:pPr>
            <w:r w:rsidRPr="00AA3E9A">
              <w:rPr>
                <w:rFonts w:ascii="Arial" w:hAnsi="Arial" w:cs="Arial"/>
                <w:b/>
                <w:sz w:val="22"/>
                <w:szCs w:val="22"/>
              </w:rPr>
              <w:t xml:space="preserve">TO </w:t>
            </w:r>
          </w:p>
        </w:tc>
        <w:tc>
          <w:tcPr>
            <w:tcW w:w="6458" w:type="dxa"/>
          </w:tcPr>
          <w:p w:rsidR="00DF4E40" w:rsidRPr="00304864" w:rsidRDefault="005121FD">
            <w:pPr>
              <w:rPr>
                <w:rFonts w:ascii="Arial" w:hAnsi="Arial" w:cs="Arial"/>
                <w:szCs w:val="22"/>
              </w:rPr>
            </w:pPr>
            <w:r>
              <w:rPr>
                <w:rFonts w:ascii="Arial" w:hAnsi="Arial" w:cs="Arial"/>
                <w:sz w:val="22"/>
                <w:szCs w:val="22"/>
              </w:rPr>
              <w:t>t</w:t>
            </w:r>
            <w:r w:rsidR="00DF4E40" w:rsidRPr="00304864">
              <w:rPr>
                <w:rFonts w:ascii="Arial" w:hAnsi="Arial" w:cs="Arial"/>
                <w:sz w:val="22"/>
                <w:szCs w:val="22"/>
              </w:rPr>
              <w:t xml:space="preserve">hematic </w:t>
            </w:r>
            <w:r>
              <w:rPr>
                <w:rFonts w:ascii="Arial" w:hAnsi="Arial" w:cs="Arial"/>
                <w:sz w:val="22"/>
                <w:szCs w:val="22"/>
              </w:rPr>
              <w:t>o</w:t>
            </w:r>
            <w:r w:rsidR="00DF4E40" w:rsidRPr="00304864">
              <w:rPr>
                <w:rFonts w:ascii="Arial" w:hAnsi="Arial" w:cs="Arial"/>
                <w:sz w:val="22"/>
                <w:szCs w:val="22"/>
              </w:rPr>
              <w:t>bjective</w:t>
            </w:r>
          </w:p>
        </w:tc>
      </w:tr>
      <w:tr w:rsidR="00E30729" w:rsidRPr="00304864" w:rsidTr="00E30729">
        <w:tc>
          <w:tcPr>
            <w:tcW w:w="8834" w:type="dxa"/>
            <w:gridSpan w:val="2"/>
          </w:tcPr>
          <w:p w:rsidR="00E30729" w:rsidRPr="00A30AEC" w:rsidRDefault="00E30729">
            <w:pPr>
              <w:rPr>
                <w:rFonts w:ascii="Arial" w:hAnsi="Arial" w:cs="Arial"/>
                <w:i/>
                <w:sz w:val="22"/>
                <w:szCs w:val="22"/>
              </w:rPr>
            </w:pPr>
            <w:r w:rsidRPr="00A30AEC">
              <w:rPr>
                <w:rFonts w:ascii="Arial" w:hAnsi="Arial" w:cs="Arial"/>
                <w:i/>
                <w:sz w:val="22"/>
                <w:szCs w:val="22"/>
              </w:rPr>
              <w:t>Lead Partner and Lead beneficiary have been used as synonyms</w:t>
            </w:r>
          </w:p>
        </w:tc>
      </w:tr>
      <w:tr w:rsidR="00E30729" w:rsidRPr="00304864" w:rsidTr="00E30729">
        <w:tc>
          <w:tcPr>
            <w:tcW w:w="8834" w:type="dxa"/>
            <w:gridSpan w:val="2"/>
          </w:tcPr>
          <w:p w:rsidR="00E30729" w:rsidRPr="00A30AEC" w:rsidRDefault="00E30729" w:rsidP="00E30729">
            <w:pPr>
              <w:rPr>
                <w:rFonts w:ascii="Arial" w:hAnsi="Arial" w:cs="Arial"/>
                <w:i/>
                <w:sz w:val="22"/>
                <w:szCs w:val="22"/>
              </w:rPr>
            </w:pPr>
            <w:r w:rsidRPr="00A30AEC">
              <w:rPr>
                <w:rFonts w:ascii="Arial" w:hAnsi="Arial" w:cs="Arial"/>
                <w:i/>
                <w:sz w:val="22"/>
                <w:szCs w:val="22"/>
              </w:rPr>
              <w:t>Project Partner and project beneficiary have been used as synonyms</w:t>
            </w:r>
          </w:p>
        </w:tc>
      </w:tr>
    </w:tbl>
    <w:p w:rsidR="00DF4E40" w:rsidRPr="00AA3E9A" w:rsidRDefault="00DF4E40" w:rsidP="00AA3E9A">
      <w:pPr>
        <w:rPr>
          <w:rFonts w:ascii="Arial" w:hAnsi="Arial" w:cs="Arial"/>
          <w:sz w:val="22"/>
          <w:szCs w:val="22"/>
        </w:rPr>
      </w:pPr>
    </w:p>
    <w:p w:rsidR="00DF4E40" w:rsidRPr="00304864" w:rsidRDefault="00DF4E40">
      <w:pPr>
        <w:rPr>
          <w:rFonts w:ascii="Arial" w:hAnsi="Arial" w:cs="Arial"/>
          <w:sz w:val="22"/>
          <w:szCs w:val="22"/>
        </w:rPr>
      </w:pPr>
    </w:p>
    <w:p w:rsidR="00531153" w:rsidRDefault="00DF4E40" w:rsidP="00A30AEC">
      <w:pPr>
        <w:jc w:val="left"/>
      </w:pPr>
      <w:r w:rsidRPr="00304864">
        <w:rPr>
          <w:rFonts w:ascii="Arial" w:hAnsi="Arial" w:cs="Arial"/>
          <w:sz w:val="22"/>
          <w:szCs w:val="22"/>
        </w:rPr>
        <w:br w:type="page"/>
      </w:r>
    </w:p>
    <w:p w:rsidR="007549AE" w:rsidRPr="00A30AEC" w:rsidRDefault="00365F12" w:rsidP="00A30AEC">
      <w:pPr>
        <w:pStyle w:val="TOC1"/>
        <w:spacing w:before="0"/>
        <w:ind w:left="0" w:firstLine="0"/>
        <w:rPr>
          <w:rFonts w:ascii="Arial" w:hAnsi="Arial" w:cs="Arial"/>
          <w:caps w:val="0"/>
          <w:noProof/>
          <w:sz w:val="20"/>
          <w:lang w:val="it-IT" w:eastAsia="it-IT"/>
        </w:rPr>
      </w:pPr>
      <w:r w:rsidRPr="00365F12">
        <w:rPr>
          <w:rFonts w:ascii="Arial" w:hAnsi="Arial" w:cs="Arial"/>
          <w:sz w:val="20"/>
        </w:rPr>
        <w:fldChar w:fldCharType="begin"/>
      </w:r>
      <w:r w:rsidR="00531153" w:rsidRPr="00A30AEC">
        <w:rPr>
          <w:rFonts w:ascii="Arial" w:hAnsi="Arial" w:cs="Arial"/>
          <w:sz w:val="20"/>
        </w:rPr>
        <w:instrText xml:space="preserve"> TOC \o "1-3" \h \z \u </w:instrText>
      </w:r>
      <w:r w:rsidRPr="00365F12">
        <w:rPr>
          <w:rFonts w:ascii="Arial" w:hAnsi="Arial" w:cs="Arial"/>
          <w:sz w:val="20"/>
        </w:rPr>
        <w:fldChar w:fldCharType="separate"/>
      </w:r>
      <w:hyperlink w:anchor="_Toc421076816" w:history="1">
        <w:r w:rsidR="007549AE" w:rsidRPr="00A30AEC">
          <w:rPr>
            <w:rStyle w:val="Hyperlink"/>
            <w:rFonts w:ascii="Arial" w:hAnsi="Arial" w:cs="Arial"/>
            <w:b/>
            <w:sz w:val="20"/>
            <w:u w:val="none"/>
          </w:rPr>
          <w:t>Section 1. Strategy for the cooperation programme's contribution to the union strategy for smart, sustainable and inclusive growth and the achievement of economic, social and territorial cohesion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_Toc421076816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rPr>
          <w:rFonts w:ascii="Arial" w:hAnsi="Arial" w:cs="Arial"/>
          <w:noProof/>
          <w:sz w:val="20"/>
          <w:lang w:val="it-IT" w:eastAsia="it-IT"/>
        </w:rPr>
      </w:pPr>
      <w:hyperlink w:anchor="_Toc421076817" w:history="1">
        <w:r w:rsidR="007549AE" w:rsidRPr="00A30AEC">
          <w:rPr>
            <w:rStyle w:val="Hyperlink"/>
            <w:rFonts w:ascii="Arial" w:hAnsi="Arial" w:cs="Arial"/>
            <w:b/>
            <w:i/>
            <w:sz w:val="20"/>
            <w:u w:val="none"/>
          </w:rPr>
          <w:t>1.1</w:t>
        </w:r>
        <w:r w:rsidR="007549AE" w:rsidRPr="00A30AEC">
          <w:rPr>
            <w:rFonts w:ascii="Arial" w:hAnsi="Arial" w:cs="Arial"/>
            <w:b/>
            <w:i/>
            <w:noProof/>
            <w:sz w:val="20"/>
            <w:lang w:val="it-IT" w:eastAsia="it-IT"/>
          </w:rPr>
          <w:tab/>
          <w:t xml:space="preserve">. </w:t>
        </w:r>
        <w:r w:rsidR="007549AE" w:rsidRPr="00A30AEC">
          <w:rPr>
            <w:rStyle w:val="Hyperlink"/>
            <w:rFonts w:ascii="Arial" w:hAnsi="Arial" w:cs="Arial"/>
            <w:b/>
            <w:i/>
            <w:sz w:val="20"/>
            <w:u w:val="none"/>
          </w:rPr>
          <w:t>Strategy for the cooperation programme's contribution to the Union strategy for smart, sustainable and inclusive growth and to the achievement of economic, social and territorial cohesion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_Toc421076817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jc w:val="left"/>
        <w:rPr>
          <w:rFonts w:ascii="Arial" w:hAnsi="Arial" w:cs="Arial"/>
          <w:noProof/>
          <w:sz w:val="20"/>
          <w:lang w:val="it-IT" w:eastAsia="it-IT"/>
        </w:rPr>
      </w:pPr>
      <w:hyperlink w:anchor="_Toc421076818" w:history="1">
        <w:r w:rsidR="007549AE" w:rsidRPr="00A30AEC">
          <w:rPr>
            <w:rStyle w:val="Hyperlink"/>
            <w:rFonts w:ascii="Arial" w:hAnsi="Arial" w:cs="Arial"/>
            <w:i/>
            <w:sz w:val="20"/>
          </w:rPr>
          <w:t>1.1.1.</w:t>
        </w:r>
      </w:hyperlink>
      <w:hyperlink w:anchor="_Toc421076819" w:history="1">
        <w:r w:rsidR="007549AE" w:rsidRPr="00A30AEC">
          <w:rPr>
            <w:rStyle w:val="Hyperlink"/>
            <w:rFonts w:ascii="Arial" w:hAnsi="Arial" w:cs="Arial"/>
            <w:i/>
            <w:sz w:val="20"/>
            <w:u w:val="none"/>
          </w:rPr>
          <w:t>Description of the cooperation programme’s strategy for contributing to the delivery of the Union strategy for smart, sustainable and inclusive growth and for achieving economic, social and territorial cohesion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_Toc421076819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0" w:history="1">
        <w:r w:rsidR="007549AE" w:rsidRPr="00A30AEC">
          <w:rPr>
            <w:rStyle w:val="Hyperlink"/>
            <w:rFonts w:ascii="Arial" w:hAnsi="Arial" w:cs="Arial"/>
            <w:sz w:val="20"/>
          </w:rPr>
          <w:t>The context of the programme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1" w:history="1">
        <w:r w:rsidR="007549AE" w:rsidRPr="00A30AEC">
          <w:rPr>
            <w:rStyle w:val="Hyperlink"/>
            <w:rFonts w:ascii="Arial" w:hAnsi="Arial" w:cs="Arial"/>
            <w:sz w:val="20"/>
          </w:rPr>
          <w:t>Strategic response by the programme to contribute to EU2020</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11</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2" w:history="1">
        <w:r w:rsidR="007549AE" w:rsidRPr="00A30AEC">
          <w:rPr>
            <w:rStyle w:val="Hyperlink"/>
            <w:rFonts w:ascii="Arial" w:hAnsi="Arial" w:cs="Arial"/>
            <w:sz w:val="20"/>
          </w:rPr>
          <w:t>Lessons from the past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3" w:history="1">
        <w:r w:rsidR="007549AE" w:rsidRPr="00A30AEC">
          <w:rPr>
            <w:rStyle w:val="Hyperlink"/>
            <w:rFonts w:ascii="Arial" w:hAnsi="Arial" w:cs="Arial"/>
            <w:sz w:val="20"/>
          </w:rPr>
          <w:t>Main findings on the economic, territorial and social context of ADRION Area</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4" w:history="1">
        <w:r w:rsidR="007549AE" w:rsidRPr="00A30AEC">
          <w:rPr>
            <w:rStyle w:val="Hyperlink"/>
            <w:rFonts w:ascii="Arial" w:hAnsi="Arial" w:cs="Arial"/>
            <w:sz w:val="20"/>
          </w:rPr>
          <w:t>Topography and Land uses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5" w:history="1">
        <w:r w:rsidR="007549AE" w:rsidRPr="00A30AEC">
          <w:rPr>
            <w:rStyle w:val="Hyperlink"/>
            <w:rFonts w:ascii="Arial" w:hAnsi="Arial" w:cs="Arial"/>
            <w:sz w:val="20"/>
          </w:rPr>
          <w:t>Accessibility.</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6" w:history="1">
        <w:r w:rsidR="007549AE" w:rsidRPr="00A30AEC">
          <w:rPr>
            <w:rStyle w:val="Hyperlink"/>
            <w:rFonts w:ascii="Arial" w:hAnsi="Arial" w:cs="Arial"/>
            <w:sz w:val="20"/>
          </w:rPr>
          <w:t>Logistics efficiency and economic development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16</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7" w:history="1">
        <w:r w:rsidR="007549AE" w:rsidRPr="00A30AEC">
          <w:rPr>
            <w:rStyle w:val="Hyperlink"/>
            <w:rFonts w:ascii="Arial" w:hAnsi="Arial" w:cs="Arial"/>
            <w:sz w:val="20"/>
          </w:rPr>
          <w:t>Cultural Heritage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17</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8" w:history="1">
        <w:r w:rsidR="007549AE" w:rsidRPr="00A30AEC">
          <w:rPr>
            <w:rStyle w:val="Hyperlink"/>
            <w:rFonts w:ascii="Arial" w:hAnsi="Arial" w:cs="Arial"/>
            <w:sz w:val="20"/>
          </w:rPr>
          <w:t>Tourism</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17</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29" w:history="1">
        <w:r w:rsidR="007549AE" w:rsidRPr="00A30AEC">
          <w:rPr>
            <w:rStyle w:val="Hyperlink"/>
            <w:rFonts w:ascii="Arial" w:hAnsi="Arial" w:cs="Arial"/>
            <w:sz w:val="20"/>
          </w:rPr>
          <w:t>Research and innovation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_Toc421076829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0" w:history="1">
        <w:r w:rsidR="007549AE" w:rsidRPr="00A30AEC">
          <w:rPr>
            <w:rStyle w:val="Hyperlink"/>
            <w:rFonts w:ascii="Arial" w:hAnsi="Arial" w:cs="Arial"/>
            <w:sz w:val="20"/>
          </w:rPr>
          <w:t>EUSAIR Governance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1" w:history="1">
        <w:r w:rsidR="007549AE" w:rsidRPr="00A30AEC">
          <w:rPr>
            <w:rStyle w:val="Hyperlink"/>
            <w:rFonts w:ascii="Arial" w:hAnsi="Arial" w:cs="Arial"/>
            <w:sz w:val="20"/>
          </w:rPr>
          <w:t>SWOT analysis of the ADRION area</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20</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2" w:history="1">
        <w:r w:rsidR="007549AE" w:rsidRPr="00A30AEC">
          <w:rPr>
            <w:rStyle w:val="Hyperlink"/>
            <w:rFonts w:ascii="Arial" w:hAnsi="Arial" w:cs="Arial"/>
            <w:sz w:val="20"/>
          </w:rPr>
          <w:t>Strategy of the transnational ADRION programme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28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3" w:history="1">
        <w:r w:rsidR="007549AE" w:rsidRPr="00A30AEC">
          <w:rPr>
            <w:rStyle w:val="Hyperlink"/>
            <w:rFonts w:ascii="Arial" w:hAnsi="Arial" w:cs="Arial"/>
            <w:sz w:val="20"/>
          </w:rPr>
          <w:t>Overall objective of the Programme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28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4" w:history="1">
        <w:r w:rsidR="007549AE" w:rsidRPr="00A30AEC">
          <w:rPr>
            <w:rStyle w:val="Hyperlink"/>
            <w:rFonts w:ascii="Arial" w:hAnsi="Arial" w:cs="Arial"/>
            <w:sz w:val="20"/>
          </w:rPr>
          <w:t>Type of contribution expected from the ADRION Programme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29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5" w:history="1">
        <w:r w:rsidR="007549AE" w:rsidRPr="00A30AEC">
          <w:rPr>
            <w:rStyle w:val="Hyperlink"/>
            <w:rFonts w:ascii="Arial" w:hAnsi="Arial" w:cs="Arial"/>
            <w:sz w:val="20"/>
          </w:rPr>
          <w:t>Selected Thematic Objectives, Investment Priorities and Specific Objectives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30</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6" w:history="1">
        <w:r w:rsidR="007549AE" w:rsidRPr="00A30AEC">
          <w:rPr>
            <w:rStyle w:val="Hyperlink"/>
            <w:rFonts w:ascii="Arial" w:hAnsi="Arial" w:cs="Arial"/>
            <w:sz w:val="20"/>
          </w:rPr>
          <w:t>Horizontal dimensions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32</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7" w:history="1">
        <w:r w:rsidR="007549AE" w:rsidRPr="00A30AEC">
          <w:rPr>
            <w:rStyle w:val="Hyperlink"/>
            <w:rFonts w:ascii="Arial" w:hAnsi="Arial" w:cs="Arial"/>
            <w:sz w:val="20"/>
          </w:rPr>
          <w:t>Information and Communication Technologies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32</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8" w:history="1">
        <w:r w:rsidR="007549AE" w:rsidRPr="00A30AEC">
          <w:rPr>
            <w:rStyle w:val="Hyperlink"/>
            <w:rFonts w:ascii="Arial" w:hAnsi="Arial" w:cs="Arial"/>
            <w:sz w:val="20"/>
          </w:rPr>
          <w:t>Social cohesion and social innovation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32</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39" w:history="1">
        <w:r w:rsidR="007549AE" w:rsidRPr="00A30AEC">
          <w:rPr>
            <w:rStyle w:val="Hyperlink"/>
            <w:rFonts w:ascii="Arial" w:hAnsi="Arial" w:cs="Arial"/>
            <w:sz w:val="20"/>
          </w:rPr>
          <w:t>Data and knowledge management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_Toc421076839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32</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40" w:history="1">
        <w:r w:rsidR="007549AE" w:rsidRPr="00A30AEC">
          <w:rPr>
            <w:rStyle w:val="Hyperlink"/>
            <w:rFonts w:ascii="Arial" w:hAnsi="Arial" w:cs="Arial"/>
            <w:sz w:val="20"/>
          </w:rPr>
          <w:t>Territorial and eco-systemic approach</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32</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41" w:history="1">
        <w:r w:rsidR="007549AE" w:rsidRPr="00A30AEC">
          <w:rPr>
            <w:rStyle w:val="Hyperlink"/>
            <w:rFonts w:ascii="Arial" w:hAnsi="Arial" w:cs="Arial"/>
            <w:sz w:val="20"/>
          </w:rPr>
          <w:t>Justification of the financial allocation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35</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842" w:history="1">
        <w:r w:rsidR="007549AE" w:rsidRPr="00A30AEC">
          <w:rPr>
            <w:rStyle w:val="Hyperlink"/>
            <w:rFonts w:ascii="Arial" w:hAnsi="Arial" w:cs="Arial"/>
            <w:b/>
            <w:sz w:val="20"/>
            <w:u w:val="none"/>
          </w:rPr>
          <w:t>Section 2. priority axes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38</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43" w:history="1">
        <w:r w:rsidR="007549AE" w:rsidRPr="00A30AEC">
          <w:rPr>
            <w:rStyle w:val="Hyperlink"/>
            <w:rFonts w:ascii="Arial" w:hAnsi="Arial" w:cs="Arial"/>
            <w:b/>
            <w:sz w:val="20"/>
            <w:u w:val="none"/>
          </w:rPr>
          <w:t>Section 2.A.Description of the priority axes other than technical assistance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44" w:history="1">
        <w:r w:rsidR="007549AE" w:rsidRPr="00A30AEC">
          <w:rPr>
            <w:rStyle w:val="Hyperlink"/>
            <w:rFonts w:ascii="Arial" w:hAnsi="Arial" w:cs="Arial"/>
            <w:i/>
            <w:sz w:val="20"/>
            <w:u w:val="none"/>
          </w:rPr>
          <w:t>2.A.1. Priority Axis 1</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45" w:history="1">
        <w:r w:rsidR="007549AE" w:rsidRPr="00A30AEC">
          <w:rPr>
            <w:rStyle w:val="Hyperlink"/>
            <w:rFonts w:ascii="Arial" w:hAnsi="Arial" w:cs="Arial"/>
            <w:i/>
            <w:sz w:val="20"/>
            <w:u w:val="none"/>
          </w:rPr>
          <w:t>2.A.2. Justification for the establishment of a priority axis covering more than one thematic objective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46" w:history="1">
        <w:r w:rsidR="007549AE" w:rsidRPr="00A30AEC">
          <w:rPr>
            <w:rStyle w:val="Hyperlink"/>
            <w:rFonts w:ascii="Arial" w:hAnsi="Arial" w:cs="Arial"/>
            <w:i/>
            <w:sz w:val="20"/>
            <w:u w:val="none"/>
          </w:rPr>
          <w:t>2.A.3. Fund and calculation basis for the Union support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47" w:history="1">
        <w:r w:rsidR="007549AE" w:rsidRPr="00A30AEC">
          <w:rPr>
            <w:rStyle w:val="Hyperlink"/>
            <w:rFonts w:ascii="Arial" w:hAnsi="Arial" w:cs="Arial"/>
            <w:i/>
            <w:sz w:val="20"/>
            <w:u w:val="none"/>
          </w:rPr>
          <w:t>2.A.4. Investment priority 1.b</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48" w:history="1">
        <w:r w:rsidR="007549AE" w:rsidRPr="00A30AEC">
          <w:rPr>
            <w:rStyle w:val="Hyperlink"/>
            <w:rFonts w:ascii="Arial" w:hAnsi="Arial" w:cs="Arial"/>
            <w:i/>
            <w:sz w:val="20"/>
            <w:u w:val="none"/>
          </w:rPr>
          <w:t>2.A.5.Specific objective corresponding to the investment priority and expected results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39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i/>
          <w:noProof/>
          <w:sz w:val="20"/>
          <w:lang w:val="it-IT" w:eastAsia="it-IT"/>
        </w:rPr>
      </w:pPr>
      <w:hyperlink w:anchor="_Toc421076849" w:history="1">
        <w:r w:rsidR="007549AE" w:rsidRPr="00A30AEC">
          <w:rPr>
            <w:rStyle w:val="Hyperlink"/>
            <w:rFonts w:ascii="Arial" w:hAnsi="Arial" w:cs="Arial"/>
            <w:i/>
            <w:sz w:val="20"/>
          </w:rPr>
          <w:t>2.A.6.Actions to be supported under the investment priority</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_Toc421076849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42</w:t>
        </w:r>
        <w:r w:rsidRPr="00A30AEC">
          <w:rPr>
            <w:rFonts w:ascii="Arial" w:hAnsi="Arial" w:cs="Arial"/>
            <w:noProof/>
            <w:webHidden/>
            <w:sz w:val="20"/>
          </w:rPr>
          <w:fldChar w:fldCharType="end"/>
        </w:r>
      </w:hyperlink>
    </w:p>
    <w:p w:rsidR="007549AE" w:rsidRPr="00A30AEC" w:rsidRDefault="00365F12" w:rsidP="00A30AEC">
      <w:pPr>
        <w:pStyle w:val="TOC2"/>
        <w:tabs>
          <w:tab w:val="left" w:pos="1916"/>
        </w:tabs>
        <w:spacing w:before="0" w:after="120"/>
        <w:ind w:left="0" w:firstLine="0"/>
        <w:rPr>
          <w:rFonts w:ascii="Arial" w:hAnsi="Arial" w:cs="Arial"/>
          <w:noProof/>
          <w:sz w:val="20"/>
          <w:lang w:val="it-IT" w:eastAsia="it-IT"/>
        </w:rPr>
      </w:pPr>
      <w:hyperlink w:anchor="_Toc421076850" w:history="1">
        <w:r w:rsidR="007549AE" w:rsidRPr="00A30AEC">
          <w:rPr>
            <w:rStyle w:val="Hyperlink"/>
            <w:rFonts w:ascii="Arial" w:hAnsi="Arial" w:cs="Arial"/>
            <w:i/>
            <w:sz w:val="20"/>
            <w:u w:val="none"/>
          </w:rPr>
          <w:t>2.A.6.1 A description of the type and examples of actions  to be supported and their expected contribution to the specific objectives, including, where appropriate, identification of the main target groups, specific territories targeted and types of beneficiaries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42</w:t>
        </w:r>
        <w:r w:rsidRPr="00A30AEC">
          <w:rPr>
            <w:rFonts w:ascii="Arial" w:hAnsi="Arial" w:cs="Arial"/>
            <w:noProof/>
            <w:webHidden/>
            <w:sz w:val="20"/>
          </w:rPr>
          <w:fldChar w:fldCharType="end"/>
        </w:r>
      </w:hyperlink>
    </w:p>
    <w:p w:rsidR="007549AE" w:rsidRPr="00A30AEC" w:rsidRDefault="00365F12" w:rsidP="00A30AEC">
      <w:pPr>
        <w:pStyle w:val="TOC2"/>
        <w:tabs>
          <w:tab w:val="left" w:pos="1916"/>
        </w:tabs>
        <w:spacing w:before="0" w:after="120"/>
        <w:ind w:left="0" w:firstLine="0"/>
        <w:rPr>
          <w:rFonts w:ascii="Arial" w:hAnsi="Arial" w:cs="Arial"/>
          <w:noProof/>
          <w:sz w:val="20"/>
          <w:lang w:val="it-IT" w:eastAsia="it-IT"/>
        </w:rPr>
      </w:pPr>
      <w:hyperlink w:anchor="_Toc421076851" w:history="1">
        <w:r w:rsidR="007549AE" w:rsidRPr="00A30AEC">
          <w:rPr>
            <w:rStyle w:val="Hyperlink"/>
            <w:rFonts w:ascii="Arial" w:hAnsi="Arial" w:cs="Arial"/>
            <w:i/>
            <w:sz w:val="20"/>
            <w:u w:val="none"/>
          </w:rPr>
          <w:t>2.A.6.2.Guiding principles for the selection of operations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43</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52" w:history="1">
        <w:r w:rsidR="007549AE" w:rsidRPr="00A30AEC">
          <w:rPr>
            <w:rStyle w:val="Hyperlink"/>
            <w:rFonts w:ascii="Arial" w:hAnsi="Arial" w:cs="Arial"/>
            <w:i/>
            <w:sz w:val="20"/>
            <w:u w:val="none"/>
          </w:rPr>
          <w:t>2.A.6.3. Planned use of financial instruments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45</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53" w:history="1">
        <w:r w:rsidR="007549AE" w:rsidRPr="00A30AEC">
          <w:rPr>
            <w:rStyle w:val="Hyperlink"/>
            <w:rFonts w:ascii="Arial" w:hAnsi="Arial" w:cs="Arial"/>
            <w:i/>
            <w:sz w:val="20"/>
            <w:u w:val="none"/>
          </w:rPr>
          <w:t>2.A.6.4. Planned use of major projects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45</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54" w:history="1">
        <w:r w:rsidR="007549AE" w:rsidRPr="00A30AEC">
          <w:rPr>
            <w:rStyle w:val="Hyperlink"/>
            <w:rFonts w:ascii="Arial" w:hAnsi="Arial" w:cs="Arial"/>
            <w:i/>
            <w:sz w:val="20"/>
            <w:u w:val="none"/>
          </w:rPr>
          <w:t>2.A.6.5. Output indicators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46</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55" w:history="1">
        <w:r w:rsidR="007549AE" w:rsidRPr="00A30AEC">
          <w:rPr>
            <w:rStyle w:val="Hyperlink"/>
            <w:rFonts w:ascii="Arial" w:hAnsi="Arial" w:cs="Arial"/>
            <w:i/>
            <w:sz w:val="20"/>
            <w:u w:val="none"/>
          </w:rPr>
          <w:t>2.A.7. Performance framework</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47</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56" w:history="1">
        <w:r w:rsidR="007549AE" w:rsidRPr="00A30AEC">
          <w:rPr>
            <w:rStyle w:val="Hyperlink"/>
            <w:rFonts w:ascii="Arial" w:hAnsi="Arial" w:cs="Arial"/>
            <w:i/>
            <w:sz w:val="20"/>
            <w:u w:val="none"/>
          </w:rPr>
          <w:t xml:space="preserve">2.A.1. Priority Axis </w:t>
        </w:r>
        <w:r w:rsidR="007549AE" w:rsidRPr="00A30AEC">
          <w:rPr>
            <w:rStyle w:val="Hyperlink"/>
            <w:rFonts w:ascii="Arial" w:hAnsi="Arial" w:cs="Arial"/>
            <w:sz w:val="20"/>
          </w:rPr>
          <w:t>2</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57" w:history="1">
        <w:r w:rsidR="007549AE" w:rsidRPr="00A30AEC">
          <w:rPr>
            <w:rStyle w:val="Hyperlink"/>
            <w:rFonts w:ascii="Arial" w:hAnsi="Arial" w:cs="Arial"/>
            <w:i/>
            <w:sz w:val="20"/>
            <w:u w:val="none"/>
          </w:rPr>
          <w:t>2.A.2. Justification for the establishment of a priority axis covering more than one thematic objective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i/>
          <w:noProof/>
          <w:sz w:val="20"/>
          <w:lang w:val="it-IT" w:eastAsia="it-IT"/>
        </w:rPr>
      </w:pPr>
      <w:hyperlink w:anchor="_Toc421076858" w:history="1">
        <w:r w:rsidR="007549AE" w:rsidRPr="00A30AEC">
          <w:rPr>
            <w:rStyle w:val="Hyperlink"/>
            <w:rFonts w:ascii="Arial" w:hAnsi="Arial" w:cs="Arial"/>
            <w:i/>
            <w:sz w:val="20"/>
          </w:rPr>
          <w:t>2.A.3. Fund and calculation basis for the Union support</w:t>
        </w:r>
        <w:r w:rsidR="007549AE" w:rsidRPr="00A30AEC">
          <w:rPr>
            <w:rFonts w:ascii="Arial" w:hAnsi="Arial" w:cs="Arial"/>
            <w:i/>
            <w:noProof/>
            <w:webHidden/>
            <w:sz w:val="20"/>
          </w:rPr>
          <w:tab/>
        </w:r>
        <w:r w:rsidRPr="00A30AEC">
          <w:rPr>
            <w:rFonts w:ascii="Arial" w:hAnsi="Arial" w:cs="Arial"/>
            <w:i/>
            <w:noProof/>
            <w:webHidden/>
            <w:sz w:val="20"/>
          </w:rPr>
          <w:fldChar w:fldCharType="begin"/>
        </w:r>
        <w:r w:rsidR="007549AE" w:rsidRPr="00A30AEC">
          <w:rPr>
            <w:rFonts w:ascii="Arial" w:hAnsi="Arial" w:cs="Arial"/>
            <w:i/>
            <w:noProof/>
            <w:webHidden/>
            <w:sz w:val="20"/>
          </w:rPr>
          <w:instrText xml:space="preserve"> PAGEREF _Toc421076858 \h </w:instrText>
        </w:r>
        <w:r w:rsidRPr="00A30AEC">
          <w:rPr>
            <w:rFonts w:ascii="Arial" w:hAnsi="Arial" w:cs="Arial"/>
            <w:i/>
            <w:noProof/>
            <w:webHidden/>
            <w:sz w:val="20"/>
          </w:rPr>
        </w:r>
        <w:r w:rsidRPr="00A30AEC">
          <w:rPr>
            <w:rFonts w:ascii="Arial" w:hAnsi="Arial" w:cs="Arial"/>
            <w:i/>
            <w:noProof/>
            <w:webHidden/>
            <w:sz w:val="20"/>
          </w:rPr>
          <w:fldChar w:fldCharType="separate"/>
        </w:r>
        <w:r w:rsidR="00791C49">
          <w:rPr>
            <w:rFonts w:ascii="Arial" w:hAnsi="Arial" w:cs="Arial"/>
            <w:i/>
            <w:noProof/>
            <w:webHidden/>
            <w:sz w:val="20"/>
          </w:rPr>
          <w:t>48</w:t>
        </w:r>
        <w:r w:rsidRPr="00A30AEC">
          <w:rPr>
            <w:rFonts w:ascii="Arial" w:hAnsi="Arial" w:cs="Arial"/>
            <w:i/>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59" w:history="1">
        <w:r w:rsidR="007549AE" w:rsidRPr="00A30AEC">
          <w:rPr>
            <w:rStyle w:val="Hyperlink"/>
            <w:rFonts w:ascii="Arial" w:hAnsi="Arial" w:cs="Arial"/>
            <w:i/>
            <w:sz w:val="20"/>
            <w:u w:val="none"/>
          </w:rPr>
          <w:t>2.A.4. Investment Priority 4c</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_Toc421076859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60" w:history="1">
        <w:r w:rsidR="007549AE" w:rsidRPr="00A30AEC">
          <w:rPr>
            <w:rStyle w:val="Hyperlink"/>
            <w:rFonts w:ascii="Arial" w:hAnsi="Arial" w:cs="Arial"/>
            <w:i/>
            <w:sz w:val="20"/>
            <w:u w:val="none"/>
          </w:rPr>
          <w:t>2.A.5. Specific objective corresponding to the investment priority and expected results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48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61" w:history="1">
        <w:r w:rsidR="007549AE" w:rsidRPr="00A30AEC">
          <w:rPr>
            <w:rStyle w:val="Hyperlink"/>
            <w:rFonts w:ascii="Arial" w:hAnsi="Arial" w:cs="Arial"/>
            <w:i/>
            <w:sz w:val="20"/>
            <w:u w:val="none"/>
          </w:rPr>
          <w:t>2.A.6.Actions to be supported under the investment priority</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51</w:t>
        </w:r>
        <w:r w:rsidRPr="00A30AEC">
          <w:rPr>
            <w:rFonts w:ascii="Arial" w:hAnsi="Arial" w:cs="Arial"/>
            <w:noProof/>
            <w:webHidden/>
            <w:sz w:val="20"/>
          </w:rPr>
          <w:fldChar w:fldCharType="end"/>
        </w:r>
      </w:hyperlink>
    </w:p>
    <w:p w:rsidR="007549AE" w:rsidRPr="00A30AEC" w:rsidRDefault="00365F12" w:rsidP="00A30AEC">
      <w:pPr>
        <w:pStyle w:val="TOC2"/>
        <w:tabs>
          <w:tab w:val="left" w:pos="1916"/>
        </w:tabs>
        <w:spacing w:before="0" w:after="120"/>
        <w:ind w:left="0" w:firstLine="0"/>
        <w:rPr>
          <w:rFonts w:ascii="Arial" w:hAnsi="Arial" w:cs="Arial"/>
          <w:noProof/>
          <w:sz w:val="20"/>
          <w:lang w:val="it-IT" w:eastAsia="it-IT"/>
        </w:rPr>
      </w:pPr>
      <w:hyperlink w:anchor="_Toc421076862" w:history="1">
        <w:r w:rsidR="007549AE" w:rsidRPr="00A30AEC">
          <w:rPr>
            <w:rStyle w:val="Hyperlink"/>
            <w:rFonts w:ascii="Arial" w:hAnsi="Arial" w:cs="Arial"/>
            <w:i/>
            <w:sz w:val="20"/>
            <w:u w:val="none"/>
          </w:rPr>
          <w:t>2.A.6.1 A description of the type and examples of actions  to be supported and their expected contribution to the specific objectives, including, where appropriate, identification of the main target groups, specific territories targeted and types of beneficiaries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51</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63" w:history="1">
        <w:r w:rsidR="007549AE" w:rsidRPr="00A30AEC">
          <w:rPr>
            <w:rStyle w:val="Hyperlink"/>
            <w:rFonts w:ascii="Arial" w:hAnsi="Arial" w:cs="Arial"/>
            <w:i/>
            <w:sz w:val="20"/>
            <w:u w:val="none"/>
          </w:rPr>
          <w:t>2.A.6.2.The guiding principles for the selection of operations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52</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64" w:history="1">
        <w:r w:rsidR="007549AE" w:rsidRPr="00A30AEC">
          <w:rPr>
            <w:rStyle w:val="Hyperlink"/>
            <w:rFonts w:ascii="Arial" w:hAnsi="Arial" w:cs="Arial"/>
            <w:i/>
            <w:sz w:val="20"/>
            <w:u w:val="none"/>
          </w:rPr>
          <w:t>2.A.6.3.Planned use of financial instruments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54</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65" w:history="1">
        <w:r w:rsidR="007549AE" w:rsidRPr="00A30AEC">
          <w:rPr>
            <w:rStyle w:val="Hyperlink"/>
            <w:rFonts w:ascii="Arial" w:hAnsi="Arial" w:cs="Arial"/>
            <w:i/>
            <w:sz w:val="20"/>
            <w:u w:val="none"/>
          </w:rPr>
          <w:t>2.A.6.4 Planned use of major projects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54</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66" w:history="1">
        <w:r w:rsidR="007549AE" w:rsidRPr="00A30AEC">
          <w:rPr>
            <w:rStyle w:val="Hyperlink"/>
            <w:rFonts w:ascii="Arial" w:hAnsi="Arial" w:cs="Arial"/>
            <w:i/>
            <w:sz w:val="20"/>
            <w:u w:val="none"/>
          </w:rPr>
          <w:t>2.A.6.5.Output indicators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67" w:history="1">
        <w:r w:rsidR="007549AE" w:rsidRPr="00A30AEC">
          <w:rPr>
            <w:rStyle w:val="Hyperlink"/>
            <w:rFonts w:ascii="Arial" w:hAnsi="Arial" w:cs="Arial"/>
            <w:i/>
            <w:sz w:val="20"/>
            <w:u w:val="none"/>
          </w:rPr>
          <w:t>2.A.4. Investment priority 6d</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68" w:history="1">
        <w:r w:rsidR="007549AE" w:rsidRPr="00A30AEC">
          <w:rPr>
            <w:rStyle w:val="Hyperlink"/>
            <w:rFonts w:ascii="Arial" w:hAnsi="Arial" w:cs="Arial"/>
            <w:i/>
            <w:sz w:val="20"/>
            <w:u w:val="none"/>
          </w:rPr>
          <w:t>2.A.5.Specific objective corresponding to the investment priority and expected results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69" w:history="1">
        <w:r w:rsidR="007549AE" w:rsidRPr="00A30AEC">
          <w:rPr>
            <w:rStyle w:val="Hyperlink"/>
            <w:rFonts w:ascii="Arial" w:hAnsi="Arial" w:cs="Arial"/>
            <w:i/>
            <w:sz w:val="20"/>
            <w:u w:val="none"/>
          </w:rPr>
          <w:t>2.A.6.Actions to be supported under the investment priority</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_Toc421076869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58</w:t>
        </w:r>
        <w:r w:rsidRPr="00A30AEC">
          <w:rPr>
            <w:rFonts w:ascii="Arial" w:hAnsi="Arial" w:cs="Arial"/>
            <w:noProof/>
            <w:webHidden/>
            <w:sz w:val="20"/>
          </w:rPr>
          <w:fldChar w:fldCharType="end"/>
        </w:r>
      </w:hyperlink>
    </w:p>
    <w:p w:rsidR="007549AE" w:rsidRPr="00A30AEC" w:rsidRDefault="00365F12" w:rsidP="00A30AEC">
      <w:pPr>
        <w:pStyle w:val="TOC2"/>
        <w:tabs>
          <w:tab w:val="left" w:pos="1916"/>
        </w:tabs>
        <w:spacing w:before="0" w:after="120"/>
        <w:ind w:left="0" w:firstLine="0"/>
        <w:rPr>
          <w:rFonts w:ascii="Arial" w:hAnsi="Arial" w:cs="Arial"/>
          <w:noProof/>
          <w:sz w:val="20"/>
          <w:lang w:val="it-IT" w:eastAsia="it-IT"/>
        </w:rPr>
      </w:pPr>
      <w:hyperlink w:anchor="_Toc421076870" w:history="1">
        <w:r w:rsidR="007549AE" w:rsidRPr="00A30AEC">
          <w:rPr>
            <w:rStyle w:val="Hyperlink"/>
            <w:rFonts w:ascii="Arial" w:hAnsi="Arial" w:cs="Arial"/>
            <w:i/>
            <w:sz w:val="20"/>
            <w:u w:val="none"/>
          </w:rPr>
          <w:t>2.A.6.1 A description of the type and examples of actions  to be supported and their expected contribution to the specific objectives, including, where appropriate, identification of the main target groups, specific territories targeted and types of beneficiaries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58</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71" w:history="1">
        <w:r w:rsidR="007549AE" w:rsidRPr="00A30AEC">
          <w:rPr>
            <w:rStyle w:val="Hyperlink"/>
            <w:rFonts w:ascii="Arial" w:hAnsi="Arial" w:cs="Arial"/>
            <w:i/>
            <w:sz w:val="20"/>
            <w:u w:val="none"/>
          </w:rPr>
          <w:t>2.A.6.2.The guiding principles for the selection of operations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60</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72" w:history="1">
        <w:r w:rsidR="007549AE" w:rsidRPr="00A30AEC">
          <w:rPr>
            <w:rStyle w:val="Hyperlink"/>
            <w:rFonts w:ascii="Arial" w:hAnsi="Arial" w:cs="Arial"/>
            <w:i/>
            <w:sz w:val="20"/>
            <w:u w:val="none"/>
          </w:rPr>
          <w:t>2.A.6.3.Planned use of financial instruments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62</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73" w:history="1">
        <w:r w:rsidR="007549AE" w:rsidRPr="00A30AEC">
          <w:rPr>
            <w:rStyle w:val="Hyperlink"/>
            <w:rFonts w:ascii="Arial" w:hAnsi="Arial" w:cs="Arial"/>
            <w:i/>
            <w:sz w:val="20"/>
            <w:u w:val="none"/>
          </w:rPr>
          <w:t>2.A.6.4. Planned use of major projects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62</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74" w:history="1">
        <w:r w:rsidR="007549AE" w:rsidRPr="00A30AEC">
          <w:rPr>
            <w:rStyle w:val="Hyperlink"/>
            <w:rFonts w:ascii="Arial" w:hAnsi="Arial" w:cs="Arial"/>
            <w:i/>
            <w:sz w:val="20"/>
            <w:u w:val="none"/>
          </w:rPr>
          <w:t>2.A.6.5.Output indicators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62</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75" w:history="1">
        <w:r w:rsidR="007549AE" w:rsidRPr="00A30AEC">
          <w:rPr>
            <w:rStyle w:val="Hyperlink"/>
            <w:rFonts w:ascii="Arial" w:hAnsi="Arial" w:cs="Arial"/>
            <w:i/>
            <w:sz w:val="20"/>
            <w:u w:val="none"/>
          </w:rPr>
          <w:t>2.A.7. Performance framework</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76" w:history="1">
        <w:r w:rsidR="007549AE" w:rsidRPr="00A30AEC">
          <w:rPr>
            <w:rStyle w:val="Hyperlink"/>
            <w:rFonts w:ascii="Arial" w:hAnsi="Arial" w:cs="Arial"/>
            <w:i/>
            <w:sz w:val="20"/>
            <w:u w:val="none"/>
          </w:rPr>
          <w:t>2.A.1. Priority Axis 3</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77" w:history="1">
        <w:r w:rsidR="007549AE" w:rsidRPr="00A30AEC">
          <w:rPr>
            <w:rStyle w:val="Hyperlink"/>
            <w:rFonts w:ascii="Arial" w:hAnsi="Arial" w:cs="Arial"/>
            <w:i/>
            <w:sz w:val="20"/>
            <w:u w:val="none"/>
          </w:rPr>
          <w:t>2.A.2. Justification for the establishment of a priority axis covering more than one thematic objective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78" w:history="1">
        <w:r w:rsidR="007549AE" w:rsidRPr="00A30AEC">
          <w:rPr>
            <w:rStyle w:val="Hyperlink"/>
            <w:rFonts w:ascii="Arial" w:hAnsi="Arial" w:cs="Arial"/>
            <w:i/>
            <w:sz w:val="20"/>
            <w:u w:val="none"/>
          </w:rPr>
          <w:t>2.A.3. Fund and calculation basis for the Union support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79" w:history="1">
        <w:r w:rsidR="007549AE" w:rsidRPr="00A30AEC">
          <w:rPr>
            <w:rStyle w:val="Hyperlink"/>
            <w:rFonts w:ascii="Arial" w:hAnsi="Arial" w:cs="Arial"/>
            <w:i/>
            <w:sz w:val="20"/>
            <w:u w:val="none"/>
          </w:rPr>
          <w:t>2.A.4. Investment priority 7c</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_Toc421076879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80" w:history="1">
        <w:r w:rsidR="007549AE" w:rsidRPr="00A30AEC">
          <w:rPr>
            <w:rStyle w:val="Hyperlink"/>
            <w:rFonts w:ascii="Arial" w:hAnsi="Arial" w:cs="Arial"/>
            <w:i/>
            <w:sz w:val="20"/>
            <w:u w:val="none"/>
          </w:rPr>
          <w:t>2.A.5. Specific objective corresponding to the investment priority and expected results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81" w:history="1">
        <w:r w:rsidR="007549AE" w:rsidRPr="00A30AEC">
          <w:rPr>
            <w:rStyle w:val="Hyperlink"/>
            <w:rFonts w:ascii="Arial" w:hAnsi="Arial" w:cs="Arial"/>
            <w:i/>
            <w:sz w:val="20"/>
            <w:u w:val="none"/>
          </w:rPr>
          <w:t>2.A.6.Actions to be supported under the investment priority</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68</w:t>
        </w:r>
        <w:r w:rsidRPr="00A30AEC">
          <w:rPr>
            <w:rFonts w:ascii="Arial" w:hAnsi="Arial" w:cs="Arial"/>
            <w:noProof/>
            <w:webHidden/>
            <w:sz w:val="20"/>
          </w:rPr>
          <w:fldChar w:fldCharType="end"/>
        </w:r>
      </w:hyperlink>
    </w:p>
    <w:p w:rsidR="007549AE" w:rsidRPr="00A30AEC" w:rsidRDefault="00365F12" w:rsidP="00A30AEC">
      <w:pPr>
        <w:pStyle w:val="TOC2"/>
        <w:tabs>
          <w:tab w:val="left" w:pos="1916"/>
        </w:tabs>
        <w:spacing w:before="0" w:after="120"/>
        <w:ind w:left="0" w:firstLine="0"/>
        <w:rPr>
          <w:rFonts w:ascii="Arial" w:hAnsi="Arial" w:cs="Arial"/>
          <w:noProof/>
          <w:sz w:val="20"/>
          <w:lang w:val="it-IT" w:eastAsia="it-IT"/>
        </w:rPr>
      </w:pPr>
      <w:hyperlink w:anchor="_Toc421076882" w:history="1">
        <w:r w:rsidR="007549AE" w:rsidRPr="00A30AEC">
          <w:rPr>
            <w:rStyle w:val="Hyperlink"/>
            <w:rFonts w:ascii="Arial" w:hAnsi="Arial" w:cs="Arial"/>
            <w:i/>
            <w:sz w:val="20"/>
            <w:u w:val="none"/>
          </w:rPr>
          <w:t>2.A.6.1 A description of the type and examples of actions  to be supported and their expected contribution to the specific objectives, including, where appropriate, identification of the main target groups, specific territories targeted and types of beneficiarie</w:t>
        </w:r>
        <w:r w:rsidR="007549AE" w:rsidRPr="00A30AEC">
          <w:rPr>
            <w:rStyle w:val="Hyperlink"/>
            <w:rFonts w:ascii="Arial" w:hAnsi="Arial" w:cs="Arial"/>
            <w:sz w:val="20"/>
          </w:rPr>
          <w: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68</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83" w:history="1">
        <w:r w:rsidR="007549AE" w:rsidRPr="00A30AEC">
          <w:rPr>
            <w:rStyle w:val="Hyperlink"/>
            <w:rFonts w:ascii="Arial" w:hAnsi="Arial" w:cs="Arial"/>
            <w:i/>
            <w:sz w:val="20"/>
            <w:u w:val="none"/>
          </w:rPr>
          <w:t>2.A.6.2.The guiding principles for the selection of operations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69</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84" w:history="1">
        <w:r w:rsidR="007549AE" w:rsidRPr="00A30AEC">
          <w:rPr>
            <w:rStyle w:val="Hyperlink"/>
            <w:rFonts w:ascii="Arial" w:hAnsi="Arial" w:cs="Arial"/>
            <w:i/>
            <w:sz w:val="20"/>
            <w:u w:val="none"/>
          </w:rPr>
          <w:t>2.A.6.3.Planned use of financial instruments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71</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85" w:history="1">
        <w:r w:rsidR="007549AE" w:rsidRPr="00A30AEC">
          <w:rPr>
            <w:rStyle w:val="Hyperlink"/>
            <w:rFonts w:ascii="Arial" w:hAnsi="Arial" w:cs="Arial"/>
            <w:i/>
            <w:sz w:val="20"/>
            <w:u w:val="none"/>
          </w:rPr>
          <w:t>2.A.6.4. Planned use of major projects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71</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86" w:history="1">
        <w:r w:rsidR="007549AE" w:rsidRPr="00A30AEC">
          <w:rPr>
            <w:rStyle w:val="Hyperlink"/>
            <w:rFonts w:ascii="Arial" w:hAnsi="Arial" w:cs="Arial"/>
            <w:i/>
            <w:sz w:val="20"/>
            <w:u w:val="none"/>
          </w:rPr>
          <w:t>2.A.6.5.Output indicators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71</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87" w:history="1">
        <w:r w:rsidR="007549AE" w:rsidRPr="00A30AEC">
          <w:rPr>
            <w:rStyle w:val="Hyperlink"/>
            <w:rFonts w:ascii="Arial" w:hAnsi="Arial" w:cs="Arial"/>
            <w:i/>
            <w:sz w:val="20"/>
            <w:u w:val="none"/>
          </w:rPr>
          <w:t>2.A.7. Performance framework</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72</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88" w:history="1">
        <w:r w:rsidR="007549AE" w:rsidRPr="00A30AEC">
          <w:rPr>
            <w:rStyle w:val="Hyperlink"/>
            <w:rFonts w:ascii="Arial" w:hAnsi="Arial" w:cs="Arial"/>
            <w:i/>
            <w:sz w:val="20"/>
            <w:u w:val="none"/>
          </w:rPr>
          <w:t>2.A.1 Priority Axis 4</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89" w:history="1">
        <w:r w:rsidR="007549AE" w:rsidRPr="00A30AEC">
          <w:rPr>
            <w:rStyle w:val="Hyperlink"/>
            <w:rFonts w:ascii="Arial" w:hAnsi="Arial" w:cs="Arial"/>
            <w:i/>
            <w:sz w:val="20"/>
            <w:u w:val="none"/>
          </w:rPr>
          <w:t>2.A.2. Justification for the establishment of a priority axis covering more than one thematic objective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_Toc421076889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90" w:history="1">
        <w:r w:rsidR="007549AE" w:rsidRPr="00A30AEC">
          <w:rPr>
            <w:rStyle w:val="Hyperlink"/>
            <w:rFonts w:ascii="Arial" w:hAnsi="Arial" w:cs="Arial"/>
            <w:i/>
            <w:sz w:val="20"/>
            <w:u w:val="none"/>
          </w:rPr>
          <w:t>2.A.3. Fund and calculation basis for the Union support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91" w:history="1">
        <w:r w:rsidR="007549AE" w:rsidRPr="00A30AEC">
          <w:rPr>
            <w:rStyle w:val="Hyperlink"/>
            <w:rFonts w:ascii="Arial" w:hAnsi="Arial" w:cs="Arial"/>
            <w:i/>
            <w:sz w:val="20"/>
            <w:u w:val="none"/>
          </w:rPr>
          <w:t>2.A.4. Investment priority 11</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92" w:history="1">
        <w:r w:rsidR="007549AE" w:rsidRPr="00A30AEC">
          <w:rPr>
            <w:rStyle w:val="Hyperlink"/>
            <w:rFonts w:ascii="Arial" w:hAnsi="Arial" w:cs="Arial"/>
            <w:i/>
            <w:sz w:val="20"/>
            <w:u w:val="none"/>
          </w:rPr>
          <w:t>2.A.5. Specific objective corresponding to the investment priority and expected results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893" w:history="1">
        <w:r w:rsidR="007549AE" w:rsidRPr="00A30AEC">
          <w:rPr>
            <w:rStyle w:val="Hyperlink"/>
            <w:rFonts w:ascii="Arial" w:hAnsi="Arial" w:cs="Arial"/>
            <w:i/>
            <w:sz w:val="20"/>
            <w:u w:val="none"/>
          </w:rPr>
          <w:t>2.A.6.Actions to be supported under the investment priority</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76</w:t>
        </w:r>
        <w:r w:rsidRPr="00A30AEC">
          <w:rPr>
            <w:rFonts w:ascii="Arial" w:hAnsi="Arial" w:cs="Arial"/>
            <w:noProof/>
            <w:webHidden/>
            <w:sz w:val="20"/>
          </w:rPr>
          <w:fldChar w:fldCharType="end"/>
        </w:r>
      </w:hyperlink>
    </w:p>
    <w:p w:rsidR="007549AE" w:rsidRPr="00A30AEC" w:rsidRDefault="00365F12" w:rsidP="00A30AEC">
      <w:pPr>
        <w:pStyle w:val="TOC2"/>
        <w:tabs>
          <w:tab w:val="left" w:pos="1916"/>
        </w:tabs>
        <w:spacing w:before="0" w:after="120"/>
        <w:ind w:left="0" w:firstLine="0"/>
        <w:rPr>
          <w:rFonts w:ascii="Arial" w:hAnsi="Arial" w:cs="Arial"/>
          <w:noProof/>
          <w:sz w:val="20"/>
          <w:lang w:val="it-IT" w:eastAsia="it-IT"/>
        </w:rPr>
      </w:pPr>
      <w:hyperlink w:anchor="_Toc421076894" w:history="1">
        <w:r w:rsidR="007549AE" w:rsidRPr="00A30AEC">
          <w:rPr>
            <w:rStyle w:val="Hyperlink"/>
            <w:rFonts w:ascii="Arial" w:hAnsi="Arial" w:cs="Arial"/>
            <w:i/>
            <w:sz w:val="20"/>
            <w:u w:val="none"/>
          </w:rPr>
          <w:t>2.A.6.1 A description of the type and examples of actions  to be supported and their expected contribution to the specific objectives, including, where appropriate, identification of the main target groups, specific territories targeted and types of beneficiaries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76</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95" w:history="1">
        <w:r w:rsidR="007549AE" w:rsidRPr="00A30AEC">
          <w:rPr>
            <w:rStyle w:val="Hyperlink"/>
            <w:rFonts w:ascii="Arial" w:hAnsi="Arial" w:cs="Arial"/>
            <w:i/>
            <w:sz w:val="20"/>
            <w:u w:val="none"/>
          </w:rPr>
          <w:t>2.A.6.2.The guiding principles for the selection of operations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77</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96" w:history="1">
        <w:r w:rsidR="007549AE" w:rsidRPr="00A30AEC">
          <w:rPr>
            <w:rStyle w:val="Hyperlink"/>
            <w:rFonts w:ascii="Arial" w:hAnsi="Arial" w:cs="Arial"/>
            <w:i/>
            <w:sz w:val="20"/>
            <w:u w:val="none"/>
          </w:rPr>
          <w:t>2.A.6.3.Planned use of financial instruments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77</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97" w:history="1">
        <w:r w:rsidR="007549AE" w:rsidRPr="00A30AEC">
          <w:rPr>
            <w:rStyle w:val="Hyperlink"/>
            <w:rFonts w:ascii="Arial" w:hAnsi="Arial" w:cs="Arial"/>
            <w:i/>
            <w:sz w:val="20"/>
            <w:u w:val="none"/>
          </w:rPr>
          <w:t>2.A.6.4. Planned use of major projects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77</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98" w:history="1">
        <w:r w:rsidR="007549AE" w:rsidRPr="00A30AEC">
          <w:rPr>
            <w:rStyle w:val="Hyperlink"/>
            <w:rFonts w:ascii="Arial" w:hAnsi="Arial" w:cs="Arial"/>
            <w:i/>
            <w:sz w:val="20"/>
            <w:u w:val="none"/>
          </w:rPr>
          <w:t>2.A.6.5.Output indicators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77</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899" w:history="1">
        <w:r w:rsidR="007549AE" w:rsidRPr="00A30AEC">
          <w:rPr>
            <w:rStyle w:val="Hyperlink"/>
            <w:rFonts w:ascii="Arial" w:hAnsi="Arial" w:cs="Arial"/>
            <w:i/>
            <w:sz w:val="20"/>
            <w:u w:val="none"/>
          </w:rPr>
          <w:t>2.A.7. Performance framework</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_Toc421076899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79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0" w:history="1">
        <w:r w:rsidR="007549AE" w:rsidRPr="00A30AEC">
          <w:rPr>
            <w:rStyle w:val="Hyperlink"/>
            <w:rFonts w:ascii="Arial" w:hAnsi="Arial" w:cs="Arial"/>
            <w:i/>
            <w:sz w:val="20"/>
            <w:u w:val="none"/>
          </w:rPr>
          <w:t>2.A.8.Categories of intervention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80</w:t>
        </w:r>
        <w:r w:rsidRPr="00A30AEC">
          <w:rPr>
            <w:rFonts w:ascii="Arial" w:hAnsi="Arial" w:cs="Arial"/>
            <w:noProof/>
            <w:webHidden/>
            <w:sz w:val="20"/>
          </w:rPr>
          <w:fldChar w:fldCharType="end"/>
        </w:r>
      </w:hyperlink>
    </w:p>
    <w:p w:rsidR="007549AE" w:rsidRPr="00A30AEC" w:rsidRDefault="00365F12" w:rsidP="00A30AEC">
      <w:pPr>
        <w:pStyle w:val="TOC2"/>
        <w:tabs>
          <w:tab w:val="left" w:pos="1916"/>
        </w:tabs>
        <w:spacing w:before="0" w:after="120"/>
        <w:ind w:left="0" w:firstLine="0"/>
        <w:rPr>
          <w:rFonts w:ascii="Arial" w:hAnsi="Arial" w:cs="Arial"/>
          <w:noProof/>
          <w:sz w:val="20"/>
          <w:lang w:val="it-IT" w:eastAsia="it-IT"/>
        </w:rPr>
      </w:pPr>
      <w:hyperlink w:anchor="_Toc421076901" w:history="1">
        <w:r w:rsidR="007549AE" w:rsidRPr="00A30AEC">
          <w:rPr>
            <w:rStyle w:val="Hyperlink"/>
            <w:rFonts w:ascii="Arial" w:hAnsi="Arial" w:cs="Arial"/>
            <w:b/>
            <w:i/>
            <w:sz w:val="20"/>
            <w:u w:val="none"/>
          </w:rPr>
          <w:t>2.B.Description of the priority axis for technical assistance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2" w:history="1">
        <w:r w:rsidR="007549AE" w:rsidRPr="00A30AEC">
          <w:rPr>
            <w:rStyle w:val="Hyperlink"/>
            <w:rFonts w:ascii="Arial" w:hAnsi="Arial" w:cs="Arial"/>
            <w:i/>
            <w:sz w:val="20"/>
            <w:u w:val="none"/>
          </w:rPr>
          <w:t>2.B.1. Priority Axis 5</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3" w:history="1">
        <w:r w:rsidR="007549AE" w:rsidRPr="00A30AEC">
          <w:rPr>
            <w:rStyle w:val="Hyperlink"/>
            <w:rFonts w:ascii="Arial" w:hAnsi="Arial" w:cs="Arial"/>
            <w:i/>
            <w:sz w:val="20"/>
            <w:u w:val="none"/>
          </w:rPr>
          <w:t>2.B.2. Fund and calculation basis for Union support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4" w:history="1">
        <w:r w:rsidR="007549AE" w:rsidRPr="00A30AEC">
          <w:rPr>
            <w:rStyle w:val="Hyperlink"/>
            <w:rFonts w:ascii="Arial" w:hAnsi="Arial" w:cs="Arial"/>
            <w:i/>
            <w:sz w:val="20"/>
            <w:u w:val="none"/>
          </w:rPr>
          <w:t>2.B.3. Specific objectives and expected result</w:t>
        </w:r>
        <w:r w:rsidR="007549AE" w:rsidRPr="00A30AEC">
          <w:rPr>
            <w:rStyle w:val="Hyperlink"/>
            <w:rFonts w:ascii="Arial" w:hAnsi="Arial" w:cs="Arial"/>
            <w:sz w:val="20"/>
          </w:rPr>
          <w: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83</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5" w:history="1">
        <w:r w:rsidR="007549AE" w:rsidRPr="00A30AEC">
          <w:rPr>
            <w:rStyle w:val="Hyperlink"/>
            <w:rFonts w:ascii="Arial" w:hAnsi="Arial" w:cs="Arial"/>
            <w:i/>
            <w:sz w:val="20"/>
            <w:u w:val="none"/>
          </w:rPr>
          <w:t>2.B.4.Result indicators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6" w:history="1">
        <w:r w:rsidR="007549AE" w:rsidRPr="00A30AEC">
          <w:rPr>
            <w:rStyle w:val="Hyperlink"/>
            <w:rFonts w:ascii="Arial" w:hAnsi="Arial" w:cs="Arial"/>
            <w:i/>
            <w:sz w:val="20"/>
            <w:u w:val="none"/>
          </w:rPr>
          <w:t>2.B.5.Actions to be supported and their expected contribution to the specific objective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7" w:history="1">
        <w:r w:rsidR="007549AE" w:rsidRPr="00A30AEC">
          <w:rPr>
            <w:rStyle w:val="Hyperlink"/>
            <w:rFonts w:ascii="Arial" w:hAnsi="Arial" w:cs="Arial"/>
            <w:i/>
            <w:sz w:val="20"/>
            <w:u w:val="none"/>
          </w:rPr>
          <w:t>2.B.5.1. Description of actions to be supported and their expected contribution to the specific objectives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8" w:history="1">
        <w:r w:rsidR="007549AE" w:rsidRPr="00A30AEC">
          <w:rPr>
            <w:rStyle w:val="Hyperlink"/>
            <w:rFonts w:ascii="Arial" w:hAnsi="Arial" w:cs="Arial"/>
            <w:i/>
            <w:sz w:val="20"/>
            <w:u w:val="none"/>
          </w:rPr>
          <w:t>2.B.5.2.Output indicators expected to contribute to results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87</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09" w:history="1">
        <w:r w:rsidR="007549AE" w:rsidRPr="00A30AEC">
          <w:rPr>
            <w:rStyle w:val="Hyperlink"/>
            <w:rFonts w:ascii="Arial" w:hAnsi="Arial" w:cs="Arial"/>
            <w:i/>
            <w:sz w:val="20"/>
            <w:u w:val="none"/>
          </w:rPr>
          <w:t>2.B.6.Categories of intervention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_Toc421076909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88</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910" w:history="1">
        <w:r w:rsidR="007549AE" w:rsidRPr="00A30AEC">
          <w:rPr>
            <w:rStyle w:val="Hyperlink"/>
            <w:rFonts w:ascii="Arial" w:hAnsi="Arial" w:cs="Arial"/>
            <w:b/>
            <w:sz w:val="20"/>
            <w:u w:val="none"/>
          </w:rPr>
          <w:t>Section 3. The financing plan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89</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911" w:history="1">
        <w:r w:rsidR="007549AE" w:rsidRPr="00A30AEC">
          <w:rPr>
            <w:rStyle w:val="Hyperlink"/>
            <w:rFonts w:ascii="Arial" w:hAnsi="Arial" w:cs="Arial"/>
            <w:b/>
            <w:i/>
            <w:sz w:val="20"/>
            <w:u w:val="none"/>
          </w:rPr>
          <w:t>3.1.Financial appropriation from ERDF and IPA</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89</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912" w:history="1">
        <w:r w:rsidR="007549AE" w:rsidRPr="00A30AEC">
          <w:rPr>
            <w:rStyle w:val="Hyperlink"/>
            <w:rFonts w:ascii="Arial" w:hAnsi="Arial" w:cs="Arial"/>
            <w:i/>
            <w:sz w:val="20"/>
            <w:u w:val="none"/>
          </w:rPr>
          <w:t>3.2.A.Total financial appropriation from the ERDF + IPA</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90</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13" w:history="1">
        <w:r w:rsidR="007549AE" w:rsidRPr="00A30AEC">
          <w:rPr>
            <w:rStyle w:val="Hyperlink"/>
            <w:rFonts w:ascii="Arial" w:hAnsi="Arial" w:cs="Arial"/>
            <w:i/>
            <w:sz w:val="20"/>
            <w:u w:val="none"/>
          </w:rPr>
          <w:t>3.2.B.Breakdown by priority axis and thematic objective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91</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b/>
          <w:caps w:val="0"/>
          <w:noProof/>
          <w:sz w:val="20"/>
          <w:lang w:val="it-IT" w:eastAsia="it-IT"/>
        </w:rPr>
      </w:pPr>
      <w:hyperlink w:anchor="_Toc421076914" w:history="1">
        <w:r w:rsidR="007549AE" w:rsidRPr="00A30AEC">
          <w:rPr>
            <w:rStyle w:val="Hyperlink"/>
            <w:rFonts w:ascii="Arial" w:hAnsi="Arial" w:cs="Arial"/>
            <w:b/>
            <w:sz w:val="20"/>
          </w:rPr>
          <w:t>Section 4. Integrated approach to territorial development</w:t>
        </w:r>
        <w:r w:rsidR="007549AE" w:rsidRPr="00A30AEC">
          <w:rPr>
            <w:rFonts w:ascii="Arial" w:hAnsi="Arial" w:cs="Arial"/>
            <w:b/>
            <w:noProof/>
            <w:webHidden/>
            <w:sz w:val="20"/>
          </w:rPr>
          <w:tab/>
        </w:r>
        <w:r w:rsidRPr="00A30AEC">
          <w:rPr>
            <w:rFonts w:ascii="Arial" w:hAnsi="Arial" w:cs="Arial"/>
            <w:b/>
            <w:noProof/>
            <w:webHidden/>
            <w:sz w:val="20"/>
          </w:rPr>
          <w:fldChar w:fldCharType="begin"/>
        </w:r>
        <w:r w:rsidR="007549AE" w:rsidRPr="00A30AEC">
          <w:rPr>
            <w:rFonts w:ascii="Arial" w:hAnsi="Arial" w:cs="Arial"/>
            <w:b/>
            <w:noProof/>
            <w:webHidden/>
            <w:sz w:val="20"/>
          </w:rPr>
          <w:instrText xml:space="preserve"> PAGEREF _Toc421076914 \h </w:instrText>
        </w:r>
        <w:r w:rsidRPr="00A30AEC">
          <w:rPr>
            <w:rFonts w:ascii="Arial" w:hAnsi="Arial" w:cs="Arial"/>
            <w:b/>
            <w:noProof/>
            <w:webHidden/>
            <w:sz w:val="20"/>
          </w:rPr>
        </w:r>
        <w:r w:rsidRPr="00A30AEC">
          <w:rPr>
            <w:rFonts w:ascii="Arial" w:hAnsi="Arial" w:cs="Arial"/>
            <w:b/>
            <w:noProof/>
            <w:webHidden/>
            <w:sz w:val="20"/>
          </w:rPr>
          <w:fldChar w:fldCharType="separate"/>
        </w:r>
        <w:r w:rsidR="00791C49">
          <w:rPr>
            <w:rFonts w:ascii="Arial" w:hAnsi="Arial" w:cs="Arial"/>
            <w:b/>
            <w:noProof/>
            <w:webHidden/>
            <w:sz w:val="20"/>
          </w:rPr>
          <w:t>93</w:t>
        </w:r>
        <w:r w:rsidRPr="00A30AEC">
          <w:rPr>
            <w:rFonts w:ascii="Arial" w:hAnsi="Arial" w:cs="Arial"/>
            <w:b/>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915" w:history="1">
        <w:r w:rsidR="007549AE" w:rsidRPr="00A30AEC">
          <w:rPr>
            <w:rStyle w:val="Hyperlink"/>
            <w:rFonts w:ascii="Arial" w:hAnsi="Arial" w:cs="Arial"/>
            <w:b/>
            <w:i/>
            <w:sz w:val="20"/>
            <w:u w:val="none"/>
          </w:rPr>
          <w:t>4.1 Community-led local developmen</w:t>
        </w:r>
        <w:r w:rsidR="007549AE" w:rsidRPr="00A30AEC">
          <w:rPr>
            <w:rStyle w:val="Hyperlink"/>
            <w:rFonts w:ascii="Arial" w:hAnsi="Arial" w:cs="Arial"/>
            <w:sz w:val="20"/>
          </w:rPr>
          <w:t>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93</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rPr>
          <w:rFonts w:ascii="Arial" w:hAnsi="Arial" w:cs="Arial"/>
          <w:noProof/>
          <w:sz w:val="20"/>
          <w:lang w:val="it-IT" w:eastAsia="it-IT"/>
        </w:rPr>
      </w:pPr>
      <w:hyperlink w:anchor="_Toc421076916" w:history="1">
        <w:r w:rsidR="007549AE" w:rsidRPr="00A30AEC">
          <w:rPr>
            <w:rStyle w:val="Hyperlink"/>
            <w:rFonts w:ascii="Arial" w:hAnsi="Arial" w:cs="Arial"/>
            <w:b/>
            <w:i/>
            <w:sz w:val="20"/>
            <w:u w:val="none"/>
          </w:rPr>
          <w:t>4.2 Integrated actions for sustainable urban development</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94</w:t>
        </w:r>
        <w:r w:rsidRPr="00A30AEC">
          <w:rPr>
            <w:rFonts w:ascii="Arial" w:hAnsi="Arial" w:cs="Arial"/>
            <w:noProof/>
            <w:webHidden/>
            <w:sz w:val="20"/>
          </w:rPr>
          <w:fldChar w:fldCharType="end"/>
        </w:r>
      </w:hyperlink>
    </w:p>
    <w:p w:rsidR="007549AE" w:rsidRPr="00A30AEC" w:rsidRDefault="00365F12" w:rsidP="00A30AEC">
      <w:pPr>
        <w:pStyle w:val="TOC2"/>
        <w:tabs>
          <w:tab w:val="left" w:pos="1077"/>
        </w:tabs>
        <w:spacing w:before="0" w:after="120"/>
        <w:ind w:left="0" w:firstLine="0"/>
        <w:rPr>
          <w:rFonts w:ascii="Arial" w:hAnsi="Arial" w:cs="Arial"/>
          <w:noProof/>
          <w:sz w:val="20"/>
          <w:lang w:val="it-IT" w:eastAsia="it-IT"/>
        </w:rPr>
      </w:pPr>
      <w:hyperlink w:anchor="_Toc421076917" w:history="1">
        <w:r w:rsidR="007549AE" w:rsidRPr="00A30AEC">
          <w:rPr>
            <w:rStyle w:val="Hyperlink"/>
            <w:rFonts w:ascii="Arial" w:hAnsi="Arial" w:cs="Arial"/>
            <w:b/>
            <w:i/>
            <w:sz w:val="20"/>
            <w:u w:val="none"/>
          </w:rPr>
          <w:t>4.3Integrated Territorial Investment (ITI)</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94</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jc w:val="left"/>
        <w:rPr>
          <w:rFonts w:ascii="Arial" w:hAnsi="Arial" w:cs="Arial"/>
          <w:noProof/>
          <w:sz w:val="20"/>
          <w:lang w:val="it-IT" w:eastAsia="it-IT"/>
        </w:rPr>
      </w:pPr>
      <w:hyperlink w:anchor="_Toc421076918" w:history="1">
        <w:r w:rsidR="007549AE" w:rsidRPr="00A30AEC">
          <w:rPr>
            <w:rStyle w:val="Hyperlink"/>
            <w:rFonts w:ascii="Arial" w:hAnsi="Arial" w:cs="Arial"/>
            <w:b/>
            <w:i/>
            <w:sz w:val="20"/>
            <w:u w:val="none"/>
          </w:rPr>
          <w:t>4.4 Contribution of planned interventions towards macro-regional and sea basin strategies subject to the needs of the programme area as identified by the relevant Member States and taking into account, where applicable, strategically important projects identified in those strategies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95</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919" w:history="1">
        <w:r w:rsidR="007549AE" w:rsidRPr="00A30AEC">
          <w:rPr>
            <w:rStyle w:val="Hyperlink"/>
            <w:rFonts w:ascii="Arial" w:hAnsi="Arial" w:cs="Arial"/>
            <w:b/>
            <w:sz w:val="20"/>
            <w:u w:val="none"/>
          </w:rPr>
          <w:t>SECTION 5: Implementing provisions for the cooperation programme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_Toc421076919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97</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b/>
          <w:i/>
          <w:noProof/>
          <w:sz w:val="20"/>
          <w:lang w:val="it-IT" w:eastAsia="it-IT"/>
        </w:rPr>
      </w:pPr>
      <w:hyperlink w:anchor="_Toc421076920" w:history="1">
        <w:r w:rsidR="007549AE" w:rsidRPr="00A30AEC">
          <w:rPr>
            <w:rStyle w:val="Hyperlink"/>
            <w:rFonts w:ascii="Arial" w:hAnsi="Arial" w:cs="Arial"/>
            <w:b/>
            <w:i/>
            <w:sz w:val="20"/>
          </w:rPr>
          <w:t>5.1Relevant authorities and bodies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97</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noProof/>
          <w:sz w:val="20"/>
          <w:lang w:val="it-IT" w:eastAsia="it-IT"/>
        </w:rPr>
      </w:pPr>
      <w:hyperlink w:anchor="_Toc421076921" w:history="1">
        <w:r w:rsidR="007549AE" w:rsidRPr="00A30AEC">
          <w:rPr>
            <w:rStyle w:val="Hyperlink"/>
            <w:rFonts w:ascii="Arial" w:hAnsi="Arial" w:cs="Arial"/>
            <w:b/>
            <w:i/>
            <w:sz w:val="20"/>
            <w:u w:val="none"/>
          </w:rPr>
          <w:t>5.2Procedure for setting up the joint secretariat (JS)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99</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noProof/>
          <w:sz w:val="20"/>
          <w:lang w:val="it-IT" w:eastAsia="it-IT"/>
        </w:rPr>
      </w:pPr>
      <w:hyperlink w:anchor="_Toc421076922" w:history="1">
        <w:r w:rsidR="007549AE" w:rsidRPr="00A30AEC">
          <w:rPr>
            <w:rStyle w:val="Hyperlink"/>
            <w:rFonts w:ascii="Arial" w:hAnsi="Arial" w:cs="Arial"/>
            <w:b/>
            <w:i/>
            <w:sz w:val="20"/>
            <w:u w:val="none"/>
          </w:rPr>
          <w:t>5.3Summary description of the management and control arrangements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100</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23" w:history="1">
        <w:r w:rsidR="007549AE" w:rsidRPr="00A30AEC">
          <w:rPr>
            <w:rStyle w:val="Hyperlink"/>
            <w:rFonts w:ascii="Arial" w:hAnsi="Arial" w:cs="Arial"/>
            <w:sz w:val="20"/>
          </w:rPr>
          <w:t>Joint implementation structure and division of tasks between the different bodies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100</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24" w:history="1">
        <w:r w:rsidR="007549AE" w:rsidRPr="00A30AEC">
          <w:rPr>
            <w:rStyle w:val="Hyperlink"/>
            <w:rFonts w:ascii="Arial" w:hAnsi="Arial" w:cs="Arial"/>
            <w:sz w:val="20"/>
          </w:rPr>
          <w:t>Audit authority (AA)</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104</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25" w:history="1">
        <w:r w:rsidR="007549AE" w:rsidRPr="00A30AEC">
          <w:rPr>
            <w:rStyle w:val="Hyperlink"/>
            <w:rFonts w:ascii="Arial" w:hAnsi="Arial" w:cs="Arial"/>
            <w:sz w:val="20"/>
          </w:rPr>
          <w:t>Joint secretariat (JS)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26" w:history="1">
        <w:r w:rsidR="007549AE" w:rsidRPr="00A30AEC">
          <w:rPr>
            <w:rStyle w:val="Hyperlink"/>
            <w:rFonts w:ascii="Arial" w:hAnsi="Arial" w:cs="Arial"/>
            <w:sz w:val="20"/>
          </w:rPr>
          <w:t>National contact points (NCPs)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27" w:history="1">
        <w:r w:rsidR="007549AE" w:rsidRPr="00A30AEC">
          <w:rPr>
            <w:rStyle w:val="Hyperlink"/>
            <w:rFonts w:ascii="Arial" w:hAnsi="Arial" w:cs="Arial"/>
            <w:sz w:val="20"/>
          </w:rPr>
          <w:t>Responsibilities of the Partner States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105</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28" w:history="1">
        <w:r w:rsidR="007549AE" w:rsidRPr="00A30AEC">
          <w:rPr>
            <w:rStyle w:val="Hyperlink"/>
            <w:rFonts w:ascii="Arial" w:hAnsi="Arial" w:cs="Arial"/>
            <w:sz w:val="20"/>
          </w:rPr>
          <w:t>Organisation of the assessment and selection of operations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106</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29" w:history="1">
        <w:r w:rsidR="007549AE" w:rsidRPr="00A30AEC">
          <w:rPr>
            <w:rStyle w:val="Hyperlink"/>
            <w:rFonts w:ascii="Arial" w:hAnsi="Arial" w:cs="Arial"/>
            <w:sz w:val="20"/>
          </w:rPr>
          <w:t>Selection criteria</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_Toc421076929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106</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0" w:history="1">
        <w:r w:rsidR="007549AE" w:rsidRPr="00A30AEC">
          <w:rPr>
            <w:rStyle w:val="Hyperlink"/>
            <w:rFonts w:ascii="Arial" w:hAnsi="Arial" w:cs="Arial"/>
            <w:sz w:val="20"/>
          </w:rPr>
          <w:t>Resolution of complaints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107</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1" w:history="1">
        <w:r w:rsidR="007549AE" w:rsidRPr="00A30AEC">
          <w:rPr>
            <w:rStyle w:val="Hyperlink"/>
            <w:rFonts w:ascii="Arial" w:hAnsi="Arial" w:cs="Arial"/>
            <w:sz w:val="20"/>
          </w:rPr>
          <w:t>Contracting procedures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107</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2" w:history="1">
        <w:r w:rsidR="007549AE" w:rsidRPr="00A30AEC">
          <w:rPr>
            <w:rStyle w:val="Hyperlink"/>
            <w:rFonts w:ascii="Arial" w:hAnsi="Arial" w:cs="Arial"/>
            <w:sz w:val="20"/>
          </w:rPr>
          <w:t>Arrangement for management verification and related quality controls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107</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3" w:history="1">
        <w:r w:rsidR="007549AE" w:rsidRPr="00A30AEC">
          <w:rPr>
            <w:rStyle w:val="Hyperlink"/>
            <w:rFonts w:ascii="Arial" w:hAnsi="Arial" w:cs="Arial"/>
            <w:sz w:val="20"/>
          </w:rPr>
          <w:t>Reimbursement from the managing authority to the lead partners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108</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4" w:history="1">
        <w:r w:rsidR="007549AE" w:rsidRPr="00A30AEC">
          <w:rPr>
            <w:rStyle w:val="Hyperlink"/>
            <w:rFonts w:ascii="Arial" w:hAnsi="Arial" w:cs="Arial"/>
            <w:sz w:val="20"/>
          </w:rPr>
          <w:t>Contribution of the Partner States to the financing of the technical assistance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_Toc421076934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5" w:history="1">
        <w:r w:rsidR="007549AE" w:rsidRPr="00A30AEC">
          <w:rPr>
            <w:rStyle w:val="Hyperlink"/>
            <w:rFonts w:ascii="Arial" w:hAnsi="Arial" w:cs="Arial"/>
            <w:sz w:val="20"/>
          </w:rPr>
          <w:t>Information and communication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_Toc421076935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6" w:history="1">
        <w:r w:rsidR="007549AE" w:rsidRPr="00A30AEC">
          <w:rPr>
            <w:rStyle w:val="Hyperlink"/>
            <w:rFonts w:ascii="Arial" w:hAnsi="Arial" w:cs="Arial"/>
            <w:sz w:val="20"/>
          </w:rPr>
          <w:t>Programme evaluation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_Toc421076936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109</w:t>
        </w:r>
        <w:r w:rsidRPr="00A30AEC">
          <w:rPr>
            <w:rFonts w:ascii="Arial" w:hAnsi="Arial" w:cs="Arial"/>
            <w:noProof/>
            <w:webHidden/>
            <w:sz w:val="20"/>
          </w:rPr>
          <w:fldChar w:fldCharType="end"/>
        </w:r>
      </w:hyperlink>
    </w:p>
    <w:p w:rsidR="007549AE" w:rsidRPr="00A30AEC" w:rsidRDefault="00365F12" w:rsidP="00A30AEC">
      <w:pPr>
        <w:pStyle w:val="TOC3"/>
        <w:spacing w:before="0" w:after="120"/>
        <w:ind w:left="0" w:firstLine="0"/>
        <w:rPr>
          <w:rFonts w:ascii="Arial" w:hAnsi="Arial" w:cs="Arial"/>
          <w:noProof/>
          <w:sz w:val="20"/>
          <w:lang w:val="it-IT" w:eastAsia="it-IT"/>
        </w:rPr>
      </w:pPr>
      <w:hyperlink w:anchor="_Toc421076937" w:history="1">
        <w:r w:rsidR="007549AE" w:rsidRPr="00A30AEC">
          <w:rPr>
            <w:rStyle w:val="Hyperlink"/>
            <w:rFonts w:ascii="Arial" w:hAnsi="Arial" w:cs="Arial"/>
            <w:sz w:val="20"/>
          </w:rPr>
          <w:t>Computerised exchange of data</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110</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rPr>
          <w:rFonts w:ascii="Arial" w:hAnsi="Arial" w:cs="Arial"/>
          <w:noProof/>
          <w:sz w:val="20"/>
          <w:lang w:val="it-IT" w:eastAsia="it-IT"/>
        </w:rPr>
      </w:pPr>
      <w:hyperlink w:anchor="_Toc421076938" w:history="1">
        <w:r w:rsidR="007549AE" w:rsidRPr="00A30AEC">
          <w:rPr>
            <w:rStyle w:val="Hyperlink"/>
            <w:rFonts w:ascii="Arial" w:hAnsi="Arial" w:cs="Arial"/>
            <w:b/>
            <w:i/>
            <w:sz w:val="20"/>
            <w:u w:val="none"/>
          </w:rPr>
          <w:t>5.4</w:t>
        </w:r>
        <w:r w:rsidR="007549AE" w:rsidRPr="00A30AEC">
          <w:rPr>
            <w:rFonts w:ascii="Arial" w:hAnsi="Arial" w:cs="Arial"/>
            <w:b/>
            <w:i/>
            <w:noProof/>
            <w:sz w:val="20"/>
            <w:lang w:val="it-IT" w:eastAsia="it-IT"/>
          </w:rPr>
          <w:tab/>
        </w:r>
        <w:r w:rsidR="007549AE" w:rsidRPr="00A30AEC">
          <w:rPr>
            <w:rStyle w:val="Hyperlink"/>
            <w:rFonts w:ascii="Arial" w:hAnsi="Arial" w:cs="Arial"/>
            <w:b/>
            <w:i/>
            <w:sz w:val="20"/>
            <w:u w:val="none"/>
          </w:rPr>
          <w:t>Apportionment of liabilities among the Partner States in case of financial corrections imposed by the managing authority or the European Commission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110</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noProof/>
          <w:sz w:val="20"/>
          <w:lang w:val="it-IT" w:eastAsia="it-IT"/>
        </w:rPr>
      </w:pPr>
      <w:hyperlink w:anchor="_Toc421076939" w:history="1">
        <w:r w:rsidR="007549AE" w:rsidRPr="00A30AEC">
          <w:rPr>
            <w:rStyle w:val="Hyperlink"/>
            <w:rFonts w:ascii="Arial" w:hAnsi="Arial" w:cs="Arial"/>
            <w:b/>
            <w:i/>
            <w:sz w:val="20"/>
            <w:u w:val="none"/>
          </w:rPr>
          <w:t>5.5</w:t>
        </w:r>
        <w:r w:rsidR="004E1848" w:rsidRPr="00A30AEC">
          <w:rPr>
            <w:rStyle w:val="Hyperlink"/>
            <w:rFonts w:ascii="Arial" w:hAnsi="Arial" w:cs="Arial"/>
            <w:b/>
            <w:i/>
            <w:sz w:val="20"/>
            <w:u w:val="none"/>
          </w:rPr>
          <w:t xml:space="preserve">. </w:t>
        </w:r>
        <w:r w:rsidR="007549AE" w:rsidRPr="00A30AEC">
          <w:rPr>
            <w:rStyle w:val="Hyperlink"/>
            <w:rFonts w:ascii="Arial" w:hAnsi="Arial" w:cs="Arial"/>
            <w:b/>
            <w:i/>
            <w:sz w:val="20"/>
            <w:u w:val="none"/>
          </w:rPr>
          <w:t>Use of the Euro</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_Toc421076939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112</w:t>
        </w:r>
        <w:r w:rsidRPr="00A30AEC">
          <w:rPr>
            <w:rFonts w:ascii="Arial" w:hAnsi="Arial" w:cs="Arial"/>
            <w:noProof/>
            <w:webHidden/>
            <w:sz w:val="20"/>
          </w:rPr>
          <w:fldChar w:fldCharType="end"/>
        </w:r>
      </w:hyperlink>
    </w:p>
    <w:p w:rsidR="007549AE" w:rsidRPr="00A30AEC" w:rsidRDefault="00365F12" w:rsidP="00A30AEC">
      <w:pPr>
        <w:pStyle w:val="TOC2"/>
        <w:spacing w:before="0" w:after="120"/>
        <w:ind w:left="0" w:firstLine="0"/>
        <w:jc w:val="left"/>
        <w:rPr>
          <w:rFonts w:ascii="Arial" w:hAnsi="Arial" w:cs="Arial"/>
          <w:noProof/>
          <w:sz w:val="20"/>
          <w:lang w:val="it-IT" w:eastAsia="it-IT"/>
        </w:rPr>
      </w:pPr>
      <w:hyperlink w:anchor="_Toc421076940" w:history="1">
        <w:r w:rsidR="007549AE" w:rsidRPr="00A30AEC">
          <w:rPr>
            <w:rStyle w:val="Hyperlink"/>
            <w:rFonts w:ascii="Arial" w:hAnsi="Arial" w:cs="Arial"/>
            <w:b/>
            <w:sz w:val="20"/>
            <w:u w:val="none"/>
          </w:rPr>
          <w:t>5.6 Involvement of partners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_Toc421076940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112</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941" w:history="1">
        <w:r w:rsidR="007549AE" w:rsidRPr="00A30AEC">
          <w:rPr>
            <w:rStyle w:val="Hyperlink"/>
            <w:rFonts w:ascii="Arial" w:hAnsi="Arial" w:cs="Arial"/>
            <w:b/>
            <w:sz w:val="20"/>
            <w:u w:val="none"/>
          </w:rPr>
          <w:t>Section 6. Coordination</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_Toc421076941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116</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942" w:history="1">
        <w:r w:rsidR="007549AE" w:rsidRPr="00A30AEC">
          <w:rPr>
            <w:rStyle w:val="Hyperlink"/>
            <w:rFonts w:ascii="Arial" w:hAnsi="Arial" w:cs="Arial"/>
            <w:b/>
            <w:sz w:val="20"/>
            <w:u w:val="none"/>
          </w:rPr>
          <w:t>SECTION 7 Reduction of the Administrative burden for beneficiaries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_Toc421076942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120</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943" w:history="1">
        <w:r w:rsidR="007549AE" w:rsidRPr="00A30AEC">
          <w:rPr>
            <w:rStyle w:val="Hyperlink"/>
            <w:rFonts w:ascii="Arial" w:hAnsi="Arial" w:cs="Arial"/>
            <w:b/>
            <w:sz w:val="20"/>
            <w:u w:val="none"/>
          </w:rPr>
          <w:t>SECTION 8. Horizontal Principles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_Toc421076943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122</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b/>
          <w:i/>
          <w:noProof/>
          <w:sz w:val="20"/>
          <w:lang w:val="it-IT" w:eastAsia="it-IT"/>
        </w:rPr>
      </w:pPr>
      <w:hyperlink w:anchor="_Toc421076944" w:history="1">
        <w:r w:rsidR="007549AE" w:rsidRPr="00A30AEC">
          <w:rPr>
            <w:rStyle w:val="Hyperlink"/>
            <w:rFonts w:ascii="Arial" w:hAnsi="Arial" w:cs="Arial"/>
            <w:b/>
            <w:i/>
            <w:sz w:val="20"/>
            <w:u w:val="none"/>
          </w:rPr>
          <w:t>8.1Sustainable development</w:t>
        </w:r>
        <w:r w:rsidR="007549AE" w:rsidRPr="00A30AEC">
          <w:rPr>
            <w:rFonts w:ascii="Arial" w:hAnsi="Arial" w:cs="Arial"/>
            <w:b/>
            <w:i/>
            <w:noProof/>
            <w:webHidden/>
            <w:sz w:val="20"/>
          </w:rPr>
          <w:tab/>
        </w:r>
        <w:r w:rsidRPr="00A30AEC">
          <w:rPr>
            <w:rFonts w:ascii="Arial" w:hAnsi="Arial" w:cs="Arial"/>
            <w:b/>
            <w:i/>
            <w:noProof/>
            <w:webHidden/>
            <w:sz w:val="20"/>
          </w:rPr>
          <w:fldChar w:fldCharType="begin"/>
        </w:r>
        <w:r w:rsidR="007549AE" w:rsidRPr="00A30AEC">
          <w:rPr>
            <w:rFonts w:ascii="Arial" w:hAnsi="Arial" w:cs="Arial"/>
            <w:b/>
            <w:i/>
            <w:noProof/>
            <w:webHidden/>
            <w:sz w:val="20"/>
          </w:rPr>
          <w:instrText xml:space="preserve"> PAGEREF _Toc421076944 \h </w:instrText>
        </w:r>
        <w:r w:rsidRPr="00A30AEC">
          <w:rPr>
            <w:rFonts w:ascii="Arial" w:hAnsi="Arial" w:cs="Arial"/>
            <w:b/>
            <w:i/>
            <w:noProof/>
            <w:webHidden/>
            <w:sz w:val="20"/>
          </w:rPr>
        </w:r>
        <w:r w:rsidRPr="00A30AEC">
          <w:rPr>
            <w:rFonts w:ascii="Arial" w:hAnsi="Arial" w:cs="Arial"/>
            <w:b/>
            <w:i/>
            <w:noProof/>
            <w:webHidden/>
            <w:sz w:val="20"/>
          </w:rPr>
          <w:fldChar w:fldCharType="separate"/>
        </w:r>
        <w:r w:rsidR="00791C49">
          <w:rPr>
            <w:rFonts w:ascii="Arial" w:hAnsi="Arial" w:cs="Arial"/>
            <w:b/>
            <w:i/>
            <w:noProof/>
            <w:webHidden/>
            <w:sz w:val="20"/>
          </w:rPr>
          <w:t>122</w:t>
        </w:r>
        <w:r w:rsidRPr="00A30AEC">
          <w:rPr>
            <w:rFonts w:ascii="Arial" w:hAnsi="Arial" w:cs="Arial"/>
            <w:b/>
            <w:i/>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b/>
          <w:i/>
          <w:noProof/>
          <w:sz w:val="20"/>
          <w:lang w:val="it-IT" w:eastAsia="it-IT"/>
        </w:rPr>
      </w:pPr>
      <w:hyperlink w:anchor="_Toc421076945" w:history="1">
        <w:r w:rsidR="007549AE" w:rsidRPr="00A30AEC">
          <w:rPr>
            <w:rStyle w:val="Hyperlink"/>
            <w:rFonts w:ascii="Arial" w:hAnsi="Arial" w:cs="Arial"/>
            <w:b/>
            <w:i/>
            <w:sz w:val="20"/>
            <w:u w:val="none"/>
          </w:rPr>
          <w:t>8.2.Equal opportunities and non-discrimination</w:t>
        </w:r>
        <w:r w:rsidR="007549AE" w:rsidRPr="00A30AEC">
          <w:rPr>
            <w:rFonts w:ascii="Arial" w:hAnsi="Arial" w:cs="Arial"/>
            <w:b/>
            <w:i/>
            <w:noProof/>
            <w:webHidden/>
            <w:sz w:val="20"/>
          </w:rPr>
          <w:tab/>
        </w:r>
        <w:r w:rsidRPr="00A30AEC">
          <w:rPr>
            <w:rFonts w:ascii="Arial" w:hAnsi="Arial" w:cs="Arial"/>
            <w:b/>
            <w:i/>
            <w:noProof/>
            <w:webHidden/>
            <w:sz w:val="20"/>
          </w:rPr>
          <w:fldChar w:fldCharType="begin"/>
        </w:r>
        <w:r w:rsidR="007549AE" w:rsidRPr="00A30AEC">
          <w:rPr>
            <w:rFonts w:ascii="Arial" w:hAnsi="Arial" w:cs="Arial"/>
            <w:b/>
            <w:i/>
            <w:noProof/>
            <w:webHidden/>
            <w:sz w:val="20"/>
          </w:rPr>
          <w:instrText xml:space="preserve"> PAGEREF _Toc421076945 \h </w:instrText>
        </w:r>
        <w:r w:rsidRPr="00A30AEC">
          <w:rPr>
            <w:rFonts w:ascii="Arial" w:hAnsi="Arial" w:cs="Arial"/>
            <w:b/>
            <w:i/>
            <w:noProof/>
            <w:webHidden/>
            <w:sz w:val="20"/>
          </w:rPr>
        </w:r>
        <w:r w:rsidRPr="00A30AEC">
          <w:rPr>
            <w:rFonts w:ascii="Arial" w:hAnsi="Arial" w:cs="Arial"/>
            <w:b/>
            <w:i/>
            <w:noProof/>
            <w:webHidden/>
            <w:sz w:val="20"/>
          </w:rPr>
          <w:fldChar w:fldCharType="separate"/>
        </w:r>
        <w:r w:rsidR="00791C49">
          <w:rPr>
            <w:rFonts w:ascii="Arial" w:hAnsi="Arial" w:cs="Arial"/>
            <w:b/>
            <w:i/>
            <w:noProof/>
            <w:webHidden/>
            <w:sz w:val="20"/>
          </w:rPr>
          <w:t>123</w:t>
        </w:r>
        <w:r w:rsidRPr="00A30AEC">
          <w:rPr>
            <w:rFonts w:ascii="Arial" w:hAnsi="Arial" w:cs="Arial"/>
            <w:b/>
            <w:i/>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b/>
          <w:i/>
          <w:noProof/>
          <w:sz w:val="20"/>
          <w:lang w:val="it-IT" w:eastAsia="it-IT"/>
        </w:rPr>
      </w:pPr>
      <w:hyperlink w:anchor="_Toc421076946" w:history="1">
        <w:r w:rsidR="007549AE" w:rsidRPr="00A30AEC">
          <w:rPr>
            <w:rStyle w:val="Hyperlink"/>
            <w:rFonts w:ascii="Arial" w:hAnsi="Arial" w:cs="Arial"/>
            <w:b/>
            <w:i/>
            <w:sz w:val="20"/>
            <w:u w:val="none"/>
          </w:rPr>
          <w:t>8.3.Equality between men and women</w:t>
        </w:r>
        <w:r w:rsidR="007549AE" w:rsidRPr="00A30AEC">
          <w:rPr>
            <w:rFonts w:ascii="Arial" w:hAnsi="Arial" w:cs="Arial"/>
            <w:b/>
            <w:i/>
            <w:noProof/>
            <w:webHidden/>
            <w:sz w:val="20"/>
          </w:rPr>
          <w:tab/>
        </w:r>
        <w:r w:rsidRPr="00A30AEC">
          <w:rPr>
            <w:rFonts w:ascii="Arial" w:hAnsi="Arial" w:cs="Arial"/>
            <w:b/>
            <w:i/>
            <w:noProof/>
            <w:webHidden/>
            <w:sz w:val="20"/>
          </w:rPr>
          <w:fldChar w:fldCharType="begin"/>
        </w:r>
        <w:r w:rsidR="007549AE" w:rsidRPr="00A30AEC">
          <w:rPr>
            <w:rFonts w:ascii="Arial" w:hAnsi="Arial" w:cs="Arial"/>
            <w:b/>
            <w:i/>
            <w:noProof/>
            <w:webHidden/>
            <w:sz w:val="20"/>
          </w:rPr>
          <w:instrText xml:space="preserve"> PAGEREF _Toc421076946 \h </w:instrText>
        </w:r>
        <w:r w:rsidRPr="00A30AEC">
          <w:rPr>
            <w:rFonts w:ascii="Arial" w:hAnsi="Arial" w:cs="Arial"/>
            <w:b/>
            <w:i/>
            <w:noProof/>
            <w:webHidden/>
            <w:sz w:val="20"/>
          </w:rPr>
        </w:r>
        <w:r w:rsidRPr="00A30AEC">
          <w:rPr>
            <w:rFonts w:ascii="Arial" w:hAnsi="Arial" w:cs="Arial"/>
            <w:b/>
            <w:i/>
            <w:noProof/>
            <w:webHidden/>
            <w:sz w:val="20"/>
          </w:rPr>
          <w:fldChar w:fldCharType="separate"/>
        </w:r>
        <w:r w:rsidR="00791C49">
          <w:rPr>
            <w:rFonts w:ascii="Arial" w:hAnsi="Arial" w:cs="Arial"/>
            <w:b/>
            <w:i/>
            <w:noProof/>
            <w:webHidden/>
            <w:sz w:val="20"/>
          </w:rPr>
          <w:t>124</w:t>
        </w:r>
        <w:r w:rsidRPr="00A30AEC">
          <w:rPr>
            <w:rFonts w:ascii="Arial" w:hAnsi="Arial" w:cs="Arial"/>
            <w:b/>
            <w:i/>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947" w:history="1">
        <w:r w:rsidR="007549AE" w:rsidRPr="00A30AEC">
          <w:rPr>
            <w:rStyle w:val="Hyperlink"/>
            <w:rFonts w:ascii="Arial" w:hAnsi="Arial" w:cs="Arial"/>
            <w:b/>
            <w:sz w:val="20"/>
            <w:u w:val="none"/>
          </w:rPr>
          <w:t>SECTION 9. Separate elements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_Toc421076947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125</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noProof/>
          <w:sz w:val="20"/>
          <w:lang w:val="it-IT" w:eastAsia="it-IT"/>
        </w:rPr>
      </w:pPr>
      <w:hyperlink w:anchor="_Toc421076948" w:history="1">
        <w:r w:rsidR="007549AE" w:rsidRPr="00A30AEC">
          <w:rPr>
            <w:rStyle w:val="Hyperlink"/>
            <w:rFonts w:ascii="Arial" w:hAnsi="Arial" w:cs="Arial"/>
            <w:b/>
            <w:i/>
            <w:sz w:val="20"/>
            <w:u w:val="none"/>
          </w:rPr>
          <w:t>9.1</w:t>
        </w:r>
        <w:r w:rsidR="004E1848" w:rsidRPr="00A30AEC">
          <w:rPr>
            <w:rStyle w:val="Hyperlink"/>
            <w:rFonts w:ascii="Arial" w:hAnsi="Arial" w:cs="Arial"/>
            <w:b/>
            <w:i/>
            <w:sz w:val="20"/>
            <w:u w:val="none"/>
          </w:rPr>
          <w:t xml:space="preserve">. </w:t>
        </w:r>
        <w:r w:rsidR="007549AE" w:rsidRPr="00A30AEC">
          <w:rPr>
            <w:rStyle w:val="Hyperlink"/>
            <w:rFonts w:ascii="Arial" w:hAnsi="Arial" w:cs="Arial"/>
            <w:b/>
            <w:i/>
            <w:sz w:val="20"/>
            <w:u w:val="none"/>
          </w:rPr>
          <w:t>Major projects to be implemented during the programming period</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_Toc421076948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125</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b/>
          <w:i/>
          <w:noProof/>
          <w:sz w:val="20"/>
          <w:lang w:val="it-IT" w:eastAsia="it-IT"/>
        </w:rPr>
      </w:pPr>
      <w:hyperlink w:anchor="_Toc421076949" w:history="1">
        <w:r w:rsidR="007549AE" w:rsidRPr="00A30AEC">
          <w:rPr>
            <w:rStyle w:val="Hyperlink"/>
            <w:rFonts w:ascii="Arial" w:hAnsi="Arial" w:cs="Arial"/>
            <w:b/>
            <w:i/>
            <w:sz w:val="20"/>
          </w:rPr>
          <w:t>9.2.Performance framework of the cooperation programme</w:t>
        </w:r>
        <w:r w:rsidR="007549AE" w:rsidRPr="00A30AEC">
          <w:rPr>
            <w:rFonts w:ascii="Arial" w:hAnsi="Arial" w:cs="Arial"/>
            <w:b/>
            <w:i/>
            <w:noProof/>
            <w:webHidden/>
            <w:sz w:val="20"/>
          </w:rPr>
          <w:tab/>
        </w:r>
        <w:r w:rsidRPr="00A30AEC">
          <w:rPr>
            <w:rFonts w:ascii="Arial" w:hAnsi="Arial" w:cs="Arial"/>
            <w:b/>
            <w:i/>
            <w:noProof/>
            <w:webHidden/>
            <w:sz w:val="20"/>
          </w:rPr>
          <w:fldChar w:fldCharType="begin"/>
        </w:r>
        <w:r w:rsidR="007549AE" w:rsidRPr="00A30AEC">
          <w:rPr>
            <w:rFonts w:ascii="Arial" w:hAnsi="Arial" w:cs="Arial"/>
            <w:b/>
            <w:i/>
            <w:noProof/>
            <w:webHidden/>
            <w:sz w:val="20"/>
          </w:rPr>
          <w:instrText xml:space="preserve"> PAGEREF _Toc421076949 \h </w:instrText>
        </w:r>
        <w:r w:rsidRPr="00A30AEC">
          <w:rPr>
            <w:rFonts w:ascii="Arial" w:hAnsi="Arial" w:cs="Arial"/>
            <w:b/>
            <w:i/>
            <w:noProof/>
            <w:webHidden/>
            <w:sz w:val="20"/>
          </w:rPr>
        </w:r>
        <w:r w:rsidRPr="00A30AEC">
          <w:rPr>
            <w:rFonts w:ascii="Arial" w:hAnsi="Arial" w:cs="Arial"/>
            <w:b/>
            <w:i/>
            <w:noProof/>
            <w:webHidden/>
            <w:sz w:val="20"/>
          </w:rPr>
          <w:fldChar w:fldCharType="separate"/>
        </w:r>
        <w:r w:rsidR="00791C49">
          <w:rPr>
            <w:rFonts w:ascii="Arial" w:hAnsi="Arial" w:cs="Arial"/>
            <w:b/>
            <w:i/>
            <w:noProof/>
            <w:webHidden/>
            <w:sz w:val="20"/>
          </w:rPr>
          <w:t>125</w:t>
        </w:r>
        <w:r w:rsidRPr="00A30AEC">
          <w:rPr>
            <w:rFonts w:ascii="Arial" w:hAnsi="Arial" w:cs="Arial"/>
            <w:b/>
            <w:i/>
            <w:noProof/>
            <w:webHidden/>
            <w:sz w:val="20"/>
          </w:rPr>
          <w:fldChar w:fldCharType="end"/>
        </w:r>
      </w:hyperlink>
    </w:p>
    <w:p w:rsidR="007549AE" w:rsidRPr="00A30AEC" w:rsidRDefault="00365F12" w:rsidP="00A30AEC">
      <w:pPr>
        <w:pStyle w:val="TOC2"/>
        <w:tabs>
          <w:tab w:val="left" w:pos="0"/>
        </w:tabs>
        <w:spacing w:before="0" w:after="120"/>
        <w:ind w:left="0" w:firstLine="0"/>
        <w:jc w:val="left"/>
        <w:rPr>
          <w:rFonts w:ascii="Arial" w:hAnsi="Arial" w:cs="Arial"/>
          <w:noProof/>
          <w:sz w:val="20"/>
          <w:lang w:val="it-IT" w:eastAsia="it-IT"/>
        </w:rPr>
      </w:pPr>
      <w:hyperlink w:anchor="_Toc421076950" w:history="1">
        <w:r w:rsidR="007549AE" w:rsidRPr="00A30AEC">
          <w:rPr>
            <w:rStyle w:val="Hyperlink"/>
            <w:rFonts w:ascii="Arial" w:hAnsi="Arial" w:cs="Arial"/>
            <w:b/>
            <w:i/>
            <w:sz w:val="20"/>
            <w:u w:val="none"/>
          </w:rPr>
          <w:t>9.3.Relevant partners involved in the preparation of the cooperation programme</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_Toc421076950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126</w:t>
        </w:r>
        <w:r w:rsidRPr="00A30AEC">
          <w:rPr>
            <w:rFonts w:ascii="Arial" w:hAnsi="Arial" w:cs="Arial"/>
            <w:noProof/>
            <w:webHidden/>
            <w:sz w:val="20"/>
          </w:rPr>
          <w:fldChar w:fldCharType="end"/>
        </w:r>
      </w:hyperlink>
    </w:p>
    <w:p w:rsidR="007549AE" w:rsidRPr="00A30AEC" w:rsidRDefault="00365F12" w:rsidP="00A30AEC">
      <w:pPr>
        <w:pStyle w:val="TOC2"/>
        <w:tabs>
          <w:tab w:val="left" w:pos="0"/>
        </w:tabs>
        <w:spacing w:before="0" w:after="120"/>
        <w:ind w:left="0" w:firstLine="0"/>
        <w:rPr>
          <w:rFonts w:ascii="Arial" w:hAnsi="Arial" w:cs="Arial"/>
          <w:noProof/>
          <w:sz w:val="20"/>
          <w:lang w:val="it-IT" w:eastAsia="it-IT"/>
        </w:rPr>
      </w:pPr>
      <w:hyperlink w:anchor="_Toc421076951" w:history="1">
        <w:r w:rsidR="007549AE" w:rsidRPr="00A30AEC">
          <w:rPr>
            <w:rStyle w:val="Hyperlink"/>
            <w:rFonts w:ascii="Arial" w:hAnsi="Arial" w:cs="Arial"/>
            <w:b/>
            <w:i/>
            <w:sz w:val="20"/>
            <w:u w:val="none"/>
          </w:rPr>
          <w:t>9.4.</w:t>
        </w:r>
        <w:r w:rsidR="007549AE" w:rsidRPr="00A30AEC">
          <w:rPr>
            <w:rFonts w:ascii="Arial" w:hAnsi="Arial" w:cs="Arial"/>
            <w:b/>
            <w:i/>
            <w:noProof/>
            <w:sz w:val="20"/>
            <w:lang w:val="it-IT" w:eastAsia="it-IT"/>
          </w:rPr>
          <w:tab/>
        </w:r>
        <w:r w:rsidR="007549AE" w:rsidRPr="00A30AEC">
          <w:rPr>
            <w:rStyle w:val="Hyperlink"/>
            <w:rFonts w:ascii="Arial" w:hAnsi="Arial" w:cs="Arial"/>
            <w:b/>
            <w:i/>
            <w:sz w:val="20"/>
            <w:u w:val="none"/>
          </w:rPr>
          <w:t>Applicable programme implementation conditions governing the financial management, programming, monitoring, evaluation and control of the participation of third countries in transnational and interregional programmes through a contribution of ENI and IPA resource</w:t>
        </w:r>
        <w:r w:rsidR="007549AE" w:rsidRPr="00A30AEC">
          <w:rPr>
            <w:rStyle w:val="Hyperlink"/>
            <w:rFonts w:ascii="Arial" w:hAnsi="Arial" w:cs="Arial"/>
            <w:i/>
            <w:sz w:val="20"/>
          </w:rPr>
          <w:t>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_Toc421076951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127</w:t>
        </w:r>
        <w:r w:rsidRPr="00A30AEC">
          <w:rPr>
            <w:rFonts w:ascii="Arial" w:hAnsi="Arial" w:cs="Arial"/>
            <w:noProof/>
            <w:webHidden/>
            <w:sz w:val="20"/>
          </w:rPr>
          <w:fldChar w:fldCharType="end"/>
        </w:r>
      </w:hyperlink>
    </w:p>
    <w:p w:rsidR="007549AE" w:rsidRPr="00A30AEC" w:rsidRDefault="00365F12" w:rsidP="00A30AEC">
      <w:pPr>
        <w:pStyle w:val="TOC1"/>
        <w:spacing w:before="0"/>
        <w:ind w:left="0" w:firstLine="0"/>
        <w:rPr>
          <w:rFonts w:ascii="Arial" w:hAnsi="Arial" w:cs="Arial"/>
          <w:caps w:val="0"/>
          <w:noProof/>
          <w:sz w:val="20"/>
          <w:lang w:val="it-IT" w:eastAsia="it-IT"/>
        </w:rPr>
      </w:pPr>
      <w:hyperlink w:anchor="_Toc421076952" w:history="1">
        <w:r w:rsidR="007549AE" w:rsidRPr="00A30AEC">
          <w:rPr>
            <w:rStyle w:val="Hyperlink"/>
            <w:rFonts w:ascii="Arial" w:hAnsi="Arial" w:cs="Arial"/>
            <w:b/>
            <w:sz w:val="20"/>
            <w:u w:val="none"/>
          </w:rPr>
          <w:t>ANNEXES</w:t>
        </w:r>
        <w:r w:rsidR="007549AE" w:rsidRPr="00A30AEC">
          <w:rPr>
            <w:rFonts w:ascii="Arial" w:hAnsi="Arial" w:cs="Arial"/>
            <w:noProof/>
            <w:webHidden/>
            <w:sz w:val="20"/>
          </w:rPr>
          <w:tab/>
        </w:r>
        <w:r w:rsidRPr="00A30AEC">
          <w:rPr>
            <w:rFonts w:ascii="Arial" w:hAnsi="Arial" w:cs="Arial"/>
            <w:noProof/>
            <w:webHidden/>
            <w:sz w:val="20"/>
          </w:rPr>
          <w:fldChar w:fldCharType="begin"/>
        </w:r>
        <w:r w:rsidR="007549AE" w:rsidRPr="00A30AEC">
          <w:rPr>
            <w:rFonts w:ascii="Arial" w:hAnsi="Arial" w:cs="Arial"/>
            <w:noProof/>
            <w:webHidden/>
            <w:sz w:val="20"/>
          </w:rPr>
          <w:instrText xml:space="preserve"> PAGEREF _Toc421076952 \h </w:instrText>
        </w:r>
        <w:r w:rsidRPr="00A30AEC">
          <w:rPr>
            <w:rFonts w:ascii="Arial" w:hAnsi="Arial" w:cs="Arial"/>
            <w:noProof/>
            <w:webHidden/>
            <w:sz w:val="20"/>
          </w:rPr>
        </w:r>
        <w:r w:rsidRPr="00A30AEC">
          <w:rPr>
            <w:rFonts w:ascii="Arial" w:hAnsi="Arial" w:cs="Arial"/>
            <w:noProof/>
            <w:webHidden/>
            <w:sz w:val="20"/>
          </w:rPr>
          <w:fldChar w:fldCharType="separate"/>
        </w:r>
        <w:r w:rsidR="00791C49">
          <w:rPr>
            <w:rFonts w:ascii="Arial" w:hAnsi="Arial" w:cs="Arial"/>
            <w:noProof/>
            <w:webHidden/>
            <w:sz w:val="20"/>
          </w:rPr>
          <w:t>128</w:t>
        </w:r>
        <w:r w:rsidRPr="00A30AEC">
          <w:rPr>
            <w:rFonts w:ascii="Arial" w:hAnsi="Arial" w:cs="Arial"/>
            <w:noProof/>
            <w:webHidden/>
            <w:sz w:val="20"/>
          </w:rPr>
          <w:fldChar w:fldCharType="end"/>
        </w:r>
      </w:hyperlink>
    </w:p>
    <w:p w:rsidR="00531153" w:rsidRPr="00A30AEC" w:rsidRDefault="00365F12">
      <w:pPr>
        <w:tabs>
          <w:tab w:val="right" w:leader="dot" w:pos="8931"/>
        </w:tabs>
        <w:rPr>
          <w:lang w:val="it-IT"/>
        </w:rPr>
      </w:pPr>
      <w:r w:rsidRPr="00A30AEC">
        <w:rPr>
          <w:rFonts w:ascii="Arial" w:hAnsi="Arial" w:cs="Arial"/>
          <w:b/>
          <w:bCs/>
          <w:sz w:val="20"/>
        </w:rPr>
        <w:fldChar w:fldCharType="end"/>
      </w:r>
    </w:p>
    <w:p w:rsidR="00DF4E40" w:rsidRPr="00304864" w:rsidRDefault="00DF4E40">
      <w:pPr>
        <w:pStyle w:val="Heading1"/>
      </w:pPr>
      <w:r w:rsidRPr="00A30AEC">
        <w:rPr>
          <w:lang w:val="en-US"/>
        </w:rPr>
        <w:br w:type="page"/>
      </w:r>
      <w:bookmarkStart w:id="0" w:name="_Toc365660099"/>
      <w:bookmarkStart w:id="1" w:name="_Toc366097026"/>
      <w:bookmarkStart w:id="2" w:name="_Toc377402540"/>
      <w:bookmarkStart w:id="3" w:name="_Toc420652464"/>
      <w:bookmarkStart w:id="4" w:name="_Toc421076816"/>
      <w:r w:rsidRPr="00AA3E9A">
        <w:t>Section 1. Strategy for the cooperation programme's contribution to the union strategy for smart, sustainable and inclusive growth and the achievement of economic, social and territorial cohesion</w:t>
      </w:r>
      <w:bookmarkEnd w:id="0"/>
      <w:bookmarkEnd w:id="1"/>
      <w:bookmarkEnd w:id="2"/>
      <w:bookmarkEnd w:id="3"/>
      <w:bookmarkEnd w:id="4"/>
    </w:p>
    <w:p w:rsidR="00DF4E40" w:rsidRPr="00A30AEC" w:rsidRDefault="00DF4E40">
      <w:pPr>
        <w:rPr>
          <w:rFonts w:ascii="Arial" w:hAnsi="Arial" w:cs="Arial"/>
          <w:sz w:val="22"/>
          <w:szCs w:val="22"/>
        </w:rPr>
      </w:pPr>
      <w:r w:rsidRPr="00A30AEC">
        <w:rPr>
          <w:rFonts w:ascii="Arial" w:hAnsi="Arial" w:cs="Arial"/>
          <w:sz w:val="22"/>
          <w:szCs w:val="22"/>
        </w:rPr>
        <w:t xml:space="preserve">Reference: Article 27(1) of Regulation (EU) No 1303/2013 of the European Parliament and of the Council, point (a) of Article 8(2) of Regulation (EU) No 1299/2013 of the European Parliament and of the Council and point (5) of Regulation (EU) No 1301/2013 of the European Parliament and of the Council </w:t>
      </w:r>
    </w:p>
    <w:p w:rsidR="00DF4E40" w:rsidRPr="00AA3E9A" w:rsidRDefault="00DF4E40">
      <w:pPr>
        <w:rPr>
          <w:rFonts w:ascii="Arial" w:hAnsi="Arial" w:cs="Arial"/>
          <w:i/>
          <w:sz w:val="22"/>
          <w:szCs w:val="22"/>
        </w:rPr>
      </w:pPr>
    </w:p>
    <w:p w:rsidR="00DF4E40" w:rsidRPr="00304864" w:rsidRDefault="00DF4E40">
      <w:pPr>
        <w:rPr>
          <w:rFonts w:ascii="Arial" w:hAnsi="Arial" w:cs="Arial"/>
          <w:i/>
          <w:sz w:val="22"/>
          <w:szCs w:val="22"/>
        </w:rPr>
      </w:pPr>
    </w:p>
    <w:p w:rsidR="00DF4E40" w:rsidRPr="00304864" w:rsidRDefault="007D005F" w:rsidP="00A30AEC">
      <w:pPr>
        <w:pStyle w:val="Heading2"/>
      </w:pPr>
      <w:bookmarkStart w:id="5" w:name="_Toc420652465"/>
      <w:bookmarkStart w:id="6" w:name="_Toc421076817"/>
      <w:bookmarkStart w:id="7" w:name="_Toc365660100"/>
      <w:bookmarkStart w:id="8" w:name="_Toc366097027"/>
      <w:bookmarkStart w:id="9" w:name="_Toc377402541"/>
      <w:r>
        <w:t>1.1</w:t>
      </w:r>
      <w:r>
        <w:tab/>
      </w:r>
      <w:r w:rsidR="00DF4E40" w:rsidRPr="00304864">
        <w:t>Strategy for the cooperation programme's contribution to the Union strategy for smart, sustainable and inclusive growth and to the achievement of economic, social and territorial cohesion</w:t>
      </w:r>
      <w:bookmarkEnd w:id="5"/>
      <w:bookmarkEnd w:id="6"/>
    </w:p>
    <w:p w:rsidR="00DF4E40" w:rsidRPr="007D005F" w:rsidRDefault="007D005F" w:rsidP="00A30AEC">
      <w:pPr>
        <w:pStyle w:val="Heading3"/>
        <w:ind w:left="0"/>
        <w:rPr>
          <w:rFonts w:ascii="Arial" w:hAnsi="Arial" w:cs="Arial"/>
          <w:b w:val="0"/>
          <w:noProof w:val="0"/>
          <w:color w:val="002060"/>
          <w:sz w:val="22"/>
          <w:szCs w:val="22"/>
        </w:rPr>
      </w:pPr>
      <w:bookmarkStart w:id="10" w:name="_Toc420652466"/>
      <w:bookmarkStart w:id="11" w:name="_Toc421076818"/>
      <w:r w:rsidRPr="00A30AEC">
        <w:rPr>
          <w:rFonts w:ascii="Arial" w:hAnsi="Arial" w:cs="Arial"/>
          <w:color w:val="002060"/>
          <w:sz w:val="22"/>
          <w:szCs w:val="22"/>
        </w:rPr>
        <w:t>1.1.1</w:t>
      </w:r>
      <w:bookmarkEnd w:id="10"/>
      <w:r w:rsidR="00BD58DC">
        <w:rPr>
          <w:b w:val="0"/>
        </w:rPr>
        <w:t>.</w:t>
      </w:r>
      <w:bookmarkStart w:id="12" w:name="_Toc420652467"/>
      <w:bookmarkStart w:id="13" w:name="_Toc421076819"/>
      <w:bookmarkEnd w:id="7"/>
      <w:bookmarkEnd w:id="8"/>
      <w:bookmarkEnd w:id="9"/>
      <w:bookmarkEnd w:id="11"/>
      <w:r w:rsidR="00DF4E40" w:rsidRPr="007D005F">
        <w:rPr>
          <w:rFonts w:ascii="Arial" w:hAnsi="Arial" w:cs="Arial"/>
          <w:b w:val="0"/>
          <w:color w:val="002060"/>
          <w:sz w:val="22"/>
          <w:szCs w:val="22"/>
        </w:rPr>
        <w:t>Description of the cooperation programme’s strategy for contributing to the delivery of the Union strategy for smart, sustainable and inclusive growth and for achieving economic, social and territorial cohesion</w:t>
      </w:r>
      <w:bookmarkEnd w:id="12"/>
      <w:bookmarkEnd w:id="13"/>
    </w:p>
    <w:p w:rsidR="00DF4E40" w:rsidRDefault="00DF4E40">
      <w:pPr>
        <w:rPr>
          <w:rFonts w:ascii="Arial" w:hAnsi="Arial" w:cs="Arial"/>
          <w:sz w:val="22"/>
          <w:szCs w:val="22"/>
        </w:rPr>
      </w:pPr>
      <w:bookmarkStart w:id="14" w:name="_Toc365660102"/>
      <w:bookmarkStart w:id="15" w:name="_Toc366097029"/>
      <w:bookmarkStart w:id="16" w:name="_Toc377402542"/>
      <w:r w:rsidRPr="00304864">
        <w:rPr>
          <w:rFonts w:ascii="Arial" w:hAnsi="Arial" w:cs="Arial"/>
          <w:sz w:val="22"/>
          <w:szCs w:val="22"/>
        </w:rPr>
        <w:t>The Interreg</w:t>
      </w:r>
      <w:r w:rsidRPr="00304864">
        <w:rPr>
          <w:rFonts w:ascii="Arial" w:hAnsi="Arial" w:cs="Arial"/>
          <w:caps/>
          <w:sz w:val="22"/>
          <w:szCs w:val="22"/>
        </w:rPr>
        <w:t xml:space="preserve">V-B </w:t>
      </w:r>
      <w:r w:rsidRPr="00304864">
        <w:rPr>
          <w:rFonts w:ascii="Arial" w:hAnsi="Arial" w:cs="Arial"/>
          <w:sz w:val="22"/>
          <w:szCs w:val="22"/>
        </w:rPr>
        <w:t>Adriatic-Ionian 2014-2020 (hereinafter ADRION), set up in the framework of the European Territorial Cooperation (ETC)</w:t>
      </w:r>
      <w:r w:rsidR="00AC1852" w:rsidRPr="00304864">
        <w:rPr>
          <w:rFonts w:ascii="Arial" w:hAnsi="Arial" w:cs="Arial"/>
          <w:sz w:val="22"/>
          <w:szCs w:val="22"/>
        </w:rPr>
        <w:t xml:space="preserve"> -</w:t>
      </w:r>
      <w:r w:rsidRPr="00304864">
        <w:rPr>
          <w:rFonts w:ascii="Arial" w:hAnsi="Arial" w:cs="Arial"/>
          <w:sz w:val="22"/>
          <w:szCs w:val="22"/>
        </w:rPr>
        <w:t xml:space="preserve"> one of the objectives of the cohesion policy</w:t>
      </w:r>
      <w:r w:rsidR="00AC1852" w:rsidRPr="00304864">
        <w:rPr>
          <w:rFonts w:ascii="Arial" w:hAnsi="Arial" w:cs="Arial"/>
          <w:sz w:val="22"/>
          <w:szCs w:val="22"/>
        </w:rPr>
        <w:t xml:space="preserve"> -</w:t>
      </w:r>
      <w:r w:rsidRPr="00304864">
        <w:rPr>
          <w:rFonts w:ascii="Arial" w:hAnsi="Arial" w:cs="Arial"/>
          <w:sz w:val="22"/>
          <w:szCs w:val="22"/>
        </w:rPr>
        <w:t xml:space="preserve"> includes 31 regions from four different </w:t>
      </w:r>
      <w:r w:rsidR="009956A4">
        <w:rPr>
          <w:rFonts w:ascii="Arial" w:hAnsi="Arial" w:cs="Arial"/>
          <w:sz w:val="22"/>
          <w:szCs w:val="22"/>
        </w:rPr>
        <w:t>ERDF</w:t>
      </w:r>
      <w:r w:rsidR="00260BF4">
        <w:rPr>
          <w:rFonts w:ascii="Arial" w:hAnsi="Arial" w:cs="Arial"/>
          <w:sz w:val="22"/>
          <w:szCs w:val="22"/>
        </w:rPr>
        <w:t>Partner</w:t>
      </w:r>
      <w:r w:rsidRPr="00304864">
        <w:rPr>
          <w:rFonts w:ascii="Arial" w:hAnsi="Arial" w:cs="Arial"/>
          <w:sz w:val="22"/>
          <w:szCs w:val="22"/>
        </w:rPr>
        <w:t xml:space="preserve">States and four IPA </w:t>
      </w:r>
      <w:r w:rsidR="00260BF4">
        <w:rPr>
          <w:rFonts w:ascii="Arial" w:hAnsi="Arial" w:cs="Arial"/>
          <w:sz w:val="22"/>
          <w:szCs w:val="22"/>
        </w:rPr>
        <w:t xml:space="preserve">Partner States </w:t>
      </w:r>
      <w:r w:rsidRPr="00304864">
        <w:rPr>
          <w:rFonts w:ascii="Arial" w:hAnsi="Arial" w:cs="Arial"/>
          <w:sz w:val="22"/>
          <w:szCs w:val="22"/>
        </w:rPr>
        <w:t xml:space="preserve">(hereinafter </w:t>
      </w:r>
      <w:r w:rsidR="00260BF4">
        <w:rPr>
          <w:rFonts w:ascii="Arial" w:hAnsi="Arial" w:cs="Arial"/>
          <w:sz w:val="22"/>
          <w:szCs w:val="22"/>
        </w:rPr>
        <w:t xml:space="preserve">all </w:t>
      </w:r>
      <w:r w:rsidRPr="00304864">
        <w:rPr>
          <w:rFonts w:ascii="Arial" w:hAnsi="Arial" w:cs="Arial"/>
          <w:sz w:val="22"/>
          <w:szCs w:val="22"/>
        </w:rPr>
        <w:t>referred to as Partner States).</w:t>
      </w:r>
    </w:p>
    <w:p w:rsidR="00415612" w:rsidRPr="00304864" w:rsidRDefault="00415612">
      <w:pPr>
        <w:rPr>
          <w:rFonts w:ascii="Arial" w:hAnsi="Arial" w:cs="Arial"/>
          <w:sz w:val="22"/>
          <w:szCs w:val="22"/>
        </w:rPr>
      </w:pPr>
    </w:p>
    <w:p w:rsidR="00F374B3" w:rsidRPr="00F374B3" w:rsidRDefault="00DF4E40" w:rsidP="00F374B3">
      <w:pPr>
        <w:rPr>
          <w:rFonts w:ascii="Arial" w:hAnsi="Arial" w:cs="Arial"/>
          <w:bCs/>
          <w:color w:val="000000"/>
          <w:sz w:val="22"/>
          <w:szCs w:val="22"/>
          <w:lang w:eastAsia="es-ES"/>
        </w:rPr>
      </w:pPr>
      <w:r w:rsidRPr="00304864">
        <w:rPr>
          <w:rFonts w:ascii="Arial" w:hAnsi="Arial" w:cs="Arial"/>
          <w:sz w:val="22"/>
          <w:szCs w:val="22"/>
        </w:rPr>
        <w:t xml:space="preserve">For the period 2014-2020, the overall Programme budget amounts to EUR </w:t>
      </w:r>
      <w:r w:rsidR="00F374B3" w:rsidRPr="00F374B3">
        <w:rPr>
          <w:rFonts w:ascii="Arial" w:hAnsi="Arial" w:cs="Arial"/>
          <w:bCs/>
          <w:color w:val="000000"/>
          <w:sz w:val="22"/>
          <w:szCs w:val="22"/>
          <w:lang w:eastAsia="es-ES"/>
        </w:rPr>
        <w:t>117.</w:t>
      </w:r>
      <w:r w:rsidR="0013428F">
        <w:rPr>
          <w:rFonts w:ascii="Arial" w:hAnsi="Arial" w:cs="Arial"/>
          <w:bCs/>
          <w:color w:val="000000"/>
          <w:sz w:val="22"/>
          <w:szCs w:val="22"/>
          <w:lang w:eastAsia="es-ES"/>
        </w:rPr>
        <w:t xml:space="preserve">918.197 </w:t>
      </w:r>
      <w:r w:rsidRPr="00304864">
        <w:rPr>
          <w:rFonts w:ascii="Arial" w:hAnsi="Arial" w:cs="Arial"/>
          <w:sz w:val="22"/>
          <w:szCs w:val="22"/>
        </w:rPr>
        <w:t>including European Regional Development Fund (ERDF) - EUR 83.467.</w:t>
      </w:r>
      <w:r w:rsidR="00F374B3" w:rsidRPr="00304864">
        <w:rPr>
          <w:rFonts w:ascii="Arial" w:hAnsi="Arial" w:cs="Arial"/>
          <w:sz w:val="22"/>
          <w:szCs w:val="22"/>
        </w:rPr>
        <w:t>72</w:t>
      </w:r>
      <w:r w:rsidR="00F374B3">
        <w:rPr>
          <w:rFonts w:ascii="Arial" w:hAnsi="Arial" w:cs="Arial"/>
          <w:sz w:val="22"/>
          <w:szCs w:val="22"/>
        </w:rPr>
        <w:t>9</w:t>
      </w:r>
      <w:r w:rsidRPr="00304864">
        <w:rPr>
          <w:rFonts w:ascii="Arial" w:hAnsi="Arial" w:cs="Arial"/>
          <w:sz w:val="22"/>
          <w:szCs w:val="22"/>
        </w:rPr>
        <w:t xml:space="preserve">-, the Instrument for Pre-Accession Assistance (IPA II) - EUR 15.688.887 - and national contributions - EUR </w:t>
      </w:r>
      <w:r w:rsidR="0013428F">
        <w:rPr>
          <w:rFonts w:ascii="Arial" w:hAnsi="Arial" w:cs="Arial"/>
          <w:sz w:val="22"/>
          <w:szCs w:val="22"/>
        </w:rPr>
        <w:t xml:space="preserve">18.761.581. </w:t>
      </w:r>
    </w:p>
    <w:p w:rsidR="00DF4E40" w:rsidRPr="00304864" w:rsidRDefault="00DF4E40">
      <w:pPr>
        <w:rPr>
          <w:rFonts w:ascii="Arial" w:hAnsi="Arial" w:cs="Arial"/>
          <w:sz w:val="22"/>
          <w:szCs w:val="22"/>
        </w:rPr>
      </w:pPr>
      <w:r w:rsidRPr="00304864">
        <w:rPr>
          <w:rFonts w:ascii="Arial" w:hAnsi="Arial" w:cs="Arial"/>
          <w:sz w:val="22"/>
          <w:szCs w:val="22"/>
        </w:rPr>
        <w:t>.</w:t>
      </w:r>
    </w:p>
    <w:p w:rsidR="00DF4E40" w:rsidRPr="00304864" w:rsidRDefault="00DF4E40">
      <w:pPr>
        <w:rPr>
          <w:rFonts w:ascii="Arial" w:hAnsi="Arial" w:cs="Arial"/>
          <w:sz w:val="22"/>
          <w:szCs w:val="22"/>
        </w:rPr>
      </w:pPr>
      <w:r w:rsidRPr="00304864">
        <w:rPr>
          <w:rFonts w:ascii="Arial" w:hAnsi="Arial" w:cs="Arial"/>
          <w:sz w:val="22"/>
          <w:szCs w:val="22"/>
        </w:rPr>
        <w:t xml:space="preserve">The overall objective of the ADRION </w:t>
      </w:r>
      <w:r w:rsidR="004A0CC2">
        <w:rPr>
          <w:rFonts w:ascii="Arial" w:hAnsi="Arial" w:cs="Arial"/>
          <w:sz w:val="22"/>
          <w:szCs w:val="22"/>
        </w:rPr>
        <w:t>P</w:t>
      </w:r>
      <w:r w:rsidRPr="00304864">
        <w:rPr>
          <w:rFonts w:ascii="Arial" w:hAnsi="Arial" w:cs="Arial"/>
          <w:sz w:val="22"/>
          <w:szCs w:val="22"/>
        </w:rPr>
        <w:t>rogramme is to act as a policy driver and governance innovator fostering European integration among Partner States</w:t>
      </w:r>
      <w:r w:rsidR="00AC1852" w:rsidRPr="00304864">
        <w:rPr>
          <w:rFonts w:ascii="Arial" w:hAnsi="Arial" w:cs="Arial"/>
          <w:sz w:val="22"/>
          <w:szCs w:val="22"/>
        </w:rPr>
        <w:t xml:space="preserve"> (</w:t>
      </w:r>
      <w:r w:rsidR="004A0CC2" w:rsidRPr="00161FE6">
        <w:rPr>
          <w:rFonts w:ascii="Arial" w:hAnsi="Arial" w:cs="Arial"/>
          <w:sz w:val="22"/>
          <w:szCs w:val="22"/>
          <w:lang w:val="en-US"/>
        </w:rPr>
        <w:t xml:space="preserve">Albania, Bosnia </w:t>
      </w:r>
      <w:r w:rsidR="00674CA9">
        <w:rPr>
          <w:rFonts w:ascii="Arial" w:hAnsi="Arial" w:cs="Arial"/>
          <w:sz w:val="22"/>
          <w:szCs w:val="22"/>
          <w:lang w:val="en-US"/>
        </w:rPr>
        <w:t xml:space="preserve">and </w:t>
      </w:r>
      <w:r w:rsidR="004A0CC2" w:rsidRPr="00161FE6">
        <w:rPr>
          <w:rFonts w:ascii="Arial" w:hAnsi="Arial" w:cs="Arial"/>
          <w:sz w:val="22"/>
          <w:szCs w:val="22"/>
          <w:lang w:val="en-US"/>
        </w:rPr>
        <w:t xml:space="preserve">Herzegovina, </w:t>
      </w:r>
      <w:r w:rsidR="00AC1852" w:rsidRPr="00A30AEC">
        <w:rPr>
          <w:rFonts w:ascii="Arial" w:hAnsi="Arial" w:cs="Arial"/>
          <w:sz w:val="22"/>
          <w:szCs w:val="22"/>
          <w:lang w:val="en-US"/>
        </w:rPr>
        <w:t>Croatia, Greece, Italy, Montenegro, Serbia</w:t>
      </w:r>
      <w:r w:rsidR="004A0CC2">
        <w:rPr>
          <w:rFonts w:ascii="Arial" w:hAnsi="Arial" w:cs="Arial"/>
          <w:sz w:val="22"/>
          <w:szCs w:val="22"/>
          <w:lang w:val="en-US"/>
        </w:rPr>
        <w:t>,</w:t>
      </w:r>
      <w:r w:rsidR="004A0CC2" w:rsidRPr="00623BD3">
        <w:rPr>
          <w:rFonts w:ascii="Arial" w:hAnsi="Arial" w:cs="Arial"/>
          <w:sz w:val="22"/>
          <w:szCs w:val="22"/>
          <w:lang w:val="en-US"/>
        </w:rPr>
        <w:t>Slovenia</w:t>
      </w:r>
      <w:r w:rsidR="00304864" w:rsidRPr="00AA3E9A">
        <w:rPr>
          <w:rFonts w:ascii="Arial" w:hAnsi="Arial" w:cs="Arial"/>
          <w:sz w:val="22"/>
          <w:szCs w:val="22"/>
          <w:lang w:val="en-US"/>
        </w:rPr>
        <w:t>)</w:t>
      </w:r>
      <w:r w:rsidRPr="00304864">
        <w:rPr>
          <w:rFonts w:ascii="Arial" w:hAnsi="Arial" w:cs="Arial"/>
          <w:sz w:val="22"/>
          <w:szCs w:val="22"/>
        </w:rPr>
        <w:t>, taking advantage from the rich natural, cultural and human resources surrounding the Adriatic and Ionian seas and enhancing economic, social and territorial cohesion in the Programme area.</w:t>
      </w:r>
    </w:p>
    <w:p w:rsidR="00DF4E40" w:rsidRPr="00304864" w:rsidRDefault="00DF4E40">
      <w:pPr>
        <w:rPr>
          <w:rFonts w:ascii="Arial" w:hAnsi="Arial" w:cs="Arial"/>
          <w:sz w:val="22"/>
          <w:szCs w:val="22"/>
        </w:rPr>
      </w:pPr>
      <w:r w:rsidRPr="00304864">
        <w:rPr>
          <w:rFonts w:ascii="Arial" w:hAnsi="Arial" w:cs="Arial"/>
          <w:sz w:val="22"/>
          <w:szCs w:val="22"/>
        </w:rPr>
        <w:t xml:space="preserve">The Programme takes into consideration the experience of the 2007-2013 Operational Programmes (OPs), in particular the transnational South-East Europe programme (SEE) and the cross-border programme IPA CBC Adriatic whose eligible areas overlap with those of ADRION. It also takes into account the results of the SEE </w:t>
      </w:r>
      <w:r w:rsidRPr="00304864">
        <w:rPr>
          <w:rFonts w:ascii="Arial" w:hAnsi="Arial" w:cs="Arial"/>
          <w:i/>
          <w:sz w:val="22"/>
          <w:szCs w:val="22"/>
        </w:rPr>
        <w:t>in itinere</w:t>
      </w:r>
      <w:r w:rsidRPr="00304864">
        <w:rPr>
          <w:rFonts w:ascii="Arial" w:hAnsi="Arial" w:cs="Arial"/>
          <w:sz w:val="22"/>
          <w:szCs w:val="22"/>
        </w:rPr>
        <w:t xml:space="preserve"> evaluation and the overall programme achievements of the previous programming period.</w:t>
      </w:r>
    </w:p>
    <w:p w:rsidR="00DF4E40" w:rsidRPr="00304864" w:rsidRDefault="00DF4E40">
      <w:pPr>
        <w:rPr>
          <w:rFonts w:ascii="Arial" w:hAnsi="Arial" w:cs="Arial"/>
          <w:sz w:val="22"/>
          <w:szCs w:val="22"/>
        </w:rPr>
      </w:pPr>
      <w:r w:rsidRPr="00304864">
        <w:rPr>
          <w:rFonts w:ascii="Arial" w:hAnsi="Arial" w:cs="Arial"/>
          <w:sz w:val="22"/>
          <w:szCs w:val="22"/>
        </w:rPr>
        <w:t xml:space="preserve">Following the </w:t>
      </w:r>
      <w:r w:rsidR="004A0CC2">
        <w:rPr>
          <w:rFonts w:ascii="Arial" w:hAnsi="Arial" w:cs="Arial"/>
          <w:sz w:val="22"/>
          <w:szCs w:val="22"/>
        </w:rPr>
        <w:t xml:space="preserve">European </w:t>
      </w:r>
      <w:r w:rsidRPr="00304864">
        <w:rPr>
          <w:rFonts w:ascii="Arial" w:hAnsi="Arial" w:cs="Arial"/>
          <w:sz w:val="22"/>
          <w:szCs w:val="22"/>
        </w:rPr>
        <w:t>Commission decision drawing up the list of eligible regions and areas for the transnational strands of the ETC, the ADRION Programme covers the following areas:</w:t>
      </w:r>
    </w:p>
    <w:p w:rsidR="00DF4E40" w:rsidRPr="00304864" w:rsidRDefault="00DF4E40" w:rsidP="00A30AEC">
      <w:pPr>
        <w:pStyle w:val="ListParagraph"/>
        <w:numPr>
          <w:ilvl w:val="0"/>
          <w:numId w:val="61"/>
        </w:numPr>
        <w:ind w:left="0" w:firstLine="0"/>
        <w:rPr>
          <w:rFonts w:ascii="Arial" w:hAnsi="Arial" w:cs="Arial"/>
          <w:sz w:val="22"/>
          <w:szCs w:val="22"/>
        </w:rPr>
      </w:pPr>
      <w:r w:rsidRPr="00304864">
        <w:rPr>
          <w:rFonts w:ascii="Arial" w:hAnsi="Arial" w:cs="Arial"/>
          <w:sz w:val="22"/>
          <w:szCs w:val="22"/>
        </w:rPr>
        <w:t xml:space="preserve">The </w:t>
      </w:r>
      <w:r w:rsidR="009956A4">
        <w:rPr>
          <w:rFonts w:ascii="Arial" w:hAnsi="Arial" w:cs="Arial"/>
          <w:sz w:val="22"/>
          <w:szCs w:val="22"/>
        </w:rPr>
        <w:t>ERDF</w:t>
      </w:r>
      <w:r w:rsidR="004A0CC2">
        <w:rPr>
          <w:rFonts w:ascii="Arial" w:hAnsi="Arial" w:cs="Arial"/>
          <w:sz w:val="22"/>
          <w:szCs w:val="22"/>
        </w:rPr>
        <w:t>Partner</w:t>
      </w:r>
      <w:r w:rsidRPr="00304864">
        <w:rPr>
          <w:rFonts w:ascii="Arial" w:hAnsi="Arial" w:cs="Arial"/>
          <w:sz w:val="22"/>
          <w:szCs w:val="22"/>
        </w:rPr>
        <w:t>States:</w:t>
      </w:r>
    </w:p>
    <w:p w:rsidR="00DF4E40" w:rsidRPr="00A30AEC" w:rsidRDefault="00DF4E40" w:rsidP="00A30AEC">
      <w:pPr>
        <w:pStyle w:val="ListParagraph"/>
        <w:numPr>
          <w:ilvl w:val="0"/>
          <w:numId w:val="122"/>
        </w:numPr>
        <w:rPr>
          <w:rFonts w:ascii="Arial" w:hAnsi="Arial" w:cs="Arial"/>
          <w:sz w:val="22"/>
          <w:szCs w:val="22"/>
          <w:lang w:val="en-US"/>
        </w:rPr>
      </w:pPr>
      <w:r w:rsidRPr="00A30AEC">
        <w:rPr>
          <w:rFonts w:ascii="Arial" w:hAnsi="Arial" w:cs="Arial"/>
          <w:sz w:val="22"/>
          <w:szCs w:val="22"/>
          <w:lang w:val="en-US"/>
        </w:rPr>
        <w:t>IT Italy: 12 regions and 2 provinces;</w:t>
      </w:r>
    </w:p>
    <w:p w:rsidR="00DF4E40" w:rsidRPr="00AA3E9A" w:rsidRDefault="00DF4E40" w:rsidP="00A30AEC">
      <w:pPr>
        <w:pStyle w:val="ListParagraph"/>
        <w:numPr>
          <w:ilvl w:val="0"/>
          <w:numId w:val="122"/>
        </w:numPr>
        <w:rPr>
          <w:rFonts w:ascii="Arial" w:hAnsi="Arial" w:cs="Arial"/>
          <w:sz w:val="22"/>
          <w:szCs w:val="22"/>
        </w:rPr>
      </w:pPr>
      <w:r w:rsidRPr="00AA3E9A">
        <w:rPr>
          <w:rFonts w:ascii="Arial" w:hAnsi="Arial" w:cs="Arial"/>
          <w:sz w:val="22"/>
          <w:szCs w:val="22"/>
        </w:rPr>
        <w:t>SI Slovenia: 2 regions;</w:t>
      </w:r>
    </w:p>
    <w:p w:rsidR="00DF4E40" w:rsidRPr="00304864" w:rsidRDefault="00DF4E40" w:rsidP="00A30AEC">
      <w:pPr>
        <w:pStyle w:val="ListParagraph"/>
        <w:numPr>
          <w:ilvl w:val="0"/>
          <w:numId w:val="122"/>
        </w:numPr>
        <w:rPr>
          <w:rFonts w:ascii="Arial" w:hAnsi="Arial" w:cs="Arial"/>
          <w:sz w:val="22"/>
          <w:szCs w:val="22"/>
        </w:rPr>
      </w:pPr>
      <w:r w:rsidRPr="00304864">
        <w:rPr>
          <w:rFonts w:ascii="Arial" w:hAnsi="Arial" w:cs="Arial"/>
          <w:sz w:val="22"/>
          <w:szCs w:val="22"/>
        </w:rPr>
        <w:t>EL Greece: 13 regions;</w:t>
      </w:r>
    </w:p>
    <w:p w:rsidR="00DF4E40" w:rsidRPr="00304864" w:rsidRDefault="00DF4E40" w:rsidP="00A30AEC">
      <w:pPr>
        <w:pStyle w:val="ListParagraph"/>
        <w:numPr>
          <w:ilvl w:val="0"/>
          <w:numId w:val="122"/>
        </w:numPr>
        <w:rPr>
          <w:rFonts w:ascii="Arial" w:hAnsi="Arial" w:cs="Arial"/>
          <w:sz w:val="22"/>
          <w:szCs w:val="22"/>
        </w:rPr>
      </w:pPr>
      <w:r w:rsidRPr="00304864">
        <w:rPr>
          <w:rFonts w:ascii="Arial" w:hAnsi="Arial" w:cs="Arial"/>
          <w:sz w:val="22"/>
          <w:szCs w:val="22"/>
        </w:rPr>
        <w:t>HR Croatia: 2 regions;</w:t>
      </w:r>
    </w:p>
    <w:p w:rsidR="00DF4E40" w:rsidRPr="00304864" w:rsidRDefault="00260BF4" w:rsidP="00A30AEC">
      <w:pPr>
        <w:pStyle w:val="ListParagraph"/>
        <w:numPr>
          <w:ilvl w:val="0"/>
          <w:numId w:val="61"/>
        </w:numPr>
        <w:ind w:left="0" w:firstLine="0"/>
        <w:rPr>
          <w:rFonts w:ascii="Arial" w:hAnsi="Arial" w:cs="Arial"/>
          <w:sz w:val="22"/>
          <w:szCs w:val="22"/>
        </w:rPr>
      </w:pPr>
      <w:r>
        <w:rPr>
          <w:rFonts w:ascii="Arial" w:hAnsi="Arial" w:cs="Arial"/>
          <w:sz w:val="22"/>
          <w:szCs w:val="22"/>
        </w:rPr>
        <w:t xml:space="preserve">The IPA </w:t>
      </w:r>
      <w:r w:rsidR="00DF4E40" w:rsidRPr="00304864">
        <w:rPr>
          <w:rFonts w:ascii="Arial" w:hAnsi="Arial" w:cs="Arial"/>
          <w:sz w:val="22"/>
          <w:szCs w:val="22"/>
        </w:rPr>
        <w:t xml:space="preserve">Partner States: </w:t>
      </w:r>
    </w:p>
    <w:p w:rsidR="00DF4E40" w:rsidRPr="00A30AEC" w:rsidRDefault="00DF4E40" w:rsidP="00A30AEC">
      <w:pPr>
        <w:pStyle w:val="ListParagraph"/>
        <w:numPr>
          <w:ilvl w:val="0"/>
          <w:numId w:val="122"/>
        </w:numPr>
        <w:rPr>
          <w:rFonts w:ascii="Arial" w:hAnsi="Arial" w:cs="Arial"/>
          <w:sz w:val="22"/>
          <w:szCs w:val="22"/>
          <w:lang w:val="en-US"/>
        </w:rPr>
      </w:pPr>
      <w:r w:rsidRPr="00A30AEC">
        <w:rPr>
          <w:rFonts w:ascii="Arial" w:hAnsi="Arial" w:cs="Arial"/>
          <w:sz w:val="22"/>
          <w:szCs w:val="22"/>
          <w:lang w:val="en-US"/>
        </w:rPr>
        <w:t>AL Albania;</w:t>
      </w:r>
    </w:p>
    <w:p w:rsidR="00DF4E40" w:rsidRPr="00A30AEC" w:rsidRDefault="00DF4E40" w:rsidP="00A30AEC">
      <w:pPr>
        <w:pStyle w:val="ListParagraph"/>
        <w:numPr>
          <w:ilvl w:val="0"/>
          <w:numId w:val="122"/>
        </w:numPr>
        <w:rPr>
          <w:rFonts w:ascii="Arial" w:hAnsi="Arial" w:cs="Arial"/>
          <w:sz w:val="22"/>
          <w:szCs w:val="22"/>
          <w:lang w:val="en-US"/>
        </w:rPr>
      </w:pPr>
      <w:r w:rsidRPr="00A30AEC">
        <w:rPr>
          <w:rFonts w:ascii="Arial" w:hAnsi="Arial" w:cs="Arial"/>
          <w:sz w:val="22"/>
          <w:szCs w:val="22"/>
          <w:lang w:val="en-US"/>
        </w:rPr>
        <w:t>BA Bosnia and Herzegovina;</w:t>
      </w:r>
    </w:p>
    <w:p w:rsidR="00DF4E40" w:rsidRPr="00A30AEC" w:rsidRDefault="00DF4E40" w:rsidP="00A30AEC">
      <w:pPr>
        <w:pStyle w:val="ListParagraph"/>
        <w:numPr>
          <w:ilvl w:val="0"/>
          <w:numId w:val="122"/>
        </w:numPr>
        <w:rPr>
          <w:rFonts w:ascii="Arial" w:hAnsi="Arial" w:cs="Arial"/>
          <w:sz w:val="22"/>
          <w:szCs w:val="22"/>
          <w:lang w:val="en-US"/>
        </w:rPr>
      </w:pPr>
      <w:r w:rsidRPr="00A30AEC">
        <w:rPr>
          <w:rFonts w:ascii="Arial" w:hAnsi="Arial" w:cs="Arial"/>
          <w:sz w:val="22"/>
          <w:szCs w:val="22"/>
          <w:lang w:val="en-US"/>
        </w:rPr>
        <w:t>ME Montenegro;</w:t>
      </w:r>
    </w:p>
    <w:p w:rsidR="00DF4E40" w:rsidRPr="00A30AEC" w:rsidRDefault="00DF4E40" w:rsidP="00A30AEC">
      <w:pPr>
        <w:pStyle w:val="ListParagraph"/>
        <w:numPr>
          <w:ilvl w:val="0"/>
          <w:numId w:val="122"/>
        </w:numPr>
        <w:rPr>
          <w:rFonts w:ascii="Arial" w:hAnsi="Arial" w:cs="Arial"/>
          <w:sz w:val="22"/>
          <w:szCs w:val="22"/>
          <w:lang w:val="en-US"/>
        </w:rPr>
      </w:pPr>
      <w:r w:rsidRPr="00A30AEC">
        <w:rPr>
          <w:rFonts w:ascii="Arial" w:hAnsi="Arial" w:cs="Arial"/>
          <w:sz w:val="22"/>
          <w:szCs w:val="22"/>
          <w:lang w:val="en-US"/>
        </w:rPr>
        <w:t>RS Serbia.</w:t>
      </w:r>
    </w:p>
    <w:p w:rsidR="00DF4E40" w:rsidRPr="00304864" w:rsidRDefault="00DF4E40" w:rsidP="00AA3E9A">
      <w:pPr>
        <w:rPr>
          <w:rFonts w:ascii="Arial" w:hAnsi="Arial" w:cs="Arial"/>
          <w:i/>
          <w:sz w:val="22"/>
          <w:szCs w:val="22"/>
        </w:rPr>
      </w:pPr>
    </w:p>
    <w:p w:rsidR="00DF4E40" w:rsidRPr="00304864" w:rsidRDefault="00DF4E40">
      <w:pPr>
        <w:rPr>
          <w:rFonts w:ascii="Arial" w:hAnsi="Arial" w:cs="Arial"/>
          <w:sz w:val="22"/>
          <w:szCs w:val="22"/>
        </w:rPr>
      </w:pPr>
      <w:r w:rsidRPr="00304864">
        <w:rPr>
          <w:rFonts w:ascii="Arial" w:hAnsi="Arial" w:cs="Arial"/>
          <w:sz w:val="22"/>
          <w:szCs w:val="22"/>
        </w:rPr>
        <w:t xml:space="preserve">Moreover, according to Article 20 of Regulation (EU) No 1299/2013, in the context of cooperation programmes and in duly justified cases, the </w:t>
      </w:r>
      <w:r w:rsidR="008772FE">
        <w:rPr>
          <w:rFonts w:ascii="Arial" w:hAnsi="Arial" w:cs="Arial"/>
          <w:sz w:val="22"/>
          <w:szCs w:val="22"/>
        </w:rPr>
        <w:t>m</w:t>
      </w:r>
      <w:r w:rsidRPr="00304864">
        <w:rPr>
          <w:rFonts w:ascii="Arial" w:hAnsi="Arial" w:cs="Arial"/>
          <w:sz w:val="22"/>
          <w:szCs w:val="22"/>
        </w:rPr>
        <w:t xml:space="preserve">anaging </w:t>
      </w:r>
      <w:r w:rsidR="008772FE">
        <w:rPr>
          <w:rFonts w:ascii="Arial" w:hAnsi="Arial" w:cs="Arial"/>
          <w:sz w:val="22"/>
          <w:szCs w:val="22"/>
        </w:rPr>
        <w:t>a</w:t>
      </w:r>
      <w:r w:rsidRPr="00304864">
        <w:rPr>
          <w:rFonts w:ascii="Arial" w:hAnsi="Arial" w:cs="Arial"/>
          <w:sz w:val="22"/>
          <w:szCs w:val="22"/>
        </w:rPr>
        <w:t xml:space="preserve">uthority may accept that part of an operation is implemented outside the Union part of the programme area, provided that the conditions of Article 20 of Regulation (EU) No 1299/2013 are satisfied. </w:t>
      </w:r>
    </w:p>
    <w:p w:rsidR="00DF4E40" w:rsidRPr="00304864" w:rsidRDefault="00DF4E40">
      <w:pPr>
        <w:rPr>
          <w:rFonts w:ascii="Arial" w:hAnsi="Arial" w:cs="Arial"/>
          <w:sz w:val="22"/>
          <w:szCs w:val="22"/>
        </w:rPr>
      </w:pPr>
      <w:r w:rsidRPr="00304864">
        <w:rPr>
          <w:rFonts w:ascii="Arial" w:hAnsi="Arial" w:cs="Arial"/>
          <w:sz w:val="22"/>
          <w:szCs w:val="22"/>
        </w:rPr>
        <w:t xml:space="preserve">The total amount allocated under the cooperation programme to operations located outside the Union part of the programme area shall not exceed 20 % of the support from the ERDF at programme level. </w:t>
      </w:r>
    </w:p>
    <w:p w:rsidR="00DF4E40" w:rsidRPr="00304864" w:rsidRDefault="00DF4E40">
      <w:pPr>
        <w:rPr>
          <w:rFonts w:ascii="Arial" w:hAnsi="Arial" w:cs="Arial"/>
          <w:i/>
          <w:sz w:val="22"/>
          <w:szCs w:val="22"/>
        </w:rPr>
      </w:pPr>
    </w:p>
    <w:p w:rsidR="00DF4E40" w:rsidRPr="00A30AEC" w:rsidRDefault="00DF4E40">
      <w:pPr>
        <w:pStyle w:val="Heading3"/>
        <w:spacing w:before="0" w:after="120"/>
        <w:ind w:left="-11"/>
        <w:rPr>
          <w:rFonts w:ascii="Arial" w:hAnsi="Arial" w:cs="Arial"/>
          <w:color w:val="17365D"/>
          <w:sz w:val="22"/>
          <w:szCs w:val="22"/>
        </w:rPr>
      </w:pPr>
      <w:bookmarkStart w:id="17" w:name="_Toc420652468"/>
      <w:bookmarkStart w:id="18" w:name="_Toc421076820"/>
      <w:r w:rsidRPr="00A30AEC">
        <w:rPr>
          <w:rFonts w:ascii="Arial" w:hAnsi="Arial" w:cs="Arial"/>
          <w:b w:val="0"/>
          <w:noProof w:val="0"/>
          <w:color w:val="17365D"/>
          <w:sz w:val="22"/>
          <w:szCs w:val="22"/>
        </w:rPr>
        <w:t>The</w:t>
      </w:r>
      <w:r w:rsidRPr="00A30AEC">
        <w:rPr>
          <w:rFonts w:ascii="Arial" w:hAnsi="Arial" w:cs="Arial"/>
          <w:b w:val="0"/>
          <w:color w:val="17365D"/>
          <w:sz w:val="22"/>
          <w:szCs w:val="22"/>
        </w:rPr>
        <w:t xml:space="preserve"> context of the programme</w:t>
      </w:r>
      <w:bookmarkEnd w:id="14"/>
      <w:bookmarkEnd w:id="15"/>
      <w:bookmarkEnd w:id="16"/>
      <w:bookmarkEnd w:id="17"/>
      <w:bookmarkEnd w:id="18"/>
    </w:p>
    <w:p w:rsidR="00DF4E40" w:rsidRPr="00304864" w:rsidRDefault="00DF4E40">
      <w:pPr>
        <w:pStyle w:val="Text1"/>
        <w:ind w:left="0"/>
        <w:rPr>
          <w:rFonts w:ascii="Arial" w:hAnsi="Arial" w:cs="Arial"/>
          <w:sz w:val="22"/>
          <w:szCs w:val="22"/>
        </w:rPr>
      </w:pPr>
      <w:r w:rsidRPr="00304864">
        <w:rPr>
          <w:rFonts w:ascii="Arial" w:hAnsi="Arial" w:cs="Arial"/>
          <w:sz w:val="22"/>
          <w:szCs w:val="22"/>
        </w:rPr>
        <w:t>The ADRION Programme exemplifies the broad policy framework channelling the development efforts on macro-regional and national levels. The drafting process was primarily led in accordance with the goals and priorities identified within multi thematic strategies at EU and macro-regional levels:</w:t>
      </w:r>
    </w:p>
    <w:p w:rsidR="00DF4E40" w:rsidRPr="00304864" w:rsidRDefault="00DF4E40">
      <w:pPr>
        <w:pStyle w:val="Text1"/>
        <w:ind w:left="0"/>
        <w:rPr>
          <w:rFonts w:ascii="Arial" w:hAnsi="Arial" w:cs="Arial"/>
          <w:sz w:val="22"/>
          <w:szCs w:val="22"/>
        </w:rPr>
      </w:pPr>
    </w:p>
    <w:p w:rsidR="00DF4E40" w:rsidRDefault="00DF4E40">
      <w:pPr>
        <w:pStyle w:val="Default"/>
        <w:spacing w:after="120"/>
        <w:jc w:val="both"/>
        <w:rPr>
          <w:color w:val="auto"/>
          <w:sz w:val="22"/>
          <w:szCs w:val="22"/>
          <w:lang w:eastAsia="en-US"/>
        </w:rPr>
      </w:pPr>
      <w:r w:rsidRPr="00304864">
        <w:rPr>
          <w:sz w:val="22"/>
          <w:szCs w:val="22"/>
          <w:u w:val="single"/>
        </w:rPr>
        <w:t>The Europe 2020 Strategy (EU2020)</w:t>
      </w:r>
      <w:r w:rsidRPr="00304864">
        <w:rPr>
          <w:sz w:val="22"/>
          <w:szCs w:val="22"/>
        </w:rPr>
        <w:t xml:space="preserve">, </w:t>
      </w:r>
      <w:r w:rsidRPr="00304864">
        <w:rPr>
          <w:color w:val="auto"/>
          <w:sz w:val="22"/>
          <w:szCs w:val="22"/>
          <w:lang w:eastAsia="en-US"/>
        </w:rPr>
        <w:t xml:space="preserve">an instrument to coordinate the national and EU policy levels in order to produce and maintain European development, focuses on the three pillars of the concept of growth: smart, sustainable and inclusive. The mechanism needed to achieve the above-mentioned goals includes the National Reform Programmes, the objectives of which pursue the EU2020 objectives at national level. </w:t>
      </w:r>
    </w:p>
    <w:p w:rsidR="004A0CC2" w:rsidRPr="00304864" w:rsidRDefault="004A0CC2">
      <w:pPr>
        <w:pStyle w:val="Default"/>
        <w:spacing w:after="120"/>
        <w:jc w:val="both"/>
        <w:rPr>
          <w:color w:val="auto"/>
          <w:sz w:val="22"/>
          <w:szCs w:val="22"/>
          <w:lang w:eastAsia="en-US"/>
        </w:rPr>
      </w:pPr>
    </w:p>
    <w:p w:rsidR="00DF4E40" w:rsidRPr="00304864" w:rsidRDefault="00DF4E40">
      <w:pPr>
        <w:autoSpaceDE w:val="0"/>
        <w:autoSpaceDN w:val="0"/>
        <w:adjustRightInd w:val="0"/>
        <w:rPr>
          <w:rFonts w:ascii="Arial" w:hAnsi="Arial" w:cs="Arial"/>
          <w:sz w:val="22"/>
          <w:szCs w:val="22"/>
          <w:lang w:eastAsia="es-ES"/>
        </w:rPr>
      </w:pPr>
      <w:r w:rsidRPr="00304864">
        <w:rPr>
          <w:rFonts w:ascii="Arial" w:hAnsi="Arial" w:cs="Arial"/>
          <w:sz w:val="22"/>
          <w:szCs w:val="22"/>
          <w:lang w:eastAsia="es-ES"/>
        </w:rPr>
        <w:t xml:space="preserve">The </w:t>
      </w:r>
      <w:r w:rsidRPr="00304864">
        <w:rPr>
          <w:rFonts w:ascii="Arial" w:hAnsi="Arial" w:cs="Arial"/>
          <w:sz w:val="22"/>
          <w:szCs w:val="22"/>
          <w:u w:val="single"/>
          <w:lang w:eastAsia="es-ES"/>
        </w:rPr>
        <w:t xml:space="preserve">EU Strategy for the Adriatic-Ionian Region - </w:t>
      </w:r>
      <w:r w:rsidRPr="00304864">
        <w:rPr>
          <w:rFonts w:ascii="Arial" w:hAnsi="Arial" w:cs="Arial"/>
          <w:color w:val="000000"/>
          <w:sz w:val="22"/>
          <w:szCs w:val="22"/>
          <w:u w:val="single"/>
          <w:lang w:eastAsia="sv-SE"/>
        </w:rPr>
        <w:t>EUSAIR</w:t>
      </w:r>
      <w:r w:rsidRPr="00304864">
        <w:rPr>
          <w:rFonts w:ascii="Arial" w:hAnsi="Arial" w:cs="Arial"/>
          <w:sz w:val="22"/>
          <w:szCs w:val="22"/>
          <w:lang w:eastAsia="es-ES"/>
        </w:rPr>
        <w:t xml:space="preserve"> described in two documents:</w:t>
      </w:r>
    </w:p>
    <w:p w:rsidR="00DF4E40" w:rsidRPr="00304864" w:rsidRDefault="00DF4E40" w:rsidP="00A30AEC">
      <w:pPr>
        <w:numPr>
          <w:ilvl w:val="0"/>
          <w:numId w:val="87"/>
        </w:numPr>
        <w:autoSpaceDE w:val="0"/>
        <w:autoSpaceDN w:val="0"/>
        <w:adjustRightInd w:val="0"/>
        <w:ind w:left="284" w:hanging="284"/>
        <w:rPr>
          <w:rFonts w:ascii="Arial" w:hAnsi="Arial" w:cs="Arial"/>
          <w:sz w:val="22"/>
          <w:szCs w:val="22"/>
          <w:lang w:eastAsia="es-ES"/>
        </w:rPr>
      </w:pPr>
      <w:r w:rsidRPr="00304864">
        <w:rPr>
          <w:rFonts w:ascii="Arial" w:hAnsi="Arial" w:cs="Arial"/>
          <w:sz w:val="22"/>
          <w:szCs w:val="22"/>
          <w:lang w:eastAsia="es-ES"/>
        </w:rPr>
        <w:t xml:space="preserve"> The Communication from the European Commission to the other EU institutions, (COM (2014) 357 final of </w:t>
      </w:r>
      <w:r w:rsidRPr="00304864">
        <w:rPr>
          <w:rFonts w:ascii="Arial" w:hAnsi="Arial" w:cs="Arial"/>
          <w:sz w:val="22"/>
          <w:szCs w:val="22"/>
          <w:lang w:val="en-US" w:eastAsia="it-IT"/>
        </w:rPr>
        <w:t>17.06.2014</w:t>
      </w:r>
      <w:r w:rsidRPr="00304864">
        <w:rPr>
          <w:rFonts w:ascii="Arial" w:hAnsi="Arial" w:cs="Arial"/>
          <w:sz w:val="22"/>
          <w:szCs w:val="22"/>
          <w:lang w:eastAsia="es-ES"/>
        </w:rPr>
        <w:t xml:space="preserve">); </w:t>
      </w:r>
    </w:p>
    <w:p w:rsidR="00DF4E40" w:rsidRPr="00304864" w:rsidRDefault="00DF4E40" w:rsidP="00A30AEC">
      <w:pPr>
        <w:numPr>
          <w:ilvl w:val="0"/>
          <w:numId w:val="87"/>
        </w:numPr>
        <w:autoSpaceDE w:val="0"/>
        <w:autoSpaceDN w:val="0"/>
        <w:adjustRightInd w:val="0"/>
        <w:ind w:left="284" w:hanging="284"/>
        <w:rPr>
          <w:rFonts w:ascii="Arial" w:hAnsi="Arial" w:cs="Arial"/>
          <w:sz w:val="22"/>
          <w:szCs w:val="22"/>
          <w:lang w:eastAsia="es-ES"/>
        </w:rPr>
      </w:pPr>
      <w:r w:rsidRPr="00304864">
        <w:rPr>
          <w:rFonts w:ascii="Arial" w:hAnsi="Arial" w:cs="Arial"/>
          <w:sz w:val="22"/>
          <w:szCs w:val="22"/>
          <w:lang w:eastAsia="es-ES"/>
        </w:rPr>
        <w:t xml:space="preserve"> The Action Plan, concerning the European Union Strategy for the Adriatic and Ionian Region which complements the Communication (SWD(2014) 190 final of </w:t>
      </w:r>
      <w:r w:rsidRPr="00304864">
        <w:rPr>
          <w:rFonts w:ascii="Arial" w:hAnsi="Arial" w:cs="Arial"/>
          <w:sz w:val="22"/>
          <w:szCs w:val="22"/>
          <w:lang w:val="en-US" w:eastAsia="it-IT"/>
        </w:rPr>
        <w:t>17.06.2014</w:t>
      </w:r>
      <w:r w:rsidRPr="00304864">
        <w:rPr>
          <w:rFonts w:ascii="Arial" w:hAnsi="Arial" w:cs="Arial"/>
          <w:sz w:val="22"/>
          <w:szCs w:val="22"/>
          <w:lang w:eastAsia="es-ES"/>
        </w:rPr>
        <w:t>).</w:t>
      </w:r>
    </w:p>
    <w:p w:rsidR="00DF4E40" w:rsidRPr="00304864" w:rsidRDefault="00DF4E40" w:rsidP="00AA3E9A">
      <w:pPr>
        <w:autoSpaceDE w:val="0"/>
        <w:autoSpaceDN w:val="0"/>
        <w:adjustRightInd w:val="0"/>
        <w:rPr>
          <w:rFonts w:ascii="Arial" w:hAnsi="Arial" w:cs="Arial"/>
          <w:sz w:val="22"/>
          <w:szCs w:val="22"/>
          <w:lang w:eastAsia="es-ES"/>
        </w:rPr>
      </w:pPr>
      <w:r w:rsidRPr="00304864">
        <w:rPr>
          <w:rFonts w:ascii="Arial" w:hAnsi="Arial" w:cs="Arial"/>
          <w:sz w:val="22"/>
          <w:szCs w:val="22"/>
          <w:lang w:eastAsia="en-GB"/>
        </w:rPr>
        <w:t xml:space="preserve">The strategy focuses on four (4) Pillars: </w:t>
      </w:r>
      <w:r w:rsidRPr="00304864">
        <w:rPr>
          <w:rFonts w:ascii="Arial" w:hAnsi="Arial" w:cs="Arial"/>
          <w:i/>
          <w:sz w:val="22"/>
          <w:szCs w:val="22"/>
          <w:lang w:eastAsia="en-GB"/>
        </w:rPr>
        <w:t>1. Blue growth, 2. Connecting the Region, 3. Environmental quality, 4. Sustainable tourism</w:t>
      </w:r>
      <w:r w:rsidRPr="00304864">
        <w:rPr>
          <w:rFonts w:ascii="Arial" w:hAnsi="Arial" w:cs="Arial"/>
          <w:sz w:val="22"/>
          <w:szCs w:val="22"/>
          <w:lang w:eastAsia="en-GB"/>
        </w:rPr>
        <w:t xml:space="preserve">. </w:t>
      </w:r>
      <w:r w:rsidRPr="00304864">
        <w:rPr>
          <w:rFonts w:ascii="Arial" w:hAnsi="Arial" w:cs="Arial"/>
          <w:sz w:val="22"/>
          <w:szCs w:val="22"/>
          <w:lang w:eastAsia="es-ES"/>
        </w:rPr>
        <w:t>The Action Plan is one of the outputs of the Strategy. Its aim is to go from “words to actions” by identifying the concrete priorities for the macro-region. It is structured so as to reflect the four pillars, as well as the topics selected under each of them, also including an indicative list of eligible actions and project examples.</w:t>
      </w:r>
    </w:p>
    <w:p w:rsidR="00DF4E40" w:rsidRDefault="00DF4E40">
      <w:pPr>
        <w:autoSpaceDE w:val="0"/>
        <w:autoSpaceDN w:val="0"/>
        <w:adjustRightInd w:val="0"/>
        <w:rPr>
          <w:rFonts w:ascii="Arial" w:hAnsi="Arial" w:cs="Arial"/>
          <w:sz w:val="22"/>
          <w:szCs w:val="22"/>
          <w:lang w:eastAsia="es-ES"/>
        </w:rPr>
      </w:pPr>
      <w:r w:rsidRPr="00304864">
        <w:rPr>
          <w:rFonts w:ascii="Arial" w:hAnsi="Arial" w:cs="Arial"/>
          <w:sz w:val="22"/>
          <w:szCs w:val="22"/>
        </w:rPr>
        <w:t xml:space="preserve">The structure of the EUSAIR governance </w:t>
      </w:r>
      <w:r w:rsidRPr="00304864">
        <w:rPr>
          <w:rFonts w:ascii="Arial" w:hAnsi="Arial" w:cs="Arial"/>
          <w:sz w:val="22"/>
          <w:szCs w:val="22"/>
          <w:lang w:eastAsia="en-GB"/>
        </w:rPr>
        <w:t xml:space="preserve">will be defined in order to identify and support actions and projects with a macro regional value. In the framework of the Action Plan, the governance structure shall identify the actions and the projects with a macro-regional value and the sources of financing, looking at the other funds available on the area (EU, national, regional and public, financial instruments, loan and private funds). The ADRION Programme shall support the governance and the implementation of EUSAIR mainly under the Thematic Objective (TO) No 11. The EUSAIR </w:t>
      </w:r>
      <w:r w:rsidRPr="00304864">
        <w:rPr>
          <w:rFonts w:ascii="Arial" w:hAnsi="Arial" w:cs="Arial"/>
          <w:sz w:val="22"/>
          <w:szCs w:val="22"/>
          <w:lang w:eastAsia="es-ES"/>
        </w:rPr>
        <w:t>Strategy's coordination mechanism</w:t>
      </w:r>
      <w:r w:rsidRPr="00304864">
        <w:rPr>
          <w:rFonts w:ascii="Arial" w:hAnsi="Arial" w:cs="Arial"/>
          <w:sz w:val="22"/>
          <w:szCs w:val="22"/>
          <w:lang w:eastAsia="en-GB"/>
        </w:rPr>
        <w:t xml:space="preserve"> will be eligible for institutional and administrative support from the </w:t>
      </w:r>
      <w:r w:rsidRPr="00304864">
        <w:rPr>
          <w:rFonts w:ascii="Arial" w:hAnsi="Arial" w:cs="Arial"/>
          <w:sz w:val="22"/>
          <w:szCs w:val="22"/>
          <w:lang w:eastAsia="es-ES"/>
        </w:rPr>
        <w:t>ADRION Programme.</w:t>
      </w:r>
    </w:p>
    <w:p w:rsidR="00590271" w:rsidRPr="00304864" w:rsidRDefault="00590271">
      <w:pPr>
        <w:autoSpaceDE w:val="0"/>
        <w:autoSpaceDN w:val="0"/>
        <w:adjustRightInd w:val="0"/>
        <w:rPr>
          <w:rFonts w:ascii="Arial" w:hAnsi="Arial" w:cs="Arial"/>
          <w:sz w:val="22"/>
          <w:szCs w:val="22"/>
          <w:lang w:eastAsia="en-GB"/>
        </w:rPr>
      </w:pPr>
    </w:p>
    <w:p w:rsidR="00DF4E40" w:rsidRDefault="00DF4E40">
      <w:pPr>
        <w:autoSpaceDE w:val="0"/>
        <w:autoSpaceDN w:val="0"/>
        <w:adjustRightInd w:val="0"/>
        <w:rPr>
          <w:rFonts w:ascii="Arial" w:hAnsi="Arial" w:cs="Arial"/>
          <w:sz w:val="22"/>
          <w:szCs w:val="22"/>
        </w:rPr>
      </w:pPr>
      <w:r w:rsidRPr="00304864">
        <w:rPr>
          <w:rFonts w:ascii="Arial" w:hAnsi="Arial" w:cs="Arial"/>
          <w:sz w:val="22"/>
          <w:szCs w:val="22"/>
          <w:u w:val="single"/>
        </w:rPr>
        <w:t>The South-East Europe 2020 Strategy (SEE 2020)</w:t>
      </w:r>
      <w:r w:rsidRPr="00304864">
        <w:rPr>
          <w:rFonts w:ascii="Arial" w:hAnsi="Arial" w:cs="Arial"/>
          <w:sz w:val="22"/>
          <w:szCs w:val="22"/>
        </w:rPr>
        <w:t xml:space="preserve"> launched by the Western Balkans countries in 2011, acknowledges that close cooperation can accelerate the attainment of goals in key sectors. Inspired by the EU 2020 Strategy, the SEE 2020 is pursuing similar objectives taking into account the regional specificities. The strategy provides important guidance for the countries from the Western Balkans, in achieving a higher degree of convergence with the goals of EU2020.</w:t>
      </w:r>
    </w:p>
    <w:p w:rsidR="00590271" w:rsidRPr="00304864" w:rsidRDefault="00590271">
      <w:pPr>
        <w:autoSpaceDE w:val="0"/>
        <w:autoSpaceDN w:val="0"/>
        <w:adjustRightInd w:val="0"/>
        <w:rPr>
          <w:rFonts w:ascii="Arial" w:hAnsi="Arial" w:cs="Arial"/>
          <w:sz w:val="22"/>
          <w:szCs w:val="22"/>
        </w:rPr>
      </w:pP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u w:val="single"/>
        </w:rPr>
        <w:t>The Macro-regional Strategy for the Alpine region (EUSALP</w:t>
      </w:r>
      <w:r w:rsidRPr="00304864">
        <w:rPr>
          <w:rFonts w:ascii="Arial" w:hAnsi="Arial" w:cs="Arial"/>
          <w:sz w:val="22"/>
          <w:szCs w:val="22"/>
        </w:rPr>
        <w:t>), currently undergoing a consultation process, will be built upon three general action-oriented pillars: 1. To improve the competitiveness, prosperity and cohesion of the Alpine Region; 2. To ensure accessibility and connectivity for all the inhabitants of the Alpine Region; 3. To make the Alpine Region environmentally sustainable and attractive.</w:t>
      </w:r>
    </w:p>
    <w:p w:rsidR="00DF4E40" w:rsidRDefault="00DF4E40">
      <w:pPr>
        <w:autoSpaceDE w:val="0"/>
        <w:autoSpaceDN w:val="0"/>
        <w:adjustRightInd w:val="0"/>
        <w:rPr>
          <w:rFonts w:ascii="Arial" w:hAnsi="Arial" w:cs="Arial"/>
          <w:i/>
          <w:sz w:val="22"/>
          <w:szCs w:val="22"/>
        </w:rPr>
      </w:pPr>
      <w:r w:rsidRPr="00304864">
        <w:rPr>
          <w:rFonts w:ascii="Arial" w:hAnsi="Arial" w:cs="Arial"/>
          <w:sz w:val="22"/>
          <w:szCs w:val="22"/>
        </w:rPr>
        <w:t xml:space="preserve">In this framework, three (3) thematic pillars have been identified: </w:t>
      </w:r>
      <w:r w:rsidRPr="00304864">
        <w:rPr>
          <w:rFonts w:ascii="Arial" w:hAnsi="Arial" w:cs="Arial"/>
          <w:i/>
          <w:sz w:val="22"/>
          <w:szCs w:val="22"/>
        </w:rPr>
        <w:t>Pillar 1. Fostering sustainable growth and promoting innovation in the Alps: from theory to practice, from research centres to enterprises; Pillar 2. Connectivity for all: in search of a balanced territorial development through environmentally friendly mobility patterns, transport systems and communication services and infrastructures; Pillar 3. Ensuring sustainability in the Alpine Region: preserving the Alpine heritage and promoting a sustainable use of natural and cultural resources.</w:t>
      </w:r>
    </w:p>
    <w:p w:rsidR="00590271" w:rsidRPr="00304864" w:rsidRDefault="00590271">
      <w:pPr>
        <w:autoSpaceDE w:val="0"/>
        <w:autoSpaceDN w:val="0"/>
        <w:adjustRightInd w:val="0"/>
        <w:rPr>
          <w:rFonts w:ascii="Arial" w:hAnsi="Arial" w:cs="Arial"/>
          <w:i/>
          <w:sz w:val="22"/>
          <w:szCs w:val="22"/>
        </w:rPr>
      </w:pPr>
    </w:p>
    <w:p w:rsidR="00DF4E40" w:rsidRPr="00304864" w:rsidRDefault="00DF4E40">
      <w:pPr>
        <w:pStyle w:val="Default"/>
        <w:spacing w:after="120"/>
        <w:jc w:val="both"/>
        <w:rPr>
          <w:color w:val="auto"/>
          <w:sz w:val="22"/>
          <w:szCs w:val="22"/>
          <w:lang w:eastAsia="en-US"/>
        </w:rPr>
      </w:pPr>
      <w:r w:rsidRPr="00304864">
        <w:rPr>
          <w:color w:val="auto"/>
          <w:sz w:val="22"/>
          <w:szCs w:val="22"/>
          <w:u w:val="single"/>
          <w:lang w:eastAsia="en-US"/>
        </w:rPr>
        <w:t>The Danube Region Strategy (EUSDR</w:t>
      </w:r>
      <w:r w:rsidRPr="00304864">
        <w:rPr>
          <w:color w:val="auto"/>
          <w:sz w:val="22"/>
          <w:szCs w:val="22"/>
          <w:u w:val="single"/>
        </w:rPr>
        <w:t>)</w:t>
      </w:r>
      <w:r w:rsidRPr="00304864">
        <w:rPr>
          <w:color w:val="auto"/>
          <w:sz w:val="22"/>
          <w:szCs w:val="22"/>
        </w:rPr>
        <w:t xml:space="preserve">, </w:t>
      </w:r>
      <w:r w:rsidRPr="00304864">
        <w:rPr>
          <w:color w:val="auto"/>
          <w:sz w:val="22"/>
          <w:szCs w:val="22"/>
          <w:lang w:eastAsia="en-US"/>
        </w:rPr>
        <w:t>developed in 2010, addresses to a wide range of issues which are divided among four (4) pillars and 11 priority areas. Its Action Plan and governance structure are meant to promote joint, coherent and mutually supportive actions that demonstrate immediate and visible benefits for the people, tackling joint challenges in the macro-region (or a significant part of it).</w:t>
      </w:r>
    </w:p>
    <w:p w:rsidR="00DF4E40" w:rsidRPr="00304864" w:rsidRDefault="00DF4E40">
      <w:pPr>
        <w:pStyle w:val="Default"/>
        <w:spacing w:after="120"/>
        <w:jc w:val="both"/>
        <w:rPr>
          <w:color w:val="auto"/>
          <w:sz w:val="22"/>
          <w:szCs w:val="22"/>
          <w:lang w:eastAsia="en-US"/>
        </w:rPr>
      </w:pPr>
    </w:p>
    <w:p w:rsidR="00DF4E40" w:rsidRPr="00A30AEC" w:rsidRDefault="00DF4E40" w:rsidP="00A30AEC">
      <w:pPr>
        <w:pStyle w:val="Heading3"/>
        <w:spacing w:before="0" w:after="120"/>
        <w:ind w:left="-11"/>
        <w:rPr>
          <w:i w:val="0"/>
          <w:color w:val="17365D"/>
          <w:sz w:val="22"/>
          <w:szCs w:val="22"/>
        </w:rPr>
      </w:pPr>
      <w:bookmarkStart w:id="19" w:name="_Toc420652469"/>
      <w:bookmarkStart w:id="20" w:name="_Toc421076821"/>
      <w:r w:rsidRPr="00A30AEC">
        <w:rPr>
          <w:rFonts w:ascii="Arial" w:hAnsi="Arial" w:cs="Arial"/>
          <w:b w:val="0"/>
          <w:noProof w:val="0"/>
          <w:color w:val="17365D"/>
          <w:sz w:val="22"/>
          <w:szCs w:val="22"/>
        </w:rPr>
        <w:t>Strategic response by the programme to contribute to EU2020</w:t>
      </w:r>
      <w:bookmarkEnd w:id="19"/>
      <w:bookmarkEnd w:id="20"/>
    </w:p>
    <w:p w:rsidR="00DF4E40" w:rsidRPr="00304864" w:rsidRDefault="00DF4E40">
      <w:pPr>
        <w:pStyle w:val="Default"/>
        <w:spacing w:after="120"/>
        <w:jc w:val="both"/>
        <w:rPr>
          <w:sz w:val="22"/>
          <w:szCs w:val="22"/>
        </w:rPr>
      </w:pPr>
      <w:r w:rsidRPr="00304864">
        <w:rPr>
          <w:sz w:val="22"/>
          <w:szCs w:val="22"/>
        </w:rPr>
        <w:t xml:space="preserve">As noted earlier, in 2010, the European Union and its Member States launched the EU2020 strategy as a ten year roadmap. It constitutes an overall strategic framework putting forward three mutually reinforcing priorities (quantified by five EU headline targets): </w:t>
      </w:r>
    </w:p>
    <w:p w:rsidR="00DF4E40" w:rsidRPr="00304864" w:rsidRDefault="00DF4E40" w:rsidP="00A30AEC">
      <w:pPr>
        <w:pStyle w:val="Default"/>
        <w:numPr>
          <w:ilvl w:val="0"/>
          <w:numId w:val="63"/>
        </w:numPr>
        <w:spacing w:after="120"/>
        <w:ind w:left="284" w:hanging="284"/>
        <w:jc w:val="both"/>
        <w:rPr>
          <w:sz w:val="22"/>
          <w:szCs w:val="22"/>
        </w:rPr>
      </w:pPr>
      <w:r w:rsidRPr="00304864">
        <w:rPr>
          <w:sz w:val="22"/>
          <w:szCs w:val="22"/>
        </w:rPr>
        <w:t>Smart growth: developing an economy based on knowledge and innovation;</w:t>
      </w:r>
    </w:p>
    <w:p w:rsidR="00DF4E40" w:rsidRPr="00304864" w:rsidRDefault="00DF4E40" w:rsidP="00A30AEC">
      <w:pPr>
        <w:pStyle w:val="Default"/>
        <w:numPr>
          <w:ilvl w:val="0"/>
          <w:numId w:val="63"/>
        </w:numPr>
        <w:spacing w:after="120"/>
        <w:ind w:left="284" w:hanging="284"/>
        <w:jc w:val="both"/>
        <w:rPr>
          <w:sz w:val="22"/>
          <w:szCs w:val="22"/>
        </w:rPr>
      </w:pPr>
      <w:r w:rsidRPr="00304864">
        <w:rPr>
          <w:sz w:val="22"/>
          <w:szCs w:val="22"/>
        </w:rPr>
        <w:t>Sustainable growth: promoting a more resource efficient, greener and more competitive economy;</w:t>
      </w:r>
    </w:p>
    <w:p w:rsidR="00DF4E40" w:rsidRPr="00304864" w:rsidRDefault="00DF4E40" w:rsidP="00A30AEC">
      <w:pPr>
        <w:pStyle w:val="Default"/>
        <w:numPr>
          <w:ilvl w:val="0"/>
          <w:numId w:val="63"/>
        </w:numPr>
        <w:spacing w:after="120"/>
        <w:ind w:left="284" w:hanging="284"/>
        <w:jc w:val="both"/>
        <w:rPr>
          <w:sz w:val="22"/>
          <w:szCs w:val="22"/>
        </w:rPr>
      </w:pPr>
      <w:r w:rsidRPr="00304864">
        <w:rPr>
          <w:sz w:val="22"/>
          <w:szCs w:val="22"/>
        </w:rPr>
        <w:t>Inclusive growth: fostering a high-employment economy delivering social and territorial cohesion.</w:t>
      </w:r>
    </w:p>
    <w:p w:rsidR="00DF4E40" w:rsidRPr="00304864" w:rsidRDefault="00DF4E40" w:rsidP="00A30AEC">
      <w:pPr>
        <w:pStyle w:val="Default"/>
        <w:spacing w:after="120"/>
        <w:jc w:val="both"/>
        <w:rPr>
          <w:sz w:val="22"/>
          <w:szCs w:val="22"/>
        </w:rPr>
      </w:pPr>
    </w:p>
    <w:p w:rsidR="00DF4E40" w:rsidRPr="00304864" w:rsidRDefault="00DF4E40">
      <w:pPr>
        <w:pStyle w:val="Default"/>
        <w:spacing w:after="120"/>
        <w:jc w:val="both"/>
        <w:rPr>
          <w:sz w:val="22"/>
          <w:szCs w:val="22"/>
        </w:rPr>
      </w:pPr>
      <w:r w:rsidRPr="00304864">
        <w:rPr>
          <w:sz w:val="22"/>
          <w:szCs w:val="22"/>
        </w:rPr>
        <w:t>The link of the ADRION Programme to the EU2020 strategy goals is ensured by the definition of the Thematic Objectives (TO) (Article 9</w:t>
      </w:r>
      <w:r w:rsidR="00304864" w:rsidRPr="00304864">
        <w:rPr>
          <w:sz w:val="22"/>
          <w:szCs w:val="22"/>
        </w:rPr>
        <w:t xml:space="preserve"> of</w:t>
      </w:r>
      <w:r w:rsidRPr="00304864">
        <w:rPr>
          <w:sz w:val="22"/>
          <w:szCs w:val="22"/>
        </w:rPr>
        <w:t xml:space="preserve"> Regulation (EU) No 1303/2013) and the requirement for thematic concentration (Art</w:t>
      </w:r>
      <w:r w:rsidR="00304864" w:rsidRPr="00304864">
        <w:rPr>
          <w:sz w:val="22"/>
          <w:szCs w:val="22"/>
        </w:rPr>
        <w:t>icle</w:t>
      </w:r>
      <w:r w:rsidRPr="00304864">
        <w:rPr>
          <w:sz w:val="22"/>
          <w:szCs w:val="22"/>
        </w:rPr>
        <w:t xml:space="preserve"> 6</w:t>
      </w:r>
      <w:r w:rsidR="00304864" w:rsidRPr="00304864">
        <w:rPr>
          <w:sz w:val="22"/>
          <w:szCs w:val="22"/>
        </w:rPr>
        <w:t xml:space="preserve"> of</w:t>
      </w:r>
      <w:r w:rsidRPr="00304864">
        <w:rPr>
          <w:sz w:val="22"/>
          <w:szCs w:val="22"/>
        </w:rPr>
        <w:t xml:space="preserve"> Regulation (EU) No 1299/2013). The TOs are further broken down into Investment Priorities (IP) (Article 5</w:t>
      </w:r>
      <w:r w:rsidR="00304864" w:rsidRPr="00304864">
        <w:rPr>
          <w:sz w:val="22"/>
          <w:szCs w:val="22"/>
        </w:rPr>
        <w:t xml:space="preserve"> of</w:t>
      </w:r>
      <w:r w:rsidRPr="00304864">
        <w:rPr>
          <w:sz w:val="22"/>
          <w:szCs w:val="22"/>
        </w:rPr>
        <w:t xml:space="preserve"> Regulation (EU) No 1301/2013) and Article 7 </w:t>
      </w:r>
      <w:r w:rsidR="00304864" w:rsidRPr="00304864">
        <w:rPr>
          <w:sz w:val="22"/>
          <w:szCs w:val="22"/>
        </w:rPr>
        <w:t xml:space="preserve">of </w:t>
      </w:r>
      <w:r w:rsidRPr="00304864">
        <w:rPr>
          <w:sz w:val="22"/>
          <w:szCs w:val="22"/>
        </w:rPr>
        <w:t>Regulation (EU) No 1299/2013) and Specific Objectives (SO). Priority axes (PA) are set out to combine IPs covering one or more TOs (in cases of a thematically</w:t>
      </w:r>
      <w:r w:rsidRPr="00304864">
        <w:rPr>
          <w:bCs/>
          <w:sz w:val="22"/>
          <w:szCs w:val="22"/>
        </w:rPr>
        <w:t xml:space="preserve"> coherent context).</w:t>
      </w:r>
    </w:p>
    <w:p w:rsidR="00DF4E40" w:rsidRPr="00304864" w:rsidRDefault="00DF4E40">
      <w:pPr>
        <w:pStyle w:val="Default"/>
        <w:spacing w:after="120"/>
        <w:jc w:val="both"/>
        <w:rPr>
          <w:sz w:val="22"/>
          <w:szCs w:val="22"/>
        </w:rPr>
      </w:pPr>
    </w:p>
    <w:p w:rsidR="00DF4E40" w:rsidRPr="00304864" w:rsidRDefault="00DF4E40">
      <w:pPr>
        <w:pStyle w:val="Default"/>
        <w:spacing w:after="120"/>
        <w:jc w:val="both"/>
        <w:rPr>
          <w:color w:val="auto"/>
          <w:sz w:val="22"/>
          <w:szCs w:val="22"/>
        </w:rPr>
      </w:pPr>
      <w:r w:rsidRPr="00304864">
        <w:rPr>
          <w:color w:val="auto"/>
          <w:sz w:val="22"/>
          <w:szCs w:val="22"/>
        </w:rPr>
        <w:t xml:space="preserve">The ADRION Programme includes a wide transnational area with more than 70 million inhabitants, and has distinct physical, environmental, socio-economic and cultural characteristics. Hence, it addresses all three dimensions of sustainability, including social, economic and environmental aspects but also institutional elements. </w:t>
      </w:r>
    </w:p>
    <w:p w:rsidR="00DF4E40" w:rsidRPr="00304864" w:rsidRDefault="00DF4E40">
      <w:pPr>
        <w:pStyle w:val="Default"/>
        <w:spacing w:after="120"/>
        <w:jc w:val="both"/>
        <w:rPr>
          <w:color w:val="auto"/>
          <w:sz w:val="22"/>
          <w:szCs w:val="22"/>
        </w:rPr>
      </w:pPr>
      <w:r w:rsidRPr="00304864">
        <w:rPr>
          <w:color w:val="auto"/>
          <w:sz w:val="22"/>
          <w:szCs w:val="22"/>
        </w:rPr>
        <w:t xml:space="preserve">It will be structured in four PAs that aim to develop coordinated policies and actions in the Programme area with a view to reinforcing the achievements of the EU2020 strategy towards smart, sustainable and inclusive growth. </w:t>
      </w:r>
    </w:p>
    <w:p w:rsidR="00DF4E40" w:rsidRPr="00304864" w:rsidRDefault="00DF4E40">
      <w:pPr>
        <w:pStyle w:val="Default"/>
        <w:spacing w:after="120"/>
        <w:jc w:val="both"/>
        <w:rPr>
          <w:color w:val="auto"/>
          <w:sz w:val="22"/>
          <w:szCs w:val="22"/>
        </w:rPr>
      </w:pPr>
    </w:p>
    <w:p w:rsidR="00DF4E40" w:rsidRPr="00AA3E9A" w:rsidRDefault="00DF4E40">
      <w:pPr>
        <w:rPr>
          <w:rFonts w:ascii="Arial" w:hAnsi="Arial" w:cs="Arial"/>
          <w:sz w:val="22"/>
          <w:szCs w:val="22"/>
        </w:rPr>
      </w:pPr>
      <w:r w:rsidRPr="00304864">
        <w:rPr>
          <w:rFonts w:ascii="Arial" w:hAnsi="Arial" w:cs="Arial"/>
          <w:sz w:val="22"/>
          <w:szCs w:val="22"/>
        </w:rPr>
        <w:t xml:space="preserve">Taking into account the potential role of the ADRION Programme as a coordination mechanism for Instruments, its elaboration has been made with reference to Partnership Agreements of the involved </w:t>
      </w:r>
      <w:r w:rsidR="009956A4">
        <w:rPr>
          <w:rFonts w:ascii="Arial" w:hAnsi="Arial" w:cs="Arial"/>
          <w:sz w:val="22"/>
          <w:szCs w:val="22"/>
        </w:rPr>
        <w:t>ERDF</w:t>
      </w:r>
      <w:r w:rsidR="009E59B0">
        <w:rPr>
          <w:rFonts w:ascii="Arial" w:hAnsi="Arial" w:cs="Arial"/>
          <w:sz w:val="22"/>
          <w:szCs w:val="22"/>
        </w:rPr>
        <w:t xml:space="preserve"> Partner</w:t>
      </w:r>
      <w:r w:rsidRPr="00304864">
        <w:rPr>
          <w:rFonts w:ascii="Arial" w:hAnsi="Arial" w:cs="Arial"/>
          <w:sz w:val="22"/>
          <w:szCs w:val="22"/>
        </w:rPr>
        <w:t xml:space="preserve"> States, National/Regional structural funds Operational Programmes, IPA II Multi-country and Country Strategy Papers of the Partner States and International Agreements concluded for the development of the Western Balkans (e.g.: Treaty on Energy Community </w:t>
      </w:r>
      <w:hyperlink r:id="rId17" w:history="1">
        <w:r w:rsidRPr="00304864">
          <w:rPr>
            <w:rFonts w:ascii="Arial" w:hAnsi="Arial" w:cs="Arial"/>
            <w:sz w:val="22"/>
            <w:szCs w:val="22"/>
          </w:rPr>
          <w:t>http://www.energy-community.org/portal/page/portal/ENC_HOME</w:t>
        </w:r>
      </w:hyperlink>
      <w:r w:rsidRPr="00AA3E9A">
        <w:rPr>
          <w:rFonts w:ascii="Arial" w:hAnsi="Arial" w:cs="Arial"/>
          <w:sz w:val="22"/>
          <w:szCs w:val="22"/>
        </w:rPr>
        <w:t>).</w:t>
      </w:r>
    </w:p>
    <w:p w:rsidR="00DF4E40" w:rsidRPr="00304864" w:rsidRDefault="00DF4E40">
      <w:pPr>
        <w:rPr>
          <w:rFonts w:ascii="Arial" w:hAnsi="Arial" w:cs="Arial"/>
          <w:sz w:val="22"/>
          <w:szCs w:val="22"/>
        </w:rPr>
      </w:pPr>
    </w:p>
    <w:p w:rsidR="00DF4E40" w:rsidRPr="00A30AEC" w:rsidRDefault="00DF4E40">
      <w:pPr>
        <w:pStyle w:val="Heading3"/>
        <w:spacing w:before="0" w:after="120"/>
        <w:ind w:left="-11"/>
        <w:rPr>
          <w:rFonts w:ascii="Arial" w:hAnsi="Arial" w:cs="Arial"/>
          <w:b w:val="0"/>
          <w:noProof w:val="0"/>
          <w:color w:val="17365D"/>
          <w:sz w:val="22"/>
          <w:szCs w:val="22"/>
        </w:rPr>
      </w:pPr>
      <w:bookmarkStart w:id="21" w:name="_Toc420652470"/>
      <w:bookmarkStart w:id="22" w:name="_Toc421076822"/>
      <w:bookmarkStart w:id="23" w:name="_Toc365660103"/>
      <w:bookmarkStart w:id="24" w:name="_Toc366097030"/>
      <w:r w:rsidRPr="00A30AEC">
        <w:rPr>
          <w:rFonts w:ascii="Arial" w:hAnsi="Arial" w:cs="Arial"/>
          <w:b w:val="0"/>
          <w:noProof w:val="0"/>
          <w:color w:val="17365D"/>
          <w:sz w:val="22"/>
          <w:szCs w:val="22"/>
        </w:rPr>
        <w:t>Lessons from the past</w:t>
      </w:r>
      <w:bookmarkEnd w:id="21"/>
      <w:bookmarkEnd w:id="22"/>
    </w:p>
    <w:p w:rsidR="00DF4E40" w:rsidRPr="00304864" w:rsidRDefault="00DF4E40">
      <w:pPr>
        <w:rPr>
          <w:rFonts w:ascii="Arial" w:hAnsi="Arial" w:cs="Arial"/>
          <w:sz w:val="22"/>
          <w:szCs w:val="22"/>
          <w:lang w:eastAsia="fr-BE"/>
        </w:rPr>
      </w:pPr>
      <w:r w:rsidRPr="00AA3E9A">
        <w:rPr>
          <w:rFonts w:ascii="Arial" w:hAnsi="Arial" w:cs="Arial"/>
          <w:sz w:val="22"/>
          <w:szCs w:val="22"/>
          <w:lang w:eastAsia="fr-BE"/>
        </w:rPr>
        <w:t>According to the 3</w:t>
      </w:r>
      <w:r w:rsidRPr="00304864">
        <w:rPr>
          <w:rFonts w:ascii="Arial" w:hAnsi="Arial" w:cs="Arial"/>
          <w:sz w:val="22"/>
          <w:szCs w:val="22"/>
          <w:vertAlign w:val="superscript"/>
          <w:lang w:eastAsia="fr-BE"/>
        </w:rPr>
        <w:t>rd</w:t>
      </w:r>
      <w:r w:rsidRPr="00304864">
        <w:rPr>
          <w:rFonts w:ascii="Arial" w:hAnsi="Arial" w:cs="Arial"/>
          <w:sz w:val="22"/>
          <w:szCs w:val="22"/>
          <w:lang w:eastAsia="fr-BE"/>
        </w:rPr>
        <w:t xml:space="preserve"> Evaluation Report (November 2013) of the SEE programme, the most important results of the programme are related to the established partnerships and exchanged experience (good progress with the common standards developed under all the priority axes). In addition the Report highlights:</w:t>
      </w:r>
    </w:p>
    <w:p w:rsidR="00DF4E40" w:rsidRPr="00A30AEC" w:rsidRDefault="00DF4E40" w:rsidP="00A30AEC">
      <w:pPr>
        <w:pStyle w:val="ListParagraph"/>
        <w:numPr>
          <w:ilvl w:val="0"/>
          <w:numId w:val="64"/>
        </w:numPr>
        <w:ind w:left="284" w:hanging="284"/>
        <w:rPr>
          <w:rFonts w:ascii="Arial" w:hAnsi="Arial" w:cs="Arial"/>
          <w:sz w:val="22"/>
          <w:szCs w:val="22"/>
          <w:lang w:val="en-US" w:eastAsia="fr-BE"/>
        </w:rPr>
      </w:pPr>
      <w:r w:rsidRPr="00A30AEC">
        <w:rPr>
          <w:rFonts w:ascii="Arial" w:hAnsi="Arial" w:cs="Arial"/>
          <w:sz w:val="22"/>
          <w:szCs w:val="22"/>
          <w:lang w:val="en-US" w:eastAsia="fr-BE"/>
        </w:rPr>
        <w:t>Good dissemination of support to private sector in the area of innovation - there is already a significant overachievement on the number of SMEs and private sector reached;</w:t>
      </w:r>
    </w:p>
    <w:p w:rsidR="00DF4E40" w:rsidRPr="00A30AEC" w:rsidRDefault="00DF4E40" w:rsidP="00A30AEC">
      <w:pPr>
        <w:pStyle w:val="ListParagraph"/>
        <w:numPr>
          <w:ilvl w:val="0"/>
          <w:numId w:val="64"/>
        </w:numPr>
        <w:ind w:left="284" w:hanging="284"/>
        <w:rPr>
          <w:rFonts w:ascii="Arial" w:hAnsi="Arial" w:cs="Arial"/>
          <w:sz w:val="22"/>
          <w:szCs w:val="22"/>
          <w:lang w:val="en-US" w:eastAsia="fr-BE"/>
        </w:rPr>
      </w:pPr>
      <w:r w:rsidRPr="00A30AEC">
        <w:rPr>
          <w:rFonts w:ascii="Arial" w:hAnsi="Arial" w:cs="Arial"/>
          <w:sz w:val="22"/>
          <w:szCs w:val="22"/>
          <w:lang w:val="en-US" w:eastAsia="fr-BE"/>
        </w:rPr>
        <w:t>Evidence on successfully implemented measures and services for environment protection, risk prevention and resource efficiency</w:t>
      </w:r>
      <w:r w:rsidR="00304864" w:rsidRPr="00AA3E9A">
        <w:rPr>
          <w:rFonts w:ascii="Arial" w:hAnsi="Arial" w:cs="Arial"/>
          <w:sz w:val="22"/>
          <w:szCs w:val="22"/>
          <w:lang w:val="en-US" w:eastAsia="fr-BE"/>
        </w:rPr>
        <w:t>.</w:t>
      </w:r>
    </w:p>
    <w:p w:rsidR="00DF4E40" w:rsidRPr="00304864" w:rsidRDefault="00DF4E40" w:rsidP="00AA3E9A">
      <w:pPr>
        <w:rPr>
          <w:rFonts w:ascii="Arial" w:hAnsi="Arial" w:cs="Arial"/>
          <w:sz w:val="22"/>
          <w:szCs w:val="22"/>
          <w:lang w:eastAsia="fr-BE"/>
        </w:rPr>
      </w:pPr>
      <w:r w:rsidRPr="00AA3E9A">
        <w:rPr>
          <w:rFonts w:ascii="Arial" w:hAnsi="Arial" w:cs="Arial"/>
          <w:sz w:val="22"/>
          <w:szCs w:val="22"/>
          <w:lang w:eastAsia="fr-BE"/>
        </w:rPr>
        <w:t>In addition the evaluation of progra</w:t>
      </w:r>
      <w:r w:rsidRPr="00304864">
        <w:rPr>
          <w:rFonts w:ascii="Arial" w:hAnsi="Arial" w:cs="Arial"/>
          <w:sz w:val="22"/>
          <w:szCs w:val="22"/>
          <w:lang w:eastAsia="fr-BE"/>
        </w:rPr>
        <w:t>mme results (based on the finalized projects under the 1</w:t>
      </w:r>
      <w:r w:rsidRPr="00304864">
        <w:rPr>
          <w:rFonts w:ascii="Arial" w:hAnsi="Arial" w:cs="Arial"/>
          <w:sz w:val="22"/>
          <w:szCs w:val="22"/>
          <w:vertAlign w:val="superscript"/>
          <w:lang w:eastAsia="fr-BE"/>
        </w:rPr>
        <w:t>st</w:t>
      </w:r>
      <w:r w:rsidRPr="00304864">
        <w:rPr>
          <w:rFonts w:ascii="Arial" w:hAnsi="Arial" w:cs="Arial"/>
          <w:sz w:val="22"/>
          <w:szCs w:val="22"/>
          <w:lang w:eastAsia="fr-BE"/>
        </w:rPr>
        <w:t xml:space="preserve"> call) indicates a number of factors, which hamper the achievement of results and diminish expected contributions, such as:</w:t>
      </w:r>
    </w:p>
    <w:p w:rsidR="00DF4E40" w:rsidRPr="00A30AEC" w:rsidRDefault="00DF4E40" w:rsidP="00A30AEC">
      <w:pPr>
        <w:pStyle w:val="ListParagraph"/>
        <w:numPr>
          <w:ilvl w:val="0"/>
          <w:numId w:val="65"/>
        </w:numPr>
        <w:ind w:left="284" w:hanging="284"/>
        <w:rPr>
          <w:rFonts w:ascii="Arial" w:hAnsi="Arial" w:cs="Arial"/>
          <w:sz w:val="22"/>
          <w:szCs w:val="22"/>
          <w:lang w:val="en-US" w:eastAsia="fr-BE"/>
        </w:rPr>
      </w:pPr>
      <w:r w:rsidRPr="00A30AEC">
        <w:rPr>
          <w:rFonts w:ascii="Arial" w:hAnsi="Arial" w:cs="Arial"/>
          <w:sz w:val="22"/>
          <w:szCs w:val="22"/>
          <w:lang w:val="en-US" w:eastAsia="fr-BE"/>
        </w:rPr>
        <w:t>Difficulties to reach end-beneficiaries (all priority axes except priority axis No 2);</w:t>
      </w:r>
    </w:p>
    <w:p w:rsidR="00DF4E40" w:rsidRPr="00A30AEC" w:rsidRDefault="00DF4E40" w:rsidP="00A30AEC">
      <w:pPr>
        <w:pStyle w:val="ListParagraph"/>
        <w:numPr>
          <w:ilvl w:val="0"/>
          <w:numId w:val="65"/>
        </w:numPr>
        <w:ind w:left="284" w:hanging="284"/>
        <w:rPr>
          <w:rFonts w:ascii="Arial" w:hAnsi="Arial" w:cs="Arial"/>
          <w:sz w:val="22"/>
          <w:szCs w:val="22"/>
          <w:lang w:val="en-US" w:eastAsia="fr-BE"/>
        </w:rPr>
      </w:pPr>
      <w:r w:rsidRPr="00A30AEC">
        <w:rPr>
          <w:rFonts w:ascii="Arial" w:hAnsi="Arial" w:cs="Arial"/>
          <w:sz w:val="22"/>
          <w:szCs w:val="22"/>
          <w:lang w:val="en-US" w:eastAsia="fr-BE"/>
        </w:rPr>
        <w:t>Difficulties to collaborate with public administration (priority axis No 1);</w:t>
      </w:r>
    </w:p>
    <w:p w:rsidR="00DF4E40" w:rsidRPr="00A30AEC" w:rsidRDefault="00DF4E40" w:rsidP="00A30AEC">
      <w:pPr>
        <w:pStyle w:val="ListParagraph"/>
        <w:numPr>
          <w:ilvl w:val="0"/>
          <w:numId w:val="65"/>
        </w:numPr>
        <w:ind w:left="284" w:hanging="284"/>
        <w:rPr>
          <w:rFonts w:ascii="Arial" w:hAnsi="Arial" w:cs="Arial"/>
          <w:sz w:val="22"/>
          <w:szCs w:val="22"/>
          <w:lang w:val="en-US" w:eastAsia="fr-BE"/>
        </w:rPr>
      </w:pPr>
      <w:r w:rsidRPr="00A30AEC">
        <w:rPr>
          <w:rFonts w:ascii="Arial" w:hAnsi="Arial" w:cs="Arial"/>
          <w:sz w:val="22"/>
          <w:szCs w:val="22"/>
          <w:lang w:val="en-US" w:eastAsia="fr-BE"/>
        </w:rPr>
        <w:t>Difficulties to involve private sector (priority axis No 3);</w:t>
      </w:r>
    </w:p>
    <w:p w:rsidR="00DF4E40" w:rsidRPr="00A30AEC" w:rsidRDefault="00DF4E40" w:rsidP="00A30AEC">
      <w:pPr>
        <w:pStyle w:val="ListParagraph"/>
        <w:numPr>
          <w:ilvl w:val="0"/>
          <w:numId w:val="65"/>
        </w:numPr>
        <w:autoSpaceDE w:val="0"/>
        <w:autoSpaceDN w:val="0"/>
        <w:adjustRightInd w:val="0"/>
        <w:ind w:left="284" w:hanging="284"/>
        <w:rPr>
          <w:rFonts w:ascii="Arial" w:hAnsi="Arial" w:cs="Arial"/>
          <w:sz w:val="22"/>
          <w:szCs w:val="22"/>
          <w:lang w:val="en-US" w:eastAsia="fr-BE"/>
        </w:rPr>
      </w:pPr>
      <w:r w:rsidRPr="00A30AEC">
        <w:rPr>
          <w:rFonts w:ascii="Arial" w:hAnsi="Arial" w:cs="Arial"/>
          <w:sz w:val="22"/>
          <w:szCs w:val="22"/>
          <w:lang w:val="en-US" w:eastAsia="fr-BE"/>
        </w:rPr>
        <w:t>Difficulties to promote the outputs to the public administrations (priority axis No 3).</w:t>
      </w:r>
    </w:p>
    <w:p w:rsidR="00DF4E40" w:rsidRPr="00AA3E9A" w:rsidRDefault="00DF4E40" w:rsidP="00AA3E9A">
      <w:pPr>
        <w:rPr>
          <w:rFonts w:ascii="Arial" w:hAnsi="Arial" w:cs="Arial"/>
          <w:sz w:val="22"/>
          <w:szCs w:val="22"/>
          <w:lang w:eastAsia="fr-BE"/>
        </w:rPr>
      </w:pP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Lessons learnt from the </w:t>
      </w:r>
      <w:r w:rsidR="00304864" w:rsidRPr="00304864">
        <w:rPr>
          <w:rFonts w:ascii="Arial" w:hAnsi="Arial" w:cs="Arial"/>
          <w:sz w:val="22"/>
          <w:szCs w:val="22"/>
          <w:lang w:eastAsia="fr-BE"/>
        </w:rPr>
        <w:t xml:space="preserve">MED </w:t>
      </w:r>
      <w:r w:rsidRPr="00304864">
        <w:rPr>
          <w:rFonts w:ascii="Arial" w:hAnsi="Arial" w:cs="Arial"/>
          <w:sz w:val="22"/>
          <w:szCs w:val="22"/>
          <w:lang w:eastAsia="fr-BE"/>
        </w:rPr>
        <w:t>programme during the previous programming period 2007- 2013 highlight difficulties in generating projects in specific intervention fields like transport, maritime safety and natural risks. On the other hand, activities related to innovation but also to environmental issues have been quite successful and play an important role in Axis 1 (TO1) and 3 (TO6) of the 2014-2020 M</w:t>
      </w:r>
      <w:r w:rsidR="00304864" w:rsidRPr="00304864">
        <w:rPr>
          <w:rFonts w:ascii="Arial" w:hAnsi="Arial" w:cs="Arial"/>
          <w:sz w:val="22"/>
          <w:szCs w:val="22"/>
          <w:lang w:eastAsia="fr-BE"/>
        </w:rPr>
        <w:t>ED</w:t>
      </w:r>
      <w:r w:rsidRPr="00304864">
        <w:rPr>
          <w:rFonts w:ascii="Arial" w:hAnsi="Arial" w:cs="Arial"/>
          <w:sz w:val="22"/>
          <w:szCs w:val="22"/>
          <w:lang w:eastAsia="fr-BE"/>
        </w:rPr>
        <w:t xml:space="preserve"> programme.</w:t>
      </w:r>
    </w:p>
    <w:p w:rsidR="00DF4E40" w:rsidRPr="00304864" w:rsidRDefault="00DF4E40">
      <w:pPr>
        <w:autoSpaceDE w:val="0"/>
        <w:autoSpaceDN w:val="0"/>
        <w:adjustRightInd w:val="0"/>
        <w:rPr>
          <w:rFonts w:ascii="Arial" w:hAnsi="Arial" w:cs="Arial"/>
          <w:sz w:val="22"/>
          <w:szCs w:val="22"/>
          <w:lang w:eastAsia="fr-BE"/>
        </w:rPr>
      </w:pPr>
      <w:r w:rsidRPr="00304864">
        <w:rPr>
          <w:rFonts w:ascii="Arial" w:hAnsi="Arial" w:cs="Arial"/>
          <w:sz w:val="22"/>
          <w:szCs w:val="22"/>
          <w:lang w:eastAsia="fr-BE"/>
        </w:rPr>
        <w:t>When it comes to the lessons learnt from the IPA CBC Adriatic programme</w:t>
      </w:r>
      <w:r w:rsidRPr="00AA3E9A">
        <w:rPr>
          <w:rFonts w:ascii="Arial" w:hAnsi="Arial" w:cs="Arial"/>
          <w:sz w:val="22"/>
          <w:szCs w:val="22"/>
          <w:lang w:eastAsia="fr-BE"/>
        </w:rPr>
        <w:t>, we can refer only to the first o</w:t>
      </w:r>
      <w:r w:rsidRPr="00304864">
        <w:rPr>
          <w:rFonts w:ascii="Arial" w:hAnsi="Arial" w:cs="Arial"/>
          <w:sz w:val="22"/>
          <w:szCs w:val="22"/>
          <w:lang w:eastAsia="fr-BE"/>
        </w:rPr>
        <w:t xml:space="preserve">n-going evaluation report of 2011: according to its findings, the majority of the 33 approved projects (56%) aim at developing Common Tools, 25% share the objective of elaborating Common Strategies and Policies, while the remaining 19% aim at implementing Pilot Actions. </w:t>
      </w:r>
    </w:p>
    <w:p w:rsidR="00DF4E40" w:rsidRPr="00304864" w:rsidRDefault="00DF4E40">
      <w:pPr>
        <w:autoSpaceDE w:val="0"/>
        <w:autoSpaceDN w:val="0"/>
        <w:adjustRightInd w:val="0"/>
        <w:jc w:val="left"/>
        <w:rPr>
          <w:rFonts w:ascii="Arial" w:hAnsi="Arial" w:cs="Arial"/>
          <w:color w:val="000000"/>
          <w:sz w:val="22"/>
          <w:szCs w:val="22"/>
          <w:lang w:eastAsia="en-GB"/>
        </w:rPr>
      </w:pPr>
    </w:p>
    <w:p w:rsidR="00DF4E40" w:rsidRPr="00A30AEC" w:rsidRDefault="00DF4E40">
      <w:pPr>
        <w:pStyle w:val="Heading3"/>
        <w:spacing w:before="0" w:after="120"/>
        <w:ind w:left="-11"/>
        <w:rPr>
          <w:rFonts w:ascii="Arial" w:hAnsi="Arial" w:cs="Arial"/>
          <w:b w:val="0"/>
          <w:noProof w:val="0"/>
          <w:color w:val="17365D"/>
          <w:sz w:val="22"/>
          <w:szCs w:val="22"/>
        </w:rPr>
      </w:pPr>
      <w:bookmarkStart w:id="25" w:name="_Toc390876508"/>
      <w:bookmarkStart w:id="26" w:name="_Toc392685875"/>
      <w:bookmarkStart w:id="27" w:name="_Toc420652471"/>
      <w:bookmarkStart w:id="28" w:name="_Toc421076823"/>
      <w:bookmarkStart w:id="29" w:name="_Toc359592304"/>
      <w:bookmarkStart w:id="30" w:name="_Toc240097795"/>
      <w:bookmarkEnd w:id="23"/>
      <w:bookmarkEnd w:id="24"/>
      <w:r w:rsidRPr="00A30AEC">
        <w:rPr>
          <w:rFonts w:ascii="Arial" w:hAnsi="Arial" w:cs="Arial"/>
          <w:b w:val="0"/>
          <w:noProof w:val="0"/>
          <w:color w:val="17365D"/>
          <w:sz w:val="22"/>
          <w:szCs w:val="22"/>
        </w:rPr>
        <w:t>Main findings on the economic, territorial and social context of ADRION Area</w:t>
      </w:r>
      <w:bookmarkEnd w:id="25"/>
      <w:bookmarkEnd w:id="26"/>
      <w:bookmarkEnd w:id="27"/>
      <w:bookmarkEnd w:id="28"/>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This section provides a description of the main findings in the ADRION area.</w:t>
      </w:r>
    </w:p>
    <w:p w:rsidR="00DF4E40" w:rsidRPr="00304864" w:rsidRDefault="00DF4E40">
      <w:pPr>
        <w:rPr>
          <w:rFonts w:ascii="Arial" w:hAnsi="Arial" w:cs="Arial"/>
          <w:sz w:val="22"/>
          <w:szCs w:val="22"/>
          <w:lang w:eastAsia="fr-BE"/>
        </w:rPr>
      </w:pPr>
      <w:r w:rsidRPr="00304864">
        <w:rPr>
          <w:rFonts w:ascii="Arial" w:hAnsi="Arial" w:cs="Arial"/>
          <w:b/>
          <w:i/>
          <w:sz w:val="22"/>
          <w:szCs w:val="22"/>
          <w:lang w:eastAsia="fr-BE"/>
        </w:rPr>
        <w:t>Demography</w:t>
      </w:r>
      <w:r w:rsidRPr="00304864">
        <w:rPr>
          <w:rFonts w:ascii="Arial" w:hAnsi="Arial" w:cs="Arial"/>
          <w:i/>
          <w:sz w:val="22"/>
          <w:szCs w:val="22"/>
          <w:lang w:eastAsia="fr-BE"/>
        </w:rPr>
        <w:t>.</w:t>
      </w:r>
      <w:r w:rsidRPr="00304864">
        <w:rPr>
          <w:rFonts w:ascii="Arial" w:hAnsi="Arial" w:cs="Arial"/>
          <w:sz w:val="22"/>
          <w:szCs w:val="22"/>
          <w:lang w:eastAsia="fr-BE"/>
        </w:rPr>
        <w:t xml:space="preserve"> The Adriatic area is characterised by a strong imbalance in regional development (weak territorial cohesion), combined with ageing population and de-population in mountain and rural areas. Internal migration is also an important issue in the area. </w:t>
      </w:r>
    </w:p>
    <w:p w:rsidR="00DF4E40" w:rsidRPr="00304864" w:rsidRDefault="00DF4E40">
      <w:pPr>
        <w:rPr>
          <w:rFonts w:ascii="Arial" w:hAnsi="Arial" w:cs="Arial"/>
          <w:sz w:val="22"/>
          <w:szCs w:val="22"/>
          <w:lang w:eastAsia="fr-BE"/>
        </w:rPr>
      </w:pPr>
      <w:r w:rsidRPr="00304864">
        <w:rPr>
          <w:rFonts w:ascii="Arial" w:hAnsi="Arial" w:cs="Arial"/>
          <w:b/>
          <w:i/>
          <w:sz w:val="22"/>
          <w:szCs w:val="22"/>
          <w:lang w:eastAsia="fr-BE"/>
        </w:rPr>
        <w:t>Economy and labour market</w:t>
      </w:r>
      <w:r w:rsidRPr="00304864">
        <w:rPr>
          <w:rFonts w:ascii="Arial" w:hAnsi="Arial" w:cs="Arial"/>
          <w:sz w:val="22"/>
          <w:szCs w:val="22"/>
          <w:lang w:eastAsia="fr-BE"/>
        </w:rPr>
        <w:t xml:space="preserve">. All Partner States involved in the ADRION Programme have been affected by the global economic crisis. </w:t>
      </w:r>
    </w:p>
    <w:p w:rsidR="00DF4E40" w:rsidRPr="00304864" w:rsidRDefault="00DF4E40">
      <w:pPr>
        <w:autoSpaceDE w:val="0"/>
        <w:autoSpaceDN w:val="0"/>
        <w:adjustRightInd w:val="0"/>
        <w:rPr>
          <w:rFonts w:ascii="Arial" w:hAnsi="Arial" w:cs="Arial"/>
          <w:sz w:val="22"/>
          <w:szCs w:val="22"/>
          <w:lang w:eastAsia="fr-BE"/>
        </w:rPr>
      </w:pPr>
      <w:r w:rsidRPr="00304864">
        <w:rPr>
          <w:rFonts w:ascii="Arial" w:hAnsi="Arial" w:cs="Arial"/>
          <w:sz w:val="22"/>
          <w:szCs w:val="22"/>
          <w:lang w:eastAsia="fr-BE"/>
        </w:rPr>
        <w:t xml:space="preserve">Most of the </w:t>
      </w:r>
      <w:r w:rsidR="009956A4">
        <w:rPr>
          <w:rFonts w:ascii="Arial" w:hAnsi="Arial" w:cs="Arial"/>
          <w:sz w:val="22"/>
          <w:szCs w:val="22"/>
          <w:lang w:eastAsia="fr-BE"/>
        </w:rPr>
        <w:t>ERDF</w:t>
      </w:r>
      <w:r w:rsidR="00260BF4">
        <w:rPr>
          <w:rFonts w:ascii="Arial" w:hAnsi="Arial" w:cs="Arial"/>
          <w:sz w:val="22"/>
          <w:szCs w:val="22"/>
          <w:lang w:eastAsia="fr-BE"/>
        </w:rPr>
        <w:t xml:space="preserve"> Partner</w:t>
      </w:r>
      <w:r w:rsidRPr="00304864">
        <w:rPr>
          <w:rFonts w:ascii="Arial" w:hAnsi="Arial" w:cs="Arial"/>
          <w:sz w:val="22"/>
          <w:szCs w:val="22"/>
          <w:lang w:eastAsia="fr-BE"/>
        </w:rPr>
        <w:t xml:space="preserve"> States involved in the ADRION Programme face significant economic problems and have limited public resources:</w:t>
      </w:r>
    </w:p>
    <w:p w:rsidR="00DF4E40" w:rsidRPr="00304864" w:rsidRDefault="00DF4E40">
      <w:pPr>
        <w:autoSpaceDE w:val="0"/>
        <w:autoSpaceDN w:val="0"/>
        <w:adjustRightInd w:val="0"/>
        <w:ind w:left="284" w:hanging="284"/>
        <w:rPr>
          <w:rFonts w:ascii="Arial" w:hAnsi="Arial" w:cs="Arial"/>
          <w:bCs/>
          <w:sz w:val="22"/>
          <w:szCs w:val="22"/>
          <w:lang w:eastAsia="it-IT"/>
        </w:rPr>
      </w:pPr>
      <w:r w:rsidRPr="00304864">
        <w:rPr>
          <w:rFonts w:ascii="Arial" w:hAnsi="Arial" w:cs="Arial"/>
          <w:bCs/>
          <w:sz w:val="22"/>
          <w:szCs w:val="22"/>
          <w:lang w:eastAsia="it-IT"/>
        </w:rPr>
        <w:t>• GDP and employment levels which have not yet returned to pre-crisis levels;</w:t>
      </w:r>
    </w:p>
    <w:p w:rsidR="00DF4E40" w:rsidRPr="00304864" w:rsidRDefault="00DF4E40">
      <w:pPr>
        <w:autoSpaceDE w:val="0"/>
        <w:autoSpaceDN w:val="0"/>
        <w:adjustRightInd w:val="0"/>
        <w:ind w:left="284" w:hanging="284"/>
        <w:rPr>
          <w:rFonts w:ascii="Arial" w:hAnsi="Arial" w:cs="Arial"/>
          <w:bCs/>
          <w:sz w:val="22"/>
          <w:szCs w:val="22"/>
          <w:lang w:eastAsia="it-IT"/>
        </w:rPr>
      </w:pPr>
      <w:r w:rsidRPr="00304864">
        <w:rPr>
          <w:rFonts w:ascii="Arial" w:hAnsi="Arial" w:cs="Arial"/>
          <w:bCs/>
          <w:sz w:val="22"/>
          <w:szCs w:val="22"/>
          <w:lang w:eastAsia="it-IT"/>
        </w:rPr>
        <w:t>• Higher levels of unemployment, poverty and exclusion;</w:t>
      </w:r>
    </w:p>
    <w:p w:rsidR="00DF4E40" w:rsidRPr="00304864" w:rsidRDefault="00DF4E40">
      <w:pPr>
        <w:autoSpaceDE w:val="0"/>
        <w:autoSpaceDN w:val="0"/>
        <w:adjustRightInd w:val="0"/>
        <w:ind w:left="284" w:hanging="284"/>
        <w:rPr>
          <w:rFonts w:ascii="Arial" w:hAnsi="Arial" w:cs="Arial"/>
          <w:bCs/>
          <w:sz w:val="22"/>
          <w:szCs w:val="22"/>
          <w:lang w:eastAsia="it-IT"/>
        </w:rPr>
      </w:pPr>
      <w:r w:rsidRPr="00304864">
        <w:rPr>
          <w:rFonts w:ascii="Arial" w:hAnsi="Arial" w:cs="Arial"/>
          <w:bCs/>
          <w:sz w:val="22"/>
          <w:szCs w:val="22"/>
          <w:lang w:eastAsia="it-IT"/>
        </w:rPr>
        <w:t>• Reduced household income, which depresses consumption and imports;</w:t>
      </w:r>
    </w:p>
    <w:p w:rsidR="00DF4E40" w:rsidRPr="00304864" w:rsidRDefault="00DF4E40">
      <w:pPr>
        <w:autoSpaceDE w:val="0"/>
        <w:autoSpaceDN w:val="0"/>
        <w:adjustRightInd w:val="0"/>
        <w:ind w:left="284" w:hanging="284"/>
        <w:rPr>
          <w:rFonts w:ascii="Arial" w:hAnsi="Arial" w:cs="Arial"/>
          <w:bCs/>
          <w:sz w:val="22"/>
          <w:szCs w:val="22"/>
          <w:lang w:eastAsia="it-IT"/>
        </w:rPr>
      </w:pPr>
      <w:r w:rsidRPr="00304864">
        <w:rPr>
          <w:rFonts w:ascii="Arial" w:hAnsi="Arial" w:cs="Arial"/>
          <w:bCs/>
          <w:sz w:val="22"/>
          <w:szCs w:val="22"/>
          <w:lang w:eastAsia="it-IT"/>
        </w:rPr>
        <w:t>• Unprecedented levels of public debt and the need for fiscal consolidation.</w:t>
      </w:r>
    </w:p>
    <w:p w:rsidR="00DF4E40" w:rsidRPr="00304864" w:rsidRDefault="00DF4E40">
      <w:pPr>
        <w:autoSpaceDE w:val="0"/>
        <w:autoSpaceDN w:val="0"/>
        <w:adjustRightInd w:val="0"/>
        <w:rPr>
          <w:rFonts w:ascii="Arial" w:hAnsi="Arial" w:cs="Arial"/>
          <w:sz w:val="22"/>
          <w:szCs w:val="22"/>
          <w:lang w:eastAsia="fr-BE"/>
        </w:rPr>
      </w:pPr>
      <w:r w:rsidRPr="00304864">
        <w:rPr>
          <w:rFonts w:ascii="Arial" w:hAnsi="Arial" w:cs="Arial"/>
          <w:sz w:val="22"/>
          <w:szCs w:val="22"/>
          <w:lang w:eastAsia="fr-BE"/>
        </w:rPr>
        <w:t>Against this background, the future cohesion programmes shall put particular emphasis on growth-enhancing and job creating-investments. Only a stable and strong recovery can reduce the unemployment rates. This is why the European Commission is proposing to concentrate resources on a few, important areas such as employment (particularly for young people), training and education, social inclusion, innovation and SMEs, energy efficiency and a low-carbon economy and is open to expand it to Information and Communication Technologies (ICT) infrastructures and digital growth measures.</w:t>
      </w:r>
    </w:p>
    <w:p w:rsidR="00DF4E40" w:rsidRPr="00304864" w:rsidRDefault="00DF4E40">
      <w:pPr>
        <w:rPr>
          <w:rFonts w:ascii="Arial" w:hAnsi="Arial" w:cs="Arial"/>
          <w:sz w:val="22"/>
          <w:szCs w:val="22"/>
          <w:lang w:eastAsia="fr-BE"/>
        </w:rPr>
      </w:pPr>
      <w:r w:rsidRPr="00304864">
        <w:rPr>
          <w:rFonts w:ascii="Arial" w:hAnsi="Arial" w:cs="Arial"/>
          <w:b/>
          <w:i/>
          <w:sz w:val="22"/>
          <w:szCs w:val="22"/>
          <w:lang w:eastAsia="fr-BE"/>
        </w:rPr>
        <w:t>Environment.</w:t>
      </w:r>
      <w:r w:rsidRPr="00304864">
        <w:rPr>
          <w:rFonts w:ascii="Arial" w:hAnsi="Arial" w:cs="Arial"/>
          <w:sz w:val="22"/>
          <w:szCs w:val="22"/>
          <w:lang w:eastAsia="fr-BE"/>
        </w:rPr>
        <w:t>The ADRION area has an extraordinary environmental ecosystem, which is extremely delicate, subject to a range of pressures associated with agriculture, industries, port activities, especially on water quality and coastal areas. It is also affected by seasonal tourism and one-dimensional urbanisation that lead, among others, to loss of biodiversity and ecosystem fragmentation. Investments in environmental infrastructures, innovative technologies for the prevention of natural risks and the use of renewable energy sources are low. Moreover, the level of advancements on EU acquis of Partner Candidate Countries shows moderate progresses, underlining the need to strengthen institutional capacity, at all levels, to implement environmental legislations and policies aimed at fostering sustainable development and a more balanced use of natural resources.</w:t>
      </w:r>
    </w:p>
    <w:p w:rsidR="00DF4E40" w:rsidRPr="00A30AEC" w:rsidRDefault="00DF4E40" w:rsidP="00A30AEC">
      <w:pPr>
        <w:pStyle w:val="ListParagraph"/>
        <w:numPr>
          <w:ilvl w:val="0"/>
          <w:numId w:val="123"/>
        </w:numPr>
        <w:rPr>
          <w:rFonts w:ascii="Arial" w:hAnsi="Arial" w:cs="Arial"/>
          <w:sz w:val="22"/>
          <w:szCs w:val="22"/>
          <w:lang w:val="en-US" w:eastAsia="fr-BE"/>
        </w:rPr>
      </w:pPr>
      <w:r w:rsidRPr="00A30AEC">
        <w:rPr>
          <w:rFonts w:ascii="Arial" w:hAnsi="Arial" w:cs="Arial"/>
          <w:i/>
          <w:sz w:val="22"/>
          <w:szCs w:val="22"/>
          <w:lang w:val="en-US" w:eastAsia="fr-BE"/>
        </w:rPr>
        <w:t>Water.</w:t>
      </w:r>
      <w:r w:rsidRPr="00A30AEC">
        <w:rPr>
          <w:rFonts w:ascii="Arial" w:hAnsi="Arial" w:cs="Arial"/>
          <w:sz w:val="22"/>
          <w:szCs w:val="22"/>
          <w:lang w:val="en-US" w:eastAsia="fr-BE"/>
        </w:rPr>
        <w:t xml:space="preserve">Strategic actions should be undertaken at a cross-border/macro-regional level in order to promote balance between supply and demand, besides improving quality and efficiency of water services (reduction of water losses and increasing efficiency in agriculture). Moreover, the development and sustainable use of non-conventional water resources such as the re-use of treated wastewater should considerably be enhanced. </w:t>
      </w:r>
    </w:p>
    <w:p w:rsidR="00DF4E40" w:rsidRPr="00A30AEC" w:rsidRDefault="00DF4E40" w:rsidP="00A30AEC">
      <w:pPr>
        <w:pStyle w:val="ListParagraph"/>
        <w:numPr>
          <w:ilvl w:val="0"/>
          <w:numId w:val="123"/>
        </w:numPr>
        <w:rPr>
          <w:rFonts w:ascii="Arial" w:hAnsi="Arial" w:cs="Arial"/>
          <w:sz w:val="22"/>
          <w:szCs w:val="22"/>
          <w:lang w:val="en-US" w:eastAsia="fr-BE"/>
        </w:rPr>
      </w:pPr>
      <w:r w:rsidRPr="00A30AEC">
        <w:rPr>
          <w:rFonts w:ascii="Arial" w:hAnsi="Arial" w:cs="Arial"/>
          <w:i/>
          <w:sz w:val="22"/>
          <w:szCs w:val="22"/>
          <w:lang w:val="en-US" w:eastAsia="fr-BE"/>
        </w:rPr>
        <w:t>Waste.</w:t>
      </w:r>
      <w:r w:rsidRPr="00A30AEC">
        <w:rPr>
          <w:rFonts w:ascii="Arial" w:hAnsi="Arial" w:cs="Arial"/>
          <w:sz w:val="22"/>
          <w:szCs w:val="22"/>
          <w:lang w:val="en-US" w:eastAsia="fr-BE"/>
        </w:rPr>
        <w:t xml:space="preserve"> Waste management in the Programme area shows a low level of sustainability as well. Further development of integrated waste management systems as well as support to research, innovation and technology transfer in relation to waste treatment and recycling are needed.</w:t>
      </w:r>
    </w:p>
    <w:p w:rsidR="00DF4E40" w:rsidRPr="00A30AEC" w:rsidRDefault="00DF4E40" w:rsidP="00A30AEC">
      <w:pPr>
        <w:pStyle w:val="ListParagraph"/>
        <w:numPr>
          <w:ilvl w:val="0"/>
          <w:numId w:val="123"/>
        </w:numPr>
        <w:rPr>
          <w:rFonts w:ascii="Arial" w:hAnsi="Arial" w:cs="Arial"/>
          <w:sz w:val="22"/>
          <w:szCs w:val="22"/>
          <w:lang w:val="en-US" w:eastAsia="fr-BE"/>
        </w:rPr>
      </w:pPr>
      <w:r w:rsidRPr="00A30AEC">
        <w:rPr>
          <w:rFonts w:ascii="Arial" w:hAnsi="Arial" w:cs="Arial"/>
          <w:i/>
          <w:sz w:val="22"/>
          <w:szCs w:val="22"/>
          <w:lang w:val="en-US" w:eastAsia="fr-BE"/>
        </w:rPr>
        <w:t>Air quality.</w:t>
      </w:r>
      <w:r w:rsidRPr="00A30AEC">
        <w:rPr>
          <w:rFonts w:ascii="Arial" w:hAnsi="Arial" w:cs="Arial"/>
          <w:color w:val="000000"/>
          <w:sz w:val="22"/>
          <w:szCs w:val="22"/>
          <w:lang w:val="en-US" w:eastAsia="it-IT"/>
        </w:rPr>
        <w:t>The Programme area is facing problems regarding air pollution (in particular Particulate Matter (PM) NO2 (Nitrogen dioxide), and SO2 (Sulfur dioxide) due to transport and combustion of solid fuel for domestic heating).</w:t>
      </w:r>
    </w:p>
    <w:p w:rsidR="00DF4E40" w:rsidRPr="00A30AEC" w:rsidRDefault="00DF4E40" w:rsidP="00A30AEC">
      <w:pPr>
        <w:pStyle w:val="ListParagraph"/>
        <w:numPr>
          <w:ilvl w:val="0"/>
          <w:numId w:val="123"/>
        </w:numPr>
        <w:rPr>
          <w:rFonts w:ascii="Arial" w:hAnsi="Arial" w:cs="Arial"/>
          <w:sz w:val="22"/>
          <w:szCs w:val="22"/>
          <w:lang w:val="en-US" w:eastAsia="fr-BE"/>
        </w:rPr>
      </w:pPr>
      <w:r w:rsidRPr="00A30AEC">
        <w:rPr>
          <w:rFonts w:ascii="Arial" w:hAnsi="Arial" w:cs="Arial"/>
          <w:i/>
          <w:sz w:val="22"/>
          <w:szCs w:val="22"/>
          <w:lang w:val="en-US" w:eastAsia="fr-BE"/>
        </w:rPr>
        <w:t>Biodiversity</w:t>
      </w:r>
      <w:r w:rsidRPr="00A30AEC">
        <w:rPr>
          <w:rFonts w:ascii="Arial" w:hAnsi="Arial" w:cs="Arial"/>
          <w:sz w:val="22"/>
          <w:szCs w:val="22"/>
          <w:lang w:val="en-US" w:eastAsia="fr-BE"/>
        </w:rPr>
        <w:t xml:space="preserve">. the Programme area is characterised by a great variety of terrestrial and aquatic habitats and species. The diverse topography, the climatic variation and the human activity have led to a remarkable evolutionary radiation. More than 25.000 are to be found, the half of which is considered to be endemic, making the area a “Global Biodiversity Hotspot”. The EMERALD and subsequent NATURA networks are an important first step in the effort to comply to EU and international obligations related to the protection of biological diversity, genetic resources, species, and ecosystems. However their level of implementation is not satisfying lacking effective management capacities. Additionally human impact due to pollution, land uses, leisure activities etc. is growing especially in very fragile areas, like coast ecosystems. </w:t>
      </w:r>
    </w:p>
    <w:p w:rsidR="00DF4E40" w:rsidRPr="00A30AEC" w:rsidRDefault="00DF4E40" w:rsidP="00A30AEC">
      <w:pPr>
        <w:pStyle w:val="ListParagraph"/>
        <w:numPr>
          <w:ilvl w:val="0"/>
          <w:numId w:val="123"/>
        </w:numPr>
        <w:rPr>
          <w:rFonts w:ascii="Arial" w:hAnsi="Arial" w:cs="Arial"/>
          <w:sz w:val="22"/>
          <w:szCs w:val="22"/>
          <w:lang w:val="en-US" w:eastAsia="fr-BE"/>
        </w:rPr>
      </w:pPr>
      <w:r w:rsidRPr="00A30AEC">
        <w:rPr>
          <w:rFonts w:ascii="Arial" w:hAnsi="Arial" w:cs="Arial"/>
          <w:i/>
          <w:sz w:val="22"/>
          <w:szCs w:val="22"/>
          <w:lang w:val="en-US" w:eastAsia="fr-BE"/>
        </w:rPr>
        <w:t>Integrated Coast Zone Management</w:t>
      </w:r>
      <w:r w:rsidRPr="00A30AEC">
        <w:rPr>
          <w:rFonts w:ascii="Arial" w:hAnsi="Arial" w:cs="Arial"/>
          <w:sz w:val="22"/>
          <w:szCs w:val="22"/>
          <w:lang w:val="en-US" w:eastAsia="fr-BE"/>
        </w:rPr>
        <w:t>. The Adriatic and Ionian coasts are facing a huge urbanisation process and pressure produced by mechanical fishing and aquaculture. This has a significant environmental impact resulting in loss of biodiversity, ecosystem fragmentation, desertification, salt water intrusion, and congestion. The Integrated Coastal Zone Management at cross-border level needs to be strengthened, also by improving the integration of coastal zone related policies with territorial socio-economic development in a sustainable way. The strategic assessment of the coastal zone to increase coastal resilience and prevent negative impacts of natural hazards (floods, erosion, salt water intrusion) exacerbated by climate change should be promoted too.</w:t>
      </w:r>
    </w:p>
    <w:p w:rsidR="00DF4E40" w:rsidRPr="00A30AEC" w:rsidRDefault="00DF4E40" w:rsidP="00A30AEC">
      <w:pPr>
        <w:pStyle w:val="ListParagraph"/>
        <w:numPr>
          <w:ilvl w:val="0"/>
          <w:numId w:val="123"/>
        </w:numPr>
        <w:rPr>
          <w:rFonts w:ascii="Arial" w:hAnsi="Arial" w:cs="Arial"/>
          <w:sz w:val="22"/>
          <w:szCs w:val="22"/>
          <w:lang w:val="en-US" w:eastAsia="fr-BE"/>
        </w:rPr>
      </w:pPr>
      <w:r w:rsidRPr="00A30AEC">
        <w:rPr>
          <w:rFonts w:ascii="Arial" w:hAnsi="Arial" w:cs="Arial"/>
          <w:i/>
          <w:sz w:val="22"/>
          <w:szCs w:val="22"/>
          <w:lang w:val="en-US" w:eastAsia="fr-BE"/>
        </w:rPr>
        <w:t>Risk prevention</w:t>
      </w:r>
      <w:r w:rsidRPr="00A30AEC">
        <w:rPr>
          <w:rFonts w:ascii="Arial" w:hAnsi="Arial" w:cs="Arial"/>
          <w:sz w:val="22"/>
          <w:szCs w:val="22"/>
          <w:lang w:val="en-US" w:eastAsia="fr-BE"/>
        </w:rPr>
        <w:t>. Countries involved in the Programme have to cope with the lack of homogeneous and comparable data for spatial/territorial planning addressing risk prevention policies, strategies and plans. As a result, a suitable level investment to support cross-border application and testing of innovative technologies for natural risks prevention and technological risks should be ensured.</w:t>
      </w:r>
    </w:p>
    <w:p w:rsidR="00DF4E40" w:rsidRPr="00A30AEC" w:rsidRDefault="00DF4E40" w:rsidP="00A30AEC">
      <w:pPr>
        <w:pStyle w:val="ListParagraph"/>
        <w:numPr>
          <w:ilvl w:val="0"/>
          <w:numId w:val="123"/>
        </w:numPr>
        <w:rPr>
          <w:rFonts w:ascii="Arial" w:hAnsi="Arial" w:cs="Arial"/>
          <w:sz w:val="22"/>
          <w:szCs w:val="22"/>
          <w:lang w:val="en-US" w:eastAsia="fr-BE"/>
        </w:rPr>
      </w:pPr>
      <w:r w:rsidRPr="00A30AEC">
        <w:rPr>
          <w:rFonts w:ascii="Arial" w:hAnsi="Arial" w:cs="Arial"/>
          <w:i/>
          <w:sz w:val="22"/>
          <w:szCs w:val="22"/>
          <w:lang w:val="en-US" w:eastAsia="fr-BE"/>
        </w:rPr>
        <w:t>Energy</w:t>
      </w:r>
      <w:r w:rsidRPr="00A30AEC">
        <w:rPr>
          <w:rFonts w:ascii="Arial" w:hAnsi="Arial" w:cs="Arial"/>
          <w:sz w:val="22"/>
          <w:szCs w:val="22"/>
          <w:lang w:val="en-US" w:eastAsia="fr-BE"/>
        </w:rPr>
        <w:t xml:space="preserve">. The </w:t>
      </w:r>
      <w:r w:rsidRPr="00A30AEC">
        <w:rPr>
          <w:rFonts w:ascii="Arial" w:hAnsi="Arial" w:cs="Arial"/>
          <w:sz w:val="22"/>
          <w:szCs w:val="22"/>
          <w:lang w:val="en-US"/>
        </w:rPr>
        <w:t xml:space="preserve">share of energy from renewable sources (in % of gross final energy consumption) in the area is above average (about 24%), with </w:t>
      </w:r>
      <w:r w:rsidR="00304864" w:rsidRPr="00AA3E9A">
        <w:rPr>
          <w:rFonts w:ascii="Arial" w:hAnsi="Arial" w:cs="Arial"/>
          <w:sz w:val="22"/>
          <w:szCs w:val="22"/>
          <w:lang w:val="en-US"/>
        </w:rPr>
        <w:t xml:space="preserve">IPA </w:t>
      </w:r>
      <w:r w:rsidR="009E59B0">
        <w:rPr>
          <w:rFonts w:ascii="Arial" w:hAnsi="Arial" w:cs="Arial"/>
          <w:sz w:val="22"/>
          <w:szCs w:val="22"/>
          <w:lang w:val="en-US"/>
        </w:rPr>
        <w:t>Partner States</w:t>
      </w:r>
      <w:r w:rsidRPr="00A30AEC">
        <w:rPr>
          <w:rFonts w:ascii="Arial" w:hAnsi="Arial" w:cs="Arial"/>
          <w:sz w:val="22"/>
          <w:szCs w:val="22"/>
          <w:lang w:val="en-US"/>
        </w:rPr>
        <w:t xml:space="preserve"> figuring higher shares, although the gap might be biased by slightly outdated data. </w:t>
      </w:r>
      <w:r w:rsidR="00304864" w:rsidRPr="00AA3E9A">
        <w:rPr>
          <w:rFonts w:ascii="Arial" w:hAnsi="Arial" w:cs="Arial"/>
          <w:sz w:val="22"/>
          <w:szCs w:val="22"/>
          <w:lang w:val="en-US"/>
        </w:rPr>
        <w:t>Yea</w:t>
      </w:r>
      <w:r w:rsidR="00304864" w:rsidRPr="00304864">
        <w:rPr>
          <w:rFonts w:ascii="Arial" w:hAnsi="Arial" w:cs="Arial"/>
          <w:sz w:val="22"/>
          <w:szCs w:val="22"/>
          <w:lang w:val="en-US"/>
        </w:rPr>
        <w:t xml:space="preserve">r </w:t>
      </w:r>
      <w:r w:rsidRPr="00A30AEC">
        <w:rPr>
          <w:rFonts w:ascii="Arial" w:hAnsi="Arial" w:cs="Arial"/>
          <w:sz w:val="22"/>
          <w:szCs w:val="22"/>
          <w:lang w:val="en-US"/>
        </w:rPr>
        <w:t>2012 saw a shift in the balance of renewable energy investment worldwide: the balance in overall investment changed from roughly a two-thirds-one-third split between developed and less developed economies to one that was much closer to 50:50. Within the ADRION area, the squeeze on subsidies in Italy triggered a fall in investments (-53% new investment in Renewable Energies - RE - on 2011) and the recession slowed down the Slovenian financial support scheme started in 2002 and upgraded in 2009. Investment is needed to meet the renewables target but the challenge lies in investing into the right type of renewable. The same applies to Greece and to Croatia, as recently reported in their national plans adopted by the governments in 2013, together with the need to accelerate licensing of projects. In Partner States, the main Energy Efficiency - EE- and - RE - financing facilities are provided by International Financial Institutions and the EU and are available as loans that can be accessed through local banks. E</w:t>
      </w:r>
      <w:r w:rsidRPr="00A30AEC">
        <w:rPr>
          <w:rFonts w:ascii="Arial" w:hAnsi="Arial" w:cs="Arial"/>
          <w:sz w:val="22"/>
          <w:szCs w:val="22"/>
          <w:lang w:val="en-US" w:eastAsia="fr-BE"/>
        </w:rPr>
        <w:t>nergy systems in the region are fragmented, most of the countries having small markets which may be less attractive for investors. Better coordination and increased energy trading could reduce investment requirements for electricity generation by roughly 10 % by 2020, according to the Power Generation Investment Study conducted for the World Bank (World Bank, 2007).</w:t>
      </w:r>
    </w:p>
    <w:p w:rsidR="00DF4E40" w:rsidRPr="00AA3E9A" w:rsidRDefault="00DF4E40" w:rsidP="00AA3E9A">
      <w:pPr>
        <w:rPr>
          <w:rFonts w:ascii="Arial" w:hAnsi="Arial" w:cs="Arial"/>
          <w:sz w:val="22"/>
          <w:szCs w:val="22"/>
          <w:lang w:eastAsia="fr-BE"/>
        </w:rPr>
      </w:pPr>
    </w:p>
    <w:p w:rsidR="00DF4E40" w:rsidRPr="00A30AEC" w:rsidRDefault="00DF4E40" w:rsidP="00A30AEC">
      <w:pPr>
        <w:pStyle w:val="Heading3"/>
        <w:spacing w:before="0" w:after="120"/>
        <w:ind w:left="-11"/>
        <w:rPr>
          <w:rFonts w:ascii="Arial" w:hAnsi="Arial" w:cs="Arial"/>
          <w:i w:val="0"/>
          <w:color w:val="17365D"/>
          <w:sz w:val="22"/>
          <w:szCs w:val="22"/>
        </w:rPr>
      </w:pPr>
      <w:bookmarkStart w:id="31" w:name="_Toc420652472"/>
      <w:bookmarkStart w:id="32" w:name="_Toc421076824"/>
      <w:r w:rsidRPr="00A30AEC">
        <w:rPr>
          <w:rFonts w:ascii="Arial" w:hAnsi="Arial" w:cs="Arial"/>
          <w:b w:val="0"/>
          <w:noProof w:val="0"/>
          <w:color w:val="17365D"/>
          <w:sz w:val="22"/>
          <w:szCs w:val="22"/>
        </w:rPr>
        <w:t>Topography and Land uses</w:t>
      </w:r>
      <w:bookmarkEnd w:id="31"/>
      <w:bookmarkEnd w:id="32"/>
    </w:p>
    <w:p w:rsidR="00DF4E40" w:rsidRPr="00304864" w:rsidRDefault="00DF4E40">
      <w:pPr>
        <w:rPr>
          <w:rFonts w:ascii="Arial" w:hAnsi="Arial" w:cs="Arial"/>
          <w:color w:val="000000"/>
          <w:sz w:val="22"/>
          <w:szCs w:val="22"/>
        </w:rPr>
      </w:pPr>
      <w:r w:rsidRPr="00304864">
        <w:rPr>
          <w:rFonts w:ascii="Arial" w:hAnsi="Arial" w:cs="Arial"/>
          <w:color w:val="000000"/>
          <w:sz w:val="22"/>
          <w:szCs w:val="22"/>
        </w:rPr>
        <w:t xml:space="preserve">The ADRION area is characterised by extensive mountainous areas (Albania, Greece, Montenegro and Slovenia being some of the most mountainous areas in Europe). The topographic diversity within individual countries (calculation based on geographic form and elevation variation) and the area as a whole is very high; exceptions to the rule being Italy and Serbia with plains in the North/North Eastern and moderate mountain ranges in the South. </w:t>
      </w:r>
    </w:p>
    <w:p w:rsidR="00DF4E40" w:rsidRPr="00304864" w:rsidRDefault="00DF4E40">
      <w:pPr>
        <w:rPr>
          <w:rFonts w:ascii="Arial" w:hAnsi="Arial" w:cs="Arial"/>
          <w:color w:val="000000"/>
          <w:sz w:val="22"/>
          <w:szCs w:val="22"/>
        </w:rPr>
      </w:pPr>
    </w:p>
    <w:p w:rsidR="00DF4E40" w:rsidRPr="00304864" w:rsidRDefault="00DF4E40">
      <w:pPr>
        <w:rPr>
          <w:rFonts w:ascii="Arial" w:hAnsi="Arial" w:cs="Arial"/>
          <w:color w:val="000000"/>
          <w:sz w:val="22"/>
          <w:szCs w:val="22"/>
        </w:rPr>
      </w:pPr>
      <w:r w:rsidRPr="00304864">
        <w:rPr>
          <w:rFonts w:ascii="Arial" w:hAnsi="Arial" w:cs="Arial"/>
          <w:color w:val="000000"/>
          <w:sz w:val="22"/>
          <w:szCs w:val="22"/>
        </w:rPr>
        <w:t xml:space="preserve">The area has a relative high degree of forest coverage (although percentages vary among various sources due to different methodologies used), which is however under threat. Agriculture is an important landscape determining factor, thus affecting biodiversity and attractiveness of the area. Even though, it is an important economic sector, in many cases it is also a significant environmental pressure factor in areas like the Po valley in Italy, Vojvodina in Serbia or Central Macedonia and Thessaly in Greece due to the nutrient and pesticides discharges. Freshwater use varies considerable from 2% in Serbia to 89% in Greece; the variation should be considered in the light of agriculture importance in the economy (e.g. in Albania), the dependency of agriculture on irrigation and precipitation, but also the degree of specialisation and sophistication of the agricultural holdings (e.g. greenhouses and cotton in Italy and Greece). Indeed, regarding the abstraction of fresh surface water per capita in the Programme area, the highest volumes were observed in Greece (521 m3 in 2007) and Serbia (506 m3 in 2011); while the lowest were recorded in Croatia (133 m3 in 2011). The </w:t>
      </w:r>
      <w:r w:rsidR="009956A4">
        <w:rPr>
          <w:rFonts w:ascii="Arial" w:hAnsi="Arial" w:cs="Arial"/>
          <w:color w:val="000000"/>
          <w:sz w:val="22"/>
          <w:szCs w:val="22"/>
        </w:rPr>
        <w:t>ERDF</w:t>
      </w:r>
      <w:r w:rsidR="00EF3972">
        <w:rPr>
          <w:rFonts w:ascii="Arial" w:hAnsi="Arial" w:cs="Arial"/>
          <w:color w:val="000000"/>
          <w:sz w:val="22"/>
          <w:szCs w:val="22"/>
        </w:rPr>
        <w:t xml:space="preserve"> Partner</w:t>
      </w:r>
      <w:r w:rsidRPr="00AA3E9A">
        <w:rPr>
          <w:rFonts w:ascii="Arial" w:hAnsi="Arial" w:cs="Arial"/>
          <w:color w:val="000000"/>
          <w:sz w:val="22"/>
          <w:szCs w:val="22"/>
        </w:rPr>
        <w:t xml:space="preserve"> State with the hi</w:t>
      </w:r>
      <w:r w:rsidRPr="00304864">
        <w:rPr>
          <w:rFonts w:ascii="Arial" w:hAnsi="Arial" w:cs="Arial"/>
          <w:color w:val="000000"/>
          <w:sz w:val="22"/>
          <w:szCs w:val="22"/>
        </w:rPr>
        <w:t>ghest fresh ground water abstraction per capita was also Greece (327 m3 in 2007) (Source: Eurostat (2014) online data code: env_wat_abs).</w:t>
      </w:r>
    </w:p>
    <w:p w:rsidR="00DF4E40" w:rsidRPr="00304864" w:rsidRDefault="00DF4E40">
      <w:pPr>
        <w:rPr>
          <w:rFonts w:ascii="Arial" w:hAnsi="Arial" w:cs="Arial"/>
          <w:color w:val="000000"/>
          <w:sz w:val="22"/>
          <w:szCs w:val="22"/>
        </w:rPr>
      </w:pPr>
    </w:p>
    <w:p w:rsidR="00DF4E40" w:rsidRPr="00304864" w:rsidRDefault="00DF4E40">
      <w:pPr>
        <w:rPr>
          <w:rFonts w:ascii="Arial" w:hAnsi="Arial" w:cs="Arial"/>
          <w:color w:val="000000"/>
          <w:sz w:val="22"/>
          <w:szCs w:val="22"/>
        </w:rPr>
      </w:pPr>
      <w:r w:rsidRPr="00304864">
        <w:rPr>
          <w:rFonts w:ascii="Arial" w:hAnsi="Arial" w:cs="Arial"/>
          <w:color w:val="000000"/>
          <w:sz w:val="22"/>
          <w:szCs w:val="22"/>
        </w:rPr>
        <w:t>While population density does not vary considerably (Italy and Montenegro being exceptions), there is much bigger variation within the countries themselves, such as Greece (Athens and Thessaloniki), Italy (Lombardia, Veneto, Emilia-Romagna, Puglia) and Serbia (Belgrade). Smaller, more polycentric countries, like Bosnia and Herzegovina and Slovenia have a higher number of rural population and population living in smaller towns. These patterns have important implications both on the level of human pressure in specific areas but also in relation to the existence of un-fragmented habitats and natural areas.</w:t>
      </w:r>
    </w:p>
    <w:p w:rsidR="00DF4E40" w:rsidRPr="00304864" w:rsidRDefault="00DF4E40">
      <w:pPr>
        <w:rPr>
          <w:rFonts w:ascii="Arial" w:hAnsi="Arial" w:cs="Arial"/>
          <w:color w:val="000000"/>
          <w:sz w:val="22"/>
          <w:szCs w:val="22"/>
        </w:rPr>
      </w:pPr>
    </w:p>
    <w:p w:rsidR="00DF4E40" w:rsidRPr="00304864" w:rsidRDefault="00DF4E40">
      <w:pPr>
        <w:rPr>
          <w:rFonts w:ascii="Arial" w:hAnsi="Arial" w:cs="Arial"/>
          <w:color w:val="000000"/>
          <w:sz w:val="22"/>
          <w:szCs w:val="22"/>
        </w:rPr>
      </w:pPr>
      <w:r w:rsidRPr="00304864">
        <w:rPr>
          <w:rFonts w:ascii="Arial" w:hAnsi="Arial" w:cs="Arial"/>
          <w:sz w:val="22"/>
          <w:szCs w:val="22"/>
        </w:rPr>
        <w:t xml:space="preserve">The ADRION Partner States practice different </w:t>
      </w:r>
      <w:r w:rsidRPr="00304864">
        <w:rPr>
          <w:rFonts w:ascii="Arial" w:hAnsi="Arial" w:cs="Arial"/>
          <w:b/>
          <w:sz w:val="22"/>
          <w:szCs w:val="22"/>
        </w:rPr>
        <w:t>approaches in water management</w:t>
      </w:r>
      <w:r w:rsidRPr="00304864">
        <w:rPr>
          <w:rFonts w:ascii="Arial" w:hAnsi="Arial" w:cs="Arial"/>
          <w:sz w:val="22"/>
          <w:szCs w:val="22"/>
        </w:rPr>
        <w:t xml:space="preserve">. </w:t>
      </w:r>
      <w:r w:rsidRPr="00304864">
        <w:rPr>
          <w:rFonts w:ascii="Arial" w:hAnsi="Arial" w:cs="Arial"/>
          <w:color w:val="000000"/>
          <w:sz w:val="22"/>
          <w:szCs w:val="22"/>
        </w:rPr>
        <w:t xml:space="preserve">Besides the overall high water consumption, which is partially caused by low water prices and low collection rates, other problems in the water supply system include water shortages, especially in the coastal regions during the summer season, and insufficient level of coverage of the rural areas with public water supply systems (with poor water quality control for the waters from the rural water supply systems and other sources). Quality of drinking water is regularly monitored for the public water supply systems and the quality requirements are in line with WHO and EU standards. An additional problem is the lack of pre-treatment of industrial wastewater discharged into the public sewage systems, and a low level of residential connection to the sewerage especially in the remote areas. </w:t>
      </w:r>
    </w:p>
    <w:p w:rsidR="00DF4E40" w:rsidRPr="00304864" w:rsidRDefault="00DF4E40">
      <w:pPr>
        <w:rPr>
          <w:rFonts w:ascii="Arial" w:hAnsi="Arial" w:cs="Arial"/>
          <w:sz w:val="22"/>
          <w:szCs w:val="22"/>
        </w:rPr>
      </w:pP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In the field of </w:t>
      </w:r>
      <w:r w:rsidRPr="00304864">
        <w:rPr>
          <w:rFonts w:ascii="Arial" w:hAnsi="Arial" w:cs="Arial"/>
          <w:b/>
          <w:sz w:val="22"/>
          <w:szCs w:val="22"/>
        </w:rPr>
        <w:t>waste generation</w:t>
      </w:r>
      <w:r w:rsidRPr="00304864">
        <w:rPr>
          <w:rFonts w:ascii="Arial" w:hAnsi="Arial" w:cs="Arial"/>
          <w:sz w:val="22"/>
          <w:szCs w:val="22"/>
        </w:rPr>
        <w:t xml:space="preserve">, the area is characterized by lower waste levels than the EU28 but with rapidly rising per capita levels and overall poorly coordinated waste management mechanisms with limited recycling structures and a heavy reliance on (often uncontrolled) landfills. </w:t>
      </w:r>
    </w:p>
    <w:p w:rsidR="00DF4E40" w:rsidRPr="00304864" w:rsidRDefault="00DF4E40">
      <w:pPr>
        <w:autoSpaceDE w:val="0"/>
        <w:autoSpaceDN w:val="0"/>
        <w:adjustRightInd w:val="0"/>
        <w:rPr>
          <w:rFonts w:ascii="Arial" w:hAnsi="Arial" w:cs="Arial"/>
          <w:sz w:val="22"/>
          <w:szCs w:val="22"/>
        </w:rPr>
      </w:pPr>
    </w:p>
    <w:p w:rsidR="00DF4E40" w:rsidRPr="00304864" w:rsidRDefault="00DF4E40">
      <w:pPr>
        <w:rPr>
          <w:rFonts w:ascii="Arial" w:hAnsi="Arial" w:cs="Arial"/>
          <w:sz w:val="22"/>
          <w:szCs w:val="22"/>
        </w:rPr>
      </w:pPr>
      <w:r w:rsidRPr="00304864">
        <w:rPr>
          <w:rFonts w:ascii="Arial" w:hAnsi="Arial" w:cs="Arial"/>
          <w:sz w:val="22"/>
          <w:szCs w:val="22"/>
        </w:rPr>
        <w:t xml:space="preserve">There were considerable variations among the countries, both in the amount of waste generated in 2010 and the activities that contributed considerably to waste generation. The total amount of waste generated ranged between 3.158 thousand tons in Croatia and 158.628 thousand tons in Italy which is more than Greece, Croatia, Slovenia and Serbia together. Regarding waste generation by activity, construction accounted for the largest share of generated waste. The manufacturing industry accounted for the largest share of generated waste in Slovenia (29 %) and Croatia (20 %). </w:t>
      </w:r>
    </w:p>
    <w:p w:rsidR="00DF4E40" w:rsidRPr="00304864" w:rsidRDefault="00DF4E40">
      <w:pPr>
        <w:rPr>
          <w:rFonts w:ascii="Arial" w:hAnsi="Arial" w:cs="Arial"/>
          <w:sz w:val="22"/>
          <w:szCs w:val="22"/>
        </w:rPr>
      </w:pPr>
      <w:r w:rsidRPr="00304864">
        <w:rPr>
          <w:rFonts w:ascii="Arial" w:hAnsi="Arial" w:cs="Arial"/>
          <w:color w:val="000000"/>
          <w:sz w:val="22"/>
          <w:szCs w:val="22"/>
        </w:rPr>
        <w:t xml:space="preserve">Considering waste management, recent </w:t>
      </w:r>
      <w:r w:rsidRPr="00304864">
        <w:rPr>
          <w:rFonts w:ascii="Arial" w:hAnsi="Arial" w:cs="Arial"/>
          <w:sz w:val="22"/>
          <w:szCs w:val="22"/>
        </w:rPr>
        <w:t xml:space="preserve">studies have clustered countries into different performance levels: </w:t>
      </w:r>
    </w:p>
    <w:p w:rsidR="00DF4E40" w:rsidRPr="00A30AEC" w:rsidRDefault="00DF4E40" w:rsidP="00A30AEC">
      <w:pPr>
        <w:pStyle w:val="ListParagraph"/>
        <w:numPr>
          <w:ilvl w:val="0"/>
          <w:numId w:val="124"/>
        </w:numPr>
        <w:rPr>
          <w:rFonts w:ascii="Arial" w:hAnsi="Arial" w:cs="Arial"/>
          <w:color w:val="000000"/>
          <w:sz w:val="22"/>
          <w:szCs w:val="22"/>
          <w:lang w:val="en-US"/>
        </w:rPr>
      </w:pPr>
      <w:r w:rsidRPr="00A30AEC">
        <w:rPr>
          <w:rFonts w:ascii="Arial" w:hAnsi="Arial" w:cs="Arial"/>
          <w:color w:val="000000"/>
          <w:sz w:val="22"/>
          <w:szCs w:val="22"/>
          <w:lang w:val="en-US"/>
        </w:rPr>
        <w:t>High performing countries that generally have met or exceeded EU waste legislation targets;</w:t>
      </w:r>
    </w:p>
    <w:p w:rsidR="00DF4E40" w:rsidRPr="00A30AEC" w:rsidRDefault="00DF4E40" w:rsidP="00A30AEC">
      <w:pPr>
        <w:pStyle w:val="ListParagraph"/>
        <w:numPr>
          <w:ilvl w:val="0"/>
          <w:numId w:val="124"/>
        </w:numPr>
        <w:rPr>
          <w:rFonts w:ascii="Arial" w:hAnsi="Arial" w:cs="Arial"/>
          <w:color w:val="000000"/>
          <w:sz w:val="22"/>
          <w:szCs w:val="22"/>
          <w:lang w:val="en-US"/>
        </w:rPr>
      </w:pPr>
      <w:r w:rsidRPr="00A30AEC">
        <w:rPr>
          <w:rFonts w:ascii="Arial" w:hAnsi="Arial" w:cs="Arial"/>
          <w:color w:val="000000"/>
          <w:sz w:val="22"/>
          <w:szCs w:val="22"/>
          <w:lang w:val="en-US"/>
        </w:rPr>
        <w:t>Medium-performing/transitional countries (including Italy, Slovenia) typically characterized by mid-level recycling, around 25-30%, and landfilling between 35-50%. Important changes have been made in Slovenia compared to pre-EU waste management practices but it is still under investigat</w:t>
      </w:r>
      <w:r w:rsidR="00F530CE">
        <w:rPr>
          <w:rFonts w:ascii="Arial" w:hAnsi="Arial" w:cs="Arial"/>
          <w:color w:val="000000"/>
          <w:sz w:val="22"/>
          <w:szCs w:val="22"/>
          <w:lang w:val="en-US"/>
        </w:rPr>
        <w:t>ion</w:t>
      </w:r>
      <w:r w:rsidRPr="00A30AEC">
        <w:rPr>
          <w:rFonts w:ascii="Arial" w:hAnsi="Arial" w:cs="Arial"/>
          <w:color w:val="000000"/>
          <w:sz w:val="22"/>
          <w:szCs w:val="22"/>
          <w:lang w:val="en-US"/>
        </w:rPr>
        <w:t xml:space="preserve"> whether and to what extent is to be supported by political, economic and infrastructural frameworks. For many of the medium-performing countries, a focus is needed on setting up the appropriate political, economic and infrastructure framework to avoid diverting waste from landfill to incineration instead of to recycling;</w:t>
      </w:r>
    </w:p>
    <w:p w:rsidR="00DF4E40" w:rsidRPr="00304864" w:rsidRDefault="00DF4E40" w:rsidP="00A30AEC">
      <w:pPr>
        <w:pStyle w:val="ListParagraph"/>
        <w:numPr>
          <w:ilvl w:val="0"/>
          <w:numId w:val="124"/>
        </w:numPr>
        <w:rPr>
          <w:rFonts w:ascii="Arial" w:hAnsi="Arial" w:cs="Arial"/>
          <w:sz w:val="22"/>
          <w:szCs w:val="22"/>
        </w:rPr>
      </w:pPr>
      <w:r w:rsidRPr="00A30AEC">
        <w:rPr>
          <w:rFonts w:ascii="Arial" w:hAnsi="Arial" w:cs="Arial"/>
          <w:color w:val="000000"/>
          <w:sz w:val="22"/>
          <w:szCs w:val="22"/>
          <w:lang w:val="en-US"/>
        </w:rPr>
        <w:t xml:space="preserve">Lower-performing/limited countries (including Greece) generally still have extremely high levels of landfilling, which is the lowest level of the waste hierarchy and therefore not in line with either the spirit or the letter of EU legislation. </w:t>
      </w:r>
      <w:r w:rsidRPr="00AA3E9A">
        <w:rPr>
          <w:rFonts w:ascii="Arial" w:hAnsi="Arial" w:cs="Arial"/>
          <w:color w:val="000000"/>
          <w:sz w:val="22"/>
          <w:szCs w:val="22"/>
        </w:rPr>
        <w:t>Recycling a</w:t>
      </w:r>
      <w:r w:rsidRPr="00304864">
        <w:rPr>
          <w:rFonts w:ascii="Arial" w:hAnsi="Arial" w:cs="Arial"/>
          <w:color w:val="000000"/>
          <w:sz w:val="22"/>
          <w:szCs w:val="22"/>
        </w:rPr>
        <w:t xml:space="preserve">nd compostinglevelsalsoremainverylow. </w:t>
      </w:r>
    </w:p>
    <w:p w:rsidR="00DF4E40" w:rsidRPr="00304864" w:rsidRDefault="00DF4E40" w:rsidP="00AA3E9A">
      <w:pPr>
        <w:rPr>
          <w:rFonts w:ascii="Arial" w:hAnsi="Arial" w:cs="Arial"/>
          <w:sz w:val="22"/>
          <w:szCs w:val="22"/>
        </w:rPr>
      </w:pPr>
    </w:p>
    <w:p w:rsidR="00DF4E40" w:rsidRPr="00304864" w:rsidRDefault="00DF4E40">
      <w:pPr>
        <w:rPr>
          <w:rFonts w:ascii="Arial" w:hAnsi="Arial" w:cs="Arial"/>
          <w:sz w:val="22"/>
          <w:szCs w:val="22"/>
        </w:rPr>
      </w:pPr>
      <w:r w:rsidRPr="00304864">
        <w:rPr>
          <w:rFonts w:ascii="Arial" w:hAnsi="Arial" w:cs="Arial"/>
          <w:sz w:val="22"/>
          <w:szCs w:val="22"/>
        </w:rPr>
        <w:t xml:space="preserve">Additionally, these lower-performing countries often have no or only very weak schemes in place, whether to implement producer responsibility elements of the recycling directives or household charging for waste collection, or to encourage treatment at the higher levels of the waste hierarchy through landfill and incineration taxes or levies. </w:t>
      </w:r>
    </w:p>
    <w:p w:rsidR="00DF4E40" w:rsidRPr="00304864" w:rsidRDefault="00DF4E40">
      <w:pPr>
        <w:rPr>
          <w:rFonts w:ascii="Arial" w:hAnsi="Arial" w:cs="Arial"/>
          <w:sz w:val="22"/>
          <w:szCs w:val="22"/>
          <w:lang w:eastAsia="fr-BE"/>
        </w:rPr>
      </w:pPr>
    </w:p>
    <w:p w:rsidR="00DF4E40" w:rsidRPr="00A30AEC" w:rsidRDefault="00DF4E40" w:rsidP="00A30AEC">
      <w:pPr>
        <w:pStyle w:val="Heading3"/>
        <w:spacing w:before="0" w:after="120"/>
        <w:ind w:left="-11"/>
        <w:rPr>
          <w:rFonts w:ascii="Arial" w:hAnsi="Arial" w:cs="Arial"/>
          <w:i w:val="0"/>
          <w:color w:val="17365D"/>
          <w:sz w:val="22"/>
          <w:szCs w:val="22"/>
        </w:rPr>
      </w:pPr>
      <w:bookmarkStart w:id="33" w:name="_Toc420652473"/>
      <w:bookmarkStart w:id="34" w:name="_Toc421076825"/>
      <w:r w:rsidRPr="00A30AEC">
        <w:rPr>
          <w:rFonts w:ascii="Arial" w:hAnsi="Arial" w:cs="Arial"/>
          <w:b w:val="0"/>
          <w:noProof w:val="0"/>
          <w:color w:val="17365D"/>
          <w:sz w:val="22"/>
          <w:szCs w:val="22"/>
        </w:rPr>
        <w:t>Accessibility</w:t>
      </w:r>
      <w:r w:rsidRPr="00A30AEC">
        <w:rPr>
          <w:color w:val="17365D"/>
          <w:vertAlign w:val="superscript"/>
        </w:rPr>
        <w:footnoteReference w:id="3"/>
      </w:r>
      <w:r w:rsidRPr="00A30AEC">
        <w:rPr>
          <w:rFonts w:ascii="Arial" w:hAnsi="Arial" w:cs="Arial"/>
          <w:b w:val="0"/>
          <w:noProof w:val="0"/>
          <w:color w:val="17365D"/>
          <w:sz w:val="22"/>
          <w:szCs w:val="22"/>
        </w:rPr>
        <w:t>.</w:t>
      </w:r>
      <w:bookmarkEnd w:id="33"/>
      <w:bookmarkEnd w:id="34"/>
    </w:p>
    <w:p w:rsidR="00DF4E40" w:rsidRPr="00304864" w:rsidRDefault="00DF4E40">
      <w:pPr>
        <w:rPr>
          <w:rFonts w:ascii="Arial" w:hAnsi="Arial" w:cs="Arial"/>
          <w:sz w:val="22"/>
          <w:szCs w:val="22"/>
          <w:lang w:eastAsia="fr-BE"/>
        </w:rPr>
      </w:pPr>
      <w:r w:rsidRPr="00AA3E9A">
        <w:rPr>
          <w:rFonts w:ascii="Arial" w:hAnsi="Arial" w:cs="Arial"/>
          <w:sz w:val="22"/>
          <w:szCs w:val="22"/>
          <w:lang w:eastAsia="fr-BE"/>
        </w:rPr>
        <w:t>One of the main features characterizing the Programme’s area is the imbalance in the development of infr</w:t>
      </w:r>
      <w:r w:rsidRPr="00304864">
        <w:rPr>
          <w:rFonts w:ascii="Arial" w:hAnsi="Arial" w:cs="Arial"/>
          <w:sz w:val="22"/>
          <w:szCs w:val="22"/>
          <w:lang w:eastAsia="fr-BE"/>
        </w:rPr>
        <w:t xml:space="preserve">astructures and modes of transport, both between the two banks of the Adriatic Sea and among the Partner States, due to structural weaknesses, low level of maintenance and little investments in infrastructures. What is more, the lack of connections between coastal and inland areas leads to high pressure on coastal roads and bottlenecks. As a matter of fact, road transport is the most common mode of transportation for both goods and passengers throughout the area. Even sea-water transport has increased in Montenegro (+19%), Slovenia (+11%) and Croatia (+9%). Air transport of passengers has increased too, even though at different rates, while railways transport has decreased nearly in the whole cooperation area. The absence of data on inland-water transport underlines, once again, the lack of data and common indicators on infrastructures and transport services especially at a regional level. </w:t>
      </w: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Common data collection and processing methodology are required to monitor transport and accessibility conditions and eventually overcome discontinuities across borders, optimise current services and develop existing infrastructure into multimodal systems. In doing so, it is advisable to strengthen administrative capacity (especially in the areas of maritime, inland-water transport and logistics) and support regional investments in infrastructures, multimodal transport networks and transhipment facilities. The latter would even help the approximation of IPA </w:t>
      </w:r>
      <w:r w:rsidR="009E59B0">
        <w:rPr>
          <w:rFonts w:ascii="Arial" w:hAnsi="Arial" w:cs="Arial"/>
          <w:sz w:val="22"/>
          <w:szCs w:val="22"/>
          <w:lang w:eastAsia="fr-BE"/>
        </w:rPr>
        <w:t>Partner States</w:t>
      </w:r>
      <w:r w:rsidRPr="00304864">
        <w:rPr>
          <w:rFonts w:ascii="Arial" w:hAnsi="Arial" w:cs="Arial"/>
          <w:sz w:val="22"/>
          <w:szCs w:val="22"/>
          <w:lang w:eastAsia="fr-BE"/>
        </w:rPr>
        <w:t>legislations to European standards including safety and market liberalisation.</w:t>
      </w:r>
    </w:p>
    <w:p w:rsidR="00DF4E40" w:rsidRDefault="00DF4E40">
      <w:pPr>
        <w:rPr>
          <w:rFonts w:ascii="Arial" w:hAnsi="Arial" w:cs="Arial"/>
          <w:sz w:val="22"/>
          <w:szCs w:val="22"/>
          <w:lang w:eastAsia="fr-BE"/>
        </w:rPr>
      </w:pPr>
    </w:p>
    <w:p w:rsidR="00DF4E40" w:rsidRPr="00A30AEC" w:rsidRDefault="00DF4E40" w:rsidP="00A30AEC">
      <w:pPr>
        <w:pStyle w:val="Heading3"/>
        <w:spacing w:before="0" w:after="120"/>
        <w:ind w:left="-11"/>
        <w:rPr>
          <w:rFonts w:ascii="Arial" w:hAnsi="Arial" w:cs="Arial"/>
          <w:i w:val="0"/>
          <w:color w:val="17365D"/>
          <w:sz w:val="22"/>
          <w:szCs w:val="22"/>
        </w:rPr>
      </w:pPr>
      <w:bookmarkStart w:id="35" w:name="_Toc420652474"/>
      <w:bookmarkStart w:id="36" w:name="_Toc421076826"/>
      <w:r w:rsidRPr="00A30AEC">
        <w:rPr>
          <w:rFonts w:ascii="Arial" w:hAnsi="Arial" w:cs="Arial"/>
          <w:b w:val="0"/>
          <w:noProof w:val="0"/>
          <w:color w:val="17365D"/>
          <w:sz w:val="22"/>
          <w:szCs w:val="22"/>
        </w:rPr>
        <w:t>Logistics efficiency and economic development</w:t>
      </w:r>
      <w:bookmarkEnd w:id="35"/>
      <w:bookmarkEnd w:id="36"/>
    </w:p>
    <w:p w:rsidR="00DF4E40" w:rsidRPr="00304864" w:rsidRDefault="00DF4E40">
      <w:pPr>
        <w:rPr>
          <w:rFonts w:ascii="Arial" w:eastAsia="Batang" w:hAnsi="Arial" w:cs="Arial"/>
          <w:color w:val="000000"/>
          <w:sz w:val="22"/>
          <w:szCs w:val="22"/>
        </w:rPr>
      </w:pPr>
      <w:r w:rsidRPr="00304864">
        <w:rPr>
          <w:rFonts w:ascii="Arial" w:eastAsia="Batang" w:hAnsi="Arial" w:cs="Arial"/>
          <w:color w:val="000000"/>
          <w:sz w:val="22"/>
          <w:szCs w:val="22"/>
        </w:rPr>
        <w:t>Developing logistics chains is strictly connected to the international processes of economic integration since the logistics chains connect the production and distribution of goods through those transport systems able to guarantee reliable services.</w:t>
      </w:r>
    </w:p>
    <w:p w:rsidR="00DF4E40" w:rsidRPr="00304864" w:rsidRDefault="00DF4E40">
      <w:pPr>
        <w:rPr>
          <w:rFonts w:ascii="Arial" w:eastAsia="Batang" w:hAnsi="Arial" w:cs="Arial"/>
          <w:color w:val="000000"/>
          <w:sz w:val="22"/>
          <w:szCs w:val="22"/>
        </w:rPr>
      </w:pPr>
      <w:r w:rsidRPr="00304864">
        <w:rPr>
          <w:rFonts w:ascii="Arial" w:eastAsia="Batang" w:hAnsi="Arial" w:cs="Arial"/>
          <w:color w:val="000000"/>
          <w:sz w:val="22"/>
          <w:szCs w:val="22"/>
        </w:rPr>
        <w:t xml:space="preserve">Today the main trade exchange between the ADRION area and the EU shows the </w:t>
      </w:r>
      <w:r w:rsidR="00F530CE">
        <w:rPr>
          <w:rFonts w:ascii="Arial" w:eastAsia="Batang" w:hAnsi="Arial" w:cs="Arial"/>
          <w:color w:val="000000"/>
          <w:sz w:val="22"/>
          <w:szCs w:val="22"/>
        </w:rPr>
        <w:t>Balkan countries</w:t>
      </w:r>
      <w:r w:rsidRPr="00AA3E9A">
        <w:rPr>
          <w:rFonts w:ascii="Arial" w:eastAsia="Batang" w:hAnsi="Arial" w:cs="Arial"/>
          <w:color w:val="000000"/>
          <w:sz w:val="22"/>
          <w:szCs w:val="22"/>
        </w:rPr>
        <w:t xml:space="preserve"> being more active in manufacturing import against raw materials and</w:t>
      </w:r>
      <w:r w:rsidRPr="00304864">
        <w:rPr>
          <w:rFonts w:ascii="Arial" w:eastAsia="Batang" w:hAnsi="Arial" w:cs="Arial"/>
          <w:color w:val="000000"/>
          <w:sz w:val="22"/>
          <w:szCs w:val="22"/>
        </w:rPr>
        <w:t xml:space="preserve"> agricultural and food export, with a clear unbalanced transport relation.</w:t>
      </w:r>
    </w:p>
    <w:p w:rsidR="00DF4E40" w:rsidRPr="00304864" w:rsidRDefault="00DF4E40">
      <w:pPr>
        <w:rPr>
          <w:rFonts w:ascii="Arial" w:eastAsia="Batang" w:hAnsi="Arial" w:cs="Arial"/>
          <w:color w:val="000000"/>
          <w:sz w:val="22"/>
          <w:szCs w:val="22"/>
        </w:rPr>
      </w:pPr>
      <w:r w:rsidRPr="00304864">
        <w:rPr>
          <w:rFonts w:ascii="Arial" w:eastAsia="Batang" w:hAnsi="Arial" w:cs="Arial"/>
          <w:color w:val="000000"/>
          <w:sz w:val="22"/>
          <w:szCs w:val="22"/>
        </w:rPr>
        <w:t>This is a detriment for the transport activities since the empty return impacts negatively on the final cost of goods on the market.</w:t>
      </w:r>
    </w:p>
    <w:p w:rsidR="00DF4E40" w:rsidRPr="00304864" w:rsidRDefault="00DF4E40">
      <w:pPr>
        <w:rPr>
          <w:rFonts w:ascii="Arial" w:eastAsia="Batang" w:hAnsi="Arial" w:cs="Arial"/>
          <w:color w:val="000000"/>
          <w:sz w:val="22"/>
          <w:szCs w:val="22"/>
        </w:rPr>
      </w:pPr>
      <w:r w:rsidRPr="00304864">
        <w:rPr>
          <w:rFonts w:ascii="Arial" w:eastAsia="Batang" w:hAnsi="Arial" w:cs="Arial"/>
          <w:color w:val="000000"/>
          <w:sz w:val="22"/>
          <w:szCs w:val="22"/>
        </w:rPr>
        <w:t>Better intermodal organization and equipment helps to reduce the transport costs and the environmental performances mainly referred to the road transport thanks to a rational use of the lorry fleets and a progressive improvement of operational standards by the existing vehicle in use, which are economically competitive at a loss of environmental performances.</w:t>
      </w:r>
    </w:p>
    <w:p w:rsidR="00DF4E40" w:rsidRPr="00304864" w:rsidRDefault="00DF4E40">
      <w:pPr>
        <w:rPr>
          <w:rFonts w:ascii="Arial" w:eastAsia="Batang" w:hAnsi="Arial" w:cs="Arial"/>
          <w:color w:val="000000"/>
          <w:sz w:val="22"/>
          <w:szCs w:val="22"/>
        </w:rPr>
      </w:pPr>
      <w:r w:rsidRPr="00304864">
        <w:rPr>
          <w:rFonts w:ascii="Arial" w:eastAsia="Batang" w:hAnsi="Arial" w:cs="Arial"/>
          <w:color w:val="000000"/>
          <w:sz w:val="22"/>
          <w:szCs w:val="22"/>
        </w:rPr>
        <w:t>At the same time the quality of the rail service is mainly addressed to satisfy the low value goods transport or those ones which do not require high commercial speed.</w:t>
      </w:r>
    </w:p>
    <w:p w:rsidR="00DF4E40" w:rsidRPr="00304864" w:rsidRDefault="00DF4E40">
      <w:pPr>
        <w:rPr>
          <w:rFonts w:ascii="Arial" w:eastAsia="Batang" w:hAnsi="Arial" w:cs="Arial"/>
          <w:color w:val="000000"/>
          <w:sz w:val="22"/>
          <w:szCs w:val="22"/>
        </w:rPr>
      </w:pPr>
      <w:r w:rsidRPr="00304864">
        <w:rPr>
          <w:rFonts w:ascii="Arial" w:eastAsia="Batang" w:hAnsi="Arial" w:cs="Arial"/>
          <w:color w:val="000000"/>
          <w:sz w:val="22"/>
          <w:szCs w:val="22"/>
        </w:rPr>
        <w:t>The EU economic integration process of the ADRION area can for sure stimulate a better development of the transport sector as long as the countries opting for EU integration will be able to reorganize their domestic transport systems in an efficient and competitive way. More in general the pure transport cost is not the way to be competitive on the EU transport market.</w:t>
      </w:r>
    </w:p>
    <w:p w:rsidR="00DF4E40" w:rsidRPr="00304864" w:rsidRDefault="00DF4E40">
      <w:pPr>
        <w:rPr>
          <w:rFonts w:ascii="Arial" w:eastAsia="Batang" w:hAnsi="Arial" w:cs="Arial"/>
          <w:color w:val="000000"/>
          <w:sz w:val="22"/>
          <w:szCs w:val="22"/>
        </w:rPr>
      </w:pPr>
      <w:r w:rsidRPr="00304864">
        <w:rPr>
          <w:rFonts w:ascii="Arial" w:eastAsia="Batang" w:hAnsi="Arial" w:cs="Arial"/>
          <w:color w:val="000000"/>
          <w:sz w:val="22"/>
          <w:szCs w:val="22"/>
        </w:rPr>
        <w:t>Looking at sustainable interventions related to the available resources, one may assume that intermodality in the ADRION area could benefit from increased efficiency of the intermodal nodes – ports, freight villages, goods yards – by intervening on their entrance bottlenecks, on the storage and parking areas, and the efficiency of the intermodal transfer technologies.</w:t>
      </w:r>
      <w:bookmarkStart w:id="37" w:name="_Toc390876540"/>
      <w:bookmarkStart w:id="38" w:name="_Toc392685901"/>
    </w:p>
    <w:bookmarkEnd w:id="37"/>
    <w:bookmarkEnd w:id="38"/>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Furthermore, trade facilitation issues and supporting modernisation of related transport networks, customs and border-crossing points and port services and operations are points of attention for the area</w:t>
      </w:r>
      <w:r w:rsidRPr="00304864">
        <w:rPr>
          <w:rFonts w:ascii="Arial" w:hAnsi="Arial" w:cs="Arial"/>
          <w:sz w:val="22"/>
          <w:szCs w:val="22"/>
          <w:lang w:eastAsia="it-IT"/>
        </w:rPr>
        <w:t>.</w:t>
      </w:r>
    </w:p>
    <w:p w:rsidR="00DF4E40" w:rsidRDefault="00DF4E40">
      <w:pPr>
        <w:pStyle w:val="Default"/>
        <w:spacing w:after="120"/>
        <w:jc w:val="both"/>
        <w:rPr>
          <w:sz w:val="22"/>
          <w:szCs w:val="22"/>
        </w:rPr>
      </w:pPr>
    </w:p>
    <w:p w:rsidR="00DF4E40" w:rsidRPr="00A30AEC" w:rsidRDefault="00DF4E40" w:rsidP="00A30AEC">
      <w:pPr>
        <w:pStyle w:val="Heading3"/>
        <w:spacing w:before="0" w:after="120"/>
        <w:ind w:left="-11"/>
        <w:rPr>
          <w:rFonts w:ascii="Arial" w:hAnsi="Arial" w:cs="Arial"/>
          <w:i w:val="0"/>
          <w:color w:val="17365D"/>
          <w:sz w:val="22"/>
          <w:szCs w:val="22"/>
        </w:rPr>
      </w:pPr>
      <w:bookmarkStart w:id="39" w:name="_Toc420652475"/>
      <w:bookmarkStart w:id="40" w:name="_Toc421076827"/>
      <w:r w:rsidRPr="00A30AEC">
        <w:rPr>
          <w:rFonts w:ascii="Arial" w:hAnsi="Arial" w:cs="Arial"/>
          <w:b w:val="0"/>
          <w:noProof w:val="0"/>
          <w:color w:val="17365D"/>
          <w:sz w:val="22"/>
          <w:szCs w:val="22"/>
        </w:rPr>
        <w:t>Cultural Heritage</w:t>
      </w:r>
      <w:bookmarkEnd w:id="39"/>
      <w:bookmarkEnd w:id="40"/>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Additionally to its rich biodiversity, the Programme area represents one of the richest regions in Europe in terms of cultural diversity with distinct traditions, languages, religions and architectural monuments ranging from antiquity to modern times.</w:t>
      </w: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Cultural heritage in largely acknowledged in the Programme Area and there is a large number of sites under protection. There are 62 UNESCO World Heritage Sites in the area (55 Cultural, 5 natural and 2 mixed) covering a total of hectares 347.000, altogether creating a very attractive destination for tourism. Out of them, 23 are in the Italian regions, 19 in Greece, 7 in Croatia, 4 in Serbia and the rest in the remaining countries.</w:t>
      </w: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Nevertheless the level of conditions, accessibility and presentation varies significantly among countries. In order to properly valorise these assets through tourism, further efforts are needed for improving the management of the sites both in terms of preservation and in applying sustainable methods of exploitation. The ADRION Programme can provide the optimal framework for coordination of such actions and support the development of transnational strategies for jointly promoting the Region as a tourist destination. </w:t>
      </w: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The cultural diversity can represent a high potential for development; the coexistence of numerous ethnic, language and religious groups create the ground for easier communication and more intensive collaboration. This is even more strengthened by the large number of migrants concentrated around major cities of the region, besides asylum seekers and other beneficiaries of international protection, whose numbers in the region are increasingly significant. </w:t>
      </w: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The specific </w:t>
      </w:r>
      <w:r w:rsidRPr="00A30AEC">
        <w:rPr>
          <w:rFonts w:ascii="Arial" w:hAnsi="Arial" w:cs="Arial"/>
          <w:i/>
          <w:sz w:val="22"/>
          <w:szCs w:val="22"/>
          <w:lang w:eastAsia="fr-BE"/>
        </w:rPr>
        <w:t>milieu</w:t>
      </w:r>
      <w:r w:rsidRPr="00AA3E9A">
        <w:rPr>
          <w:rFonts w:ascii="Arial" w:hAnsi="Arial" w:cs="Arial"/>
          <w:sz w:val="22"/>
          <w:szCs w:val="22"/>
          <w:lang w:eastAsia="fr-BE"/>
        </w:rPr>
        <w:t xml:space="preserve"> of multiculturalism represents a source for developing cultural creativity and boosting the creative industries, a dynamic sector which can increase the attractiveness of the region and con</w:t>
      </w:r>
      <w:r w:rsidRPr="00304864">
        <w:rPr>
          <w:rFonts w:ascii="Arial" w:hAnsi="Arial" w:cs="Arial"/>
          <w:sz w:val="22"/>
          <w:szCs w:val="22"/>
          <w:lang w:eastAsia="fr-BE"/>
        </w:rPr>
        <w:t>tribute to more and better jobs in both culture and tourism.</w:t>
      </w:r>
    </w:p>
    <w:p w:rsidR="00DF4E40" w:rsidRPr="009956A4" w:rsidRDefault="00DF4E40" w:rsidP="00A30AEC">
      <w:pPr>
        <w:pStyle w:val="Heading3"/>
        <w:spacing w:before="0" w:after="120"/>
        <w:ind w:left="-11"/>
        <w:rPr>
          <w:rFonts w:ascii="Arial" w:hAnsi="Arial" w:cs="Arial"/>
          <w:sz w:val="22"/>
          <w:szCs w:val="22"/>
        </w:rPr>
      </w:pPr>
    </w:p>
    <w:p w:rsidR="00DF4E40" w:rsidRPr="00A30AEC" w:rsidRDefault="00DF4E40" w:rsidP="00A30AEC">
      <w:pPr>
        <w:pStyle w:val="Heading3"/>
        <w:spacing w:before="0" w:after="120"/>
        <w:ind w:left="-11"/>
        <w:rPr>
          <w:rFonts w:ascii="Arial" w:hAnsi="Arial" w:cs="Arial"/>
          <w:i w:val="0"/>
          <w:color w:val="17365D"/>
          <w:sz w:val="22"/>
          <w:szCs w:val="22"/>
        </w:rPr>
      </w:pPr>
      <w:bookmarkStart w:id="41" w:name="_Toc420652476"/>
      <w:bookmarkStart w:id="42" w:name="_Toc421076828"/>
      <w:r w:rsidRPr="00A30AEC">
        <w:rPr>
          <w:rFonts w:ascii="Arial" w:hAnsi="Arial" w:cs="Arial"/>
          <w:b w:val="0"/>
          <w:noProof w:val="0"/>
          <w:color w:val="17365D"/>
          <w:sz w:val="22"/>
          <w:szCs w:val="22"/>
        </w:rPr>
        <w:t>Tourism</w:t>
      </w:r>
      <w:bookmarkEnd w:id="41"/>
      <w:bookmarkEnd w:id="42"/>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Being one of the most important sectors in the ADRION area, tourism has a firm relevance for growth in </w:t>
      </w:r>
      <w:r w:rsidR="00F530CE">
        <w:rPr>
          <w:rFonts w:ascii="Arial" w:hAnsi="Arial" w:cs="Arial"/>
          <w:sz w:val="22"/>
          <w:szCs w:val="22"/>
          <w:lang w:eastAsia="fr-BE"/>
        </w:rPr>
        <w:t xml:space="preserve">the </w:t>
      </w:r>
      <w:r w:rsidRPr="00AA3E9A">
        <w:rPr>
          <w:rFonts w:ascii="Arial" w:hAnsi="Arial" w:cs="Arial"/>
          <w:sz w:val="22"/>
          <w:szCs w:val="22"/>
          <w:lang w:eastAsia="fr-BE"/>
        </w:rPr>
        <w:t>Partner State</w:t>
      </w:r>
      <w:r w:rsidR="00F530CE">
        <w:rPr>
          <w:rFonts w:ascii="Arial" w:hAnsi="Arial" w:cs="Arial"/>
          <w:sz w:val="22"/>
          <w:szCs w:val="22"/>
          <w:lang w:eastAsia="fr-BE"/>
        </w:rPr>
        <w:t>s,</w:t>
      </w:r>
      <w:r w:rsidRPr="00AA3E9A">
        <w:rPr>
          <w:rFonts w:ascii="Arial" w:hAnsi="Arial" w:cs="Arial"/>
          <w:sz w:val="22"/>
          <w:szCs w:val="22"/>
          <w:lang w:eastAsia="fr-BE"/>
        </w:rPr>
        <w:t xml:space="preserve"> even though it is still concentrated in coastal resorts and characterized by high seasonality. In fact, the whole cooperation area has high potential for further development of cultural tourism in the main towns, most of which are UNESCO heritage, and of sustainable tourism related to envi</w:t>
      </w:r>
      <w:r w:rsidRPr="00304864">
        <w:rPr>
          <w:rFonts w:ascii="Arial" w:hAnsi="Arial" w:cs="Arial"/>
          <w:sz w:val="22"/>
          <w:szCs w:val="22"/>
          <w:lang w:eastAsia="fr-BE"/>
        </w:rPr>
        <w:t>ronmental assets. Notwithstanding its great potential, tourism suffers from a number of weaknesses that should be addressed and of several risks generating negative impacts on the environment to be avoided or properly managed such as seasonal and mass tourism congestion. It is advisable to promote measures to integrate sustainable policies for the protection and enhancement of natural resources, landscape and cultural heritage in a framework of sustainable tourism development. Fostering institutional and public-private partnerships besides involving local communities could contribute to overcome the weak multi-level/multidimensional governance models for spatial and strategic planning and develop a more integrated and environmentally friendly framework.</w:t>
      </w:r>
    </w:p>
    <w:p w:rsidR="00DF4E40" w:rsidRPr="00304864" w:rsidRDefault="00DF4E40">
      <w:pPr>
        <w:rPr>
          <w:rFonts w:ascii="Arial" w:hAnsi="Arial" w:cs="Arial"/>
          <w:i/>
          <w:iCs/>
          <w:sz w:val="22"/>
          <w:szCs w:val="22"/>
          <w:lang w:eastAsia="fr-BE"/>
        </w:rPr>
      </w:pP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The area has thousands of km of pristine beaches, over 10.000 islands (in Greece, Croatia, Italy) but also stunning mountain landscapes, important rivers (Danube, Po, Axios, Ardas-Evros, with enormous potential for developing river tourism), a wide variety of spa resorts an thermal springs and above all several parks and protected areas.</w:t>
      </w:r>
    </w:p>
    <w:p w:rsidR="00DF4E40" w:rsidRPr="00304864" w:rsidRDefault="00DF4E40">
      <w:pPr>
        <w:rPr>
          <w:rFonts w:ascii="Arial" w:hAnsi="Arial" w:cs="Arial"/>
          <w:b/>
          <w:sz w:val="22"/>
          <w:szCs w:val="22"/>
          <w:lang w:eastAsia="fr-BE"/>
        </w:rPr>
      </w:pPr>
      <w:r w:rsidRPr="00304864">
        <w:rPr>
          <w:rFonts w:ascii="Arial" w:hAnsi="Arial" w:cs="Arial"/>
          <w:sz w:val="22"/>
          <w:szCs w:val="22"/>
          <w:lang w:eastAsia="fr-BE"/>
        </w:rPr>
        <w:t>Also the cultural offer of the ADRION area is very important: hundred years of different dominations have inexorably influenced the culture and architecture of most of the regions of the area, which have extraordinary and vibrant cities, medieval monasteries, arts, numerous archaeological sites and traditions. To underline this extensive heritage, the ADRION area boasts 62 sites inscribed on the UNESCO List, representing 16% of the European UNESCO sites.</w:t>
      </w: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A diverse eno-gastronomic and folk craft heritage is also part of the ADRION area tourism resources. Most participating regions have a long culinary tradition and in some cases their typical products (agricultural and crafts) trigger important domestic tourism flows.</w:t>
      </w:r>
    </w:p>
    <w:p w:rsidR="00DF4E40" w:rsidRPr="00304864" w:rsidRDefault="00DF4E40">
      <w:pPr>
        <w:rPr>
          <w:rFonts w:ascii="Arial" w:hAnsi="Arial" w:cs="Arial"/>
          <w:sz w:val="22"/>
          <w:szCs w:val="22"/>
          <w:lang w:eastAsia="fr-BE"/>
        </w:rPr>
      </w:pPr>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Unfortunately, the extraordinary environmental ecosystem and cultural heritage of the ADRION area suffer from two opposite and different problems: in some coastal spots, excessive pressure is applied by the same tourism settlements; in some other parts </w:t>
      </w:r>
      <w:r w:rsidRPr="00304864">
        <w:rPr>
          <w:rFonts w:ascii="Arial" w:hAnsi="Arial" w:cs="Arial"/>
          <w:i/>
          <w:iCs/>
          <w:sz w:val="22"/>
          <w:szCs w:val="22"/>
          <w:lang w:eastAsia="fr-BE"/>
        </w:rPr>
        <w:t>minor</w:t>
      </w:r>
      <w:r w:rsidRPr="00304864">
        <w:rPr>
          <w:rFonts w:ascii="Arial" w:hAnsi="Arial" w:cs="Arial"/>
          <w:sz w:val="22"/>
          <w:szCs w:val="22"/>
          <w:lang w:eastAsia="fr-BE"/>
        </w:rPr>
        <w:t xml:space="preserve"> destinations, natural and cultural heritage is not yet enough enhanced, or sometimes is inaccessible (no public transport or inadequate road signs) or even closed to the public or lacks “light” infrastructures (signalled paths, info points, etc.). Furthermore, specialized services needed to satisfy not only organized vacationers (individuals) but also some specific market niches (active tourists) like hiking, trekking, horse-riding or biking are totally absent.</w:t>
      </w:r>
    </w:p>
    <w:p w:rsidR="00DF4E40" w:rsidRPr="00304864" w:rsidRDefault="00DF4E40">
      <w:pPr>
        <w:rPr>
          <w:rFonts w:ascii="Arial" w:hAnsi="Arial" w:cs="Arial"/>
          <w:sz w:val="22"/>
          <w:szCs w:val="22"/>
          <w:lang w:eastAsia="fr-BE"/>
        </w:rPr>
      </w:pPr>
    </w:p>
    <w:p w:rsidR="00DF4E40" w:rsidRPr="00A30AEC" w:rsidRDefault="00DF4E40" w:rsidP="00A30AEC">
      <w:pPr>
        <w:pStyle w:val="Heading3"/>
        <w:spacing w:before="0" w:after="120"/>
        <w:ind w:left="-11"/>
        <w:rPr>
          <w:rFonts w:ascii="Arial" w:hAnsi="Arial" w:cs="Arial"/>
          <w:i w:val="0"/>
          <w:color w:val="17365D"/>
          <w:sz w:val="22"/>
          <w:szCs w:val="22"/>
        </w:rPr>
      </w:pPr>
      <w:bookmarkStart w:id="43" w:name="_Toc420652477"/>
      <w:bookmarkStart w:id="44" w:name="_Toc421076829"/>
      <w:r w:rsidRPr="00A30AEC">
        <w:rPr>
          <w:rFonts w:ascii="Arial" w:hAnsi="Arial" w:cs="Arial"/>
          <w:b w:val="0"/>
          <w:noProof w:val="0"/>
          <w:color w:val="17365D"/>
          <w:sz w:val="22"/>
          <w:szCs w:val="22"/>
        </w:rPr>
        <w:t>Research and innovation</w:t>
      </w:r>
      <w:bookmarkEnd w:id="43"/>
      <w:bookmarkEnd w:id="44"/>
    </w:p>
    <w:p w:rsidR="00DF4E40" w:rsidRPr="00304864" w:rsidRDefault="00DF4E40">
      <w:pPr>
        <w:rPr>
          <w:rFonts w:ascii="Arial" w:hAnsi="Arial" w:cs="Arial"/>
          <w:sz w:val="22"/>
          <w:szCs w:val="22"/>
          <w:lang w:eastAsia="fr-BE"/>
        </w:rPr>
      </w:pPr>
      <w:r w:rsidRPr="00304864">
        <w:rPr>
          <w:rFonts w:ascii="Arial" w:hAnsi="Arial" w:cs="Arial"/>
          <w:sz w:val="22"/>
          <w:szCs w:val="22"/>
          <w:lang w:eastAsia="fr-BE"/>
        </w:rPr>
        <w:t xml:space="preserve">The area is struggling towards building up efficient research and innovation systems. R&amp;D intensity is overall growing (about 0.75% in Croatia, 2.47% in Slovenia, 1.25% in Italy, 0.60% in Greece and an average of 0.3% in </w:t>
      </w:r>
      <w:r w:rsidR="00F530CE">
        <w:rPr>
          <w:rFonts w:ascii="Arial" w:hAnsi="Arial" w:cs="Arial"/>
          <w:sz w:val="22"/>
          <w:szCs w:val="22"/>
          <w:lang w:eastAsia="fr-BE"/>
        </w:rPr>
        <w:t xml:space="preserve">IPA </w:t>
      </w:r>
      <w:r w:rsidR="009E59B0">
        <w:rPr>
          <w:rFonts w:ascii="Arial" w:hAnsi="Arial" w:cs="Arial"/>
          <w:sz w:val="22"/>
          <w:szCs w:val="22"/>
          <w:lang w:eastAsia="fr-BE"/>
        </w:rPr>
        <w:t>Partner States</w:t>
      </w:r>
      <w:r w:rsidRPr="00AA3E9A">
        <w:rPr>
          <w:rFonts w:ascii="Arial" w:hAnsi="Arial" w:cs="Arial"/>
          <w:sz w:val="22"/>
          <w:szCs w:val="22"/>
          <w:lang w:eastAsia="fr-BE"/>
        </w:rPr>
        <w:t>) but efforts are still needed to enhance R&amp;D investment (particularly business investments, to build up capacities in key technology areas and to improve international competitiveness and trade by producing more technology-intensive goods o</w:t>
      </w:r>
      <w:r w:rsidRPr="00304864">
        <w:rPr>
          <w:rFonts w:ascii="Arial" w:hAnsi="Arial" w:cs="Arial"/>
          <w:sz w:val="22"/>
          <w:szCs w:val="22"/>
          <w:lang w:eastAsia="fr-BE"/>
        </w:rPr>
        <w:t>riented to both the domestic and foreign markets. Due to the need of opening markets to more competitive and innovative models, especially to face crisis effects, it is necessary to develop policies fostering research and innovation and give priority to investments in firms directly linked to R&amp;I. Cooperation schemes between territorial institutions, business sector and universities, technological institutes, technological parks, research institutes need to be supported, while systemic cooperation between research and private/public companies should be reinforced. Supporting structures such as incubators and cluster systems should improve technology cooperation and know-how between SMEs. Strengthening knowledge information society and the development of ICT can also contribute to meet development objectives related to research and innovation.</w:t>
      </w:r>
    </w:p>
    <w:p w:rsidR="00DF4E40" w:rsidRPr="00304864" w:rsidRDefault="00DF4E40">
      <w:pPr>
        <w:rPr>
          <w:rFonts w:ascii="Arial" w:hAnsi="Arial" w:cs="Arial"/>
          <w:sz w:val="22"/>
          <w:szCs w:val="22"/>
          <w:lang w:eastAsia="fr-BE"/>
        </w:rPr>
      </w:pPr>
    </w:p>
    <w:p w:rsidR="00DF4E40" w:rsidRPr="00304864" w:rsidRDefault="00DF4E40">
      <w:pPr>
        <w:pStyle w:val="Default"/>
        <w:spacing w:after="120"/>
        <w:jc w:val="both"/>
        <w:rPr>
          <w:sz w:val="22"/>
          <w:szCs w:val="22"/>
        </w:rPr>
      </w:pPr>
      <w:r w:rsidRPr="00304864">
        <w:rPr>
          <w:sz w:val="22"/>
          <w:szCs w:val="22"/>
        </w:rPr>
        <w:t>The key points from the analysis of R&amp;I and SME performance indicators are as follows:</w:t>
      </w:r>
    </w:p>
    <w:p w:rsidR="00DF4E40" w:rsidRPr="00AA3E9A" w:rsidRDefault="00DF4E40" w:rsidP="00A30AEC">
      <w:pPr>
        <w:pStyle w:val="Default"/>
        <w:numPr>
          <w:ilvl w:val="0"/>
          <w:numId w:val="125"/>
        </w:numPr>
        <w:spacing w:after="120"/>
        <w:jc w:val="both"/>
        <w:rPr>
          <w:sz w:val="22"/>
          <w:szCs w:val="22"/>
        </w:rPr>
      </w:pPr>
      <w:r w:rsidRPr="00F530CE">
        <w:rPr>
          <w:sz w:val="22"/>
          <w:szCs w:val="22"/>
        </w:rPr>
        <w:t xml:space="preserve">With the exception of Slovenia, all ADRION </w:t>
      </w:r>
      <w:r w:rsidR="00EF3972">
        <w:rPr>
          <w:sz w:val="22"/>
          <w:szCs w:val="22"/>
        </w:rPr>
        <w:t>FERS Partner</w:t>
      </w:r>
      <w:r w:rsidRPr="00F530CE">
        <w:rPr>
          <w:sz w:val="22"/>
          <w:szCs w:val="22"/>
        </w:rPr>
        <w:t xml:space="preserve"> States allocate significantly lower </w:t>
      </w:r>
      <w:r w:rsidRPr="00F530CE">
        <w:rPr>
          <w:b/>
          <w:sz w:val="22"/>
          <w:szCs w:val="22"/>
        </w:rPr>
        <w:t>GDP shares to RTD (GERD)</w:t>
      </w:r>
      <w:r w:rsidRPr="00F530CE">
        <w:rPr>
          <w:sz w:val="22"/>
          <w:szCs w:val="22"/>
        </w:rPr>
        <w:t xml:space="preserve"> in comparison to the EU average; similarly </w:t>
      </w:r>
      <w:r w:rsidRPr="00F530CE">
        <w:rPr>
          <w:b/>
          <w:sz w:val="22"/>
          <w:szCs w:val="22"/>
        </w:rPr>
        <w:t>business share in GERD</w:t>
      </w:r>
      <w:r w:rsidRPr="00F530CE">
        <w:rPr>
          <w:sz w:val="22"/>
          <w:szCs w:val="22"/>
        </w:rPr>
        <w:t xml:space="preserve"> is less that EU average (again Slovenia is closer to EU standards); </w:t>
      </w:r>
      <w:r w:rsidR="00F530CE">
        <w:rPr>
          <w:sz w:val="22"/>
          <w:szCs w:val="22"/>
        </w:rPr>
        <w:t>s</w:t>
      </w:r>
      <w:r w:rsidRPr="00F530CE">
        <w:rPr>
          <w:sz w:val="22"/>
          <w:szCs w:val="22"/>
        </w:rPr>
        <w:t>imilarly</w:t>
      </w:r>
      <w:r w:rsidR="00F530CE" w:rsidRPr="00F530CE">
        <w:rPr>
          <w:sz w:val="22"/>
          <w:szCs w:val="22"/>
        </w:rPr>
        <w:t>,</w:t>
      </w:r>
      <w:r w:rsidR="00F530CE">
        <w:rPr>
          <w:sz w:val="22"/>
          <w:szCs w:val="22"/>
        </w:rPr>
        <w:t xml:space="preserve">IPA </w:t>
      </w:r>
      <w:r w:rsidR="009E59B0">
        <w:rPr>
          <w:sz w:val="22"/>
          <w:szCs w:val="22"/>
          <w:lang w:eastAsia="fr-BE"/>
        </w:rPr>
        <w:t>Partner States</w:t>
      </w:r>
      <w:r w:rsidRPr="00AA3E9A">
        <w:rPr>
          <w:sz w:val="22"/>
          <w:szCs w:val="22"/>
        </w:rPr>
        <w:t xml:space="preserve"> have a very low GERD.</w:t>
      </w:r>
    </w:p>
    <w:p w:rsidR="00DF4E40" w:rsidRPr="00304864" w:rsidRDefault="00DF4E40" w:rsidP="00A30AEC">
      <w:pPr>
        <w:pStyle w:val="Default"/>
        <w:numPr>
          <w:ilvl w:val="0"/>
          <w:numId w:val="125"/>
        </w:numPr>
        <w:spacing w:after="120"/>
        <w:jc w:val="both"/>
        <w:rPr>
          <w:sz w:val="22"/>
          <w:szCs w:val="22"/>
        </w:rPr>
      </w:pPr>
      <w:r w:rsidRPr="00304864">
        <w:rPr>
          <w:b/>
          <w:sz w:val="22"/>
          <w:szCs w:val="22"/>
        </w:rPr>
        <w:t>Patent applications</w:t>
      </w:r>
      <w:r w:rsidRPr="00304864">
        <w:rPr>
          <w:sz w:val="22"/>
          <w:szCs w:val="22"/>
        </w:rPr>
        <w:t xml:space="preserve"> rates are low in Greece, Croatia, Serbia and Albania; Italy and Slovenia perform better but still much below the EU standards;</w:t>
      </w:r>
    </w:p>
    <w:p w:rsidR="00DF4E40" w:rsidRPr="00304864" w:rsidRDefault="00DF4E40" w:rsidP="00A30AEC">
      <w:pPr>
        <w:pStyle w:val="Default"/>
        <w:numPr>
          <w:ilvl w:val="0"/>
          <w:numId w:val="125"/>
        </w:numPr>
        <w:spacing w:after="120"/>
        <w:jc w:val="both"/>
        <w:rPr>
          <w:sz w:val="22"/>
          <w:szCs w:val="22"/>
        </w:rPr>
      </w:pPr>
      <w:r w:rsidRPr="00304864">
        <w:rPr>
          <w:sz w:val="22"/>
          <w:szCs w:val="22"/>
        </w:rPr>
        <w:t xml:space="preserve">Greece and Croatia are below EU average levels with regards to the </w:t>
      </w:r>
      <w:r w:rsidRPr="00304864">
        <w:rPr>
          <w:b/>
          <w:sz w:val="22"/>
          <w:szCs w:val="22"/>
        </w:rPr>
        <w:t>employment in high- technology sectors</w:t>
      </w:r>
      <w:r w:rsidRPr="00304864">
        <w:rPr>
          <w:sz w:val="22"/>
          <w:szCs w:val="22"/>
        </w:rPr>
        <w:t>; Italy and especially Slovenia perform better (the latter above EU average);</w:t>
      </w:r>
    </w:p>
    <w:p w:rsidR="00DF4E40" w:rsidRPr="00304864" w:rsidRDefault="00DF4E40" w:rsidP="00A30AEC">
      <w:pPr>
        <w:pStyle w:val="Default"/>
        <w:numPr>
          <w:ilvl w:val="0"/>
          <w:numId w:val="125"/>
        </w:numPr>
        <w:spacing w:after="120"/>
        <w:jc w:val="both"/>
        <w:rPr>
          <w:sz w:val="22"/>
          <w:szCs w:val="22"/>
        </w:rPr>
      </w:pPr>
      <w:r w:rsidRPr="00304864">
        <w:rPr>
          <w:sz w:val="22"/>
          <w:szCs w:val="22"/>
        </w:rPr>
        <w:t xml:space="preserve">All ADRION </w:t>
      </w:r>
      <w:r w:rsidR="009956A4">
        <w:rPr>
          <w:sz w:val="22"/>
          <w:szCs w:val="22"/>
          <w:lang w:eastAsia="fr-BE"/>
        </w:rPr>
        <w:t>ERDF</w:t>
      </w:r>
      <w:r w:rsidR="00260BF4">
        <w:rPr>
          <w:sz w:val="22"/>
          <w:szCs w:val="22"/>
          <w:lang w:eastAsia="fr-BE"/>
        </w:rPr>
        <w:t xml:space="preserve"> Partner</w:t>
      </w:r>
      <w:r w:rsidR="00260BF4" w:rsidRPr="00304864">
        <w:rPr>
          <w:sz w:val="22"/>
          <w:szCs w:val="22"/>
          <w:lang w:eastAsia="fr-BE"/>
        </w:rPr>
        <w:t xml:space="preserve"> States </w:t>
      </w:r>
      <w:r w:rsidRPr="00304864">
        <w:rPr>
          <w:sz w:val="22"/>
          <w:szCs w:val="22"/>
        </w:rPr>
        <w:t xml:space="preserve">present EU average indices relevant to </w:t>
      </w:r>
      <w:r w:rsidRPr="00304864">
        <w:rPr>
          <w:b/>
          <w:sz w:val="22"/>
          <w:szCs w:val="22"/>
        </w:rPr>
        <w:t>employment in knowledge-intensive services</w:t>
      </w:r>
      <w:r w:rsidRPr="00304864">
        <w:rPr>
          <w:sz w:val="22"/>
          <w:szCs w:val="22"/>
        </w:rPr>
        <w:t>;</w:t>
      </w:r>
    </w:p>
    <w:p w:rsidR="00DF4E40" w:rsidRPr="00304864" w:rsidRDefault="00DF4E40" w:rsidP="00A30AEC">
      <w:pPr>
        <w:pStyle w:val="Default"/>
        <w:numPr>
          <w:ilvl w:val="0"/>
          <w:numId w:val="125"/>
        </w:numPr>
        <w:spacing w:after="120"/>
        <w:jc w:val="both"/>
        <w:rPr>
          <w:sz w:val="22"/>
          <w:szCs w:val="22"/>
        </w:rPr>
      </w:pPr>
      <w:r w:rsidRPr="00304864">
        <w:rPr>
          <w:sz w:val="22"/>
          <w:szCs w:val="22"/>
        </w:rPr>
        <w:t xml:space="preserve">Slovenia’s </w:t>
      </w:r>
      <w:r w:rsidRPr="00304864">
        <w:rPr>
          <w:b/>
          <w:sz w:val="22"/>
          <w:szCs w:val="22"/>
        </w:rPr>
        <w:t>SME competitiveness performance</w:t>
      </w:r>
      <w:r w:rsidRPr="00304864">
        <w:rPr>
          <w:sz w:val="22"/>
          <w:szCs w:val="22"/>
        </w:rPr>
        <w:t xml:space="preserve"> is comparable to EU average; Italy and Greece lag behind (the latter by far);</w:t>
      </w:r>
    </w:p>
    <w:p w:rsidR="00DF4E40" w:rsidRPr="00304864" w:rsidRDefault="00DF4E40" w:rsidP="00A30AEC">
      <w:pPr>
        <w:pStyle w:val="Default"/>
        <w:numPr>
          <w:ilvl w:val="0"/>
          <w:numId w:val="125"/>
        </w:numPr>
        <w:spacing w:after="120"/>
        <w:jc w:val="both"/>
        <w:rPr>
          <w:sz w:val="22"/>
          <w:szCs w:val="22"/>
        </w:rPr>
      </w:pPr>
      <w:r w:rsidRPr="00304864">
        <w:rPr>
          <w:sz w:val="22"/>
          <w:szCs w:val="22"/>
        </w:rPr>
        <w:t xml:space="preserve">Greece and Croatia present significantly lower </w:t>
      </w:r>
      <w:r w:rsidRPr="00304864">
        <w:rPr>
          <w:b/>
          <w:sz w:val="22"/>
          <w:szCs w:val="22"/>
        </w:rPr>
        <w:t>employment rates</w:t>
      </w:r>
      <w:r w:rsidRPr="00304864">
        <w:rPr>
          <w:sz w:val="22"/>
          <w:szCs w:val="22"/>
        </w:rPr>
        <w:t xml:space="preserve">; Italy and primarily Slovenia present EU average comparable rates; </w:t>
      </w:r>
      <w:r w:rsidRPr="00304864">
        <w:rPr>
          <w:b/>
          <w:sz w:val="22"/>
          <w:szCs w:val="22"/>
        </w:rPr>
        <w:t>unemployment rates</w:t>
      </w:r>
      <w:r w:rsidRPr="00304864">
        <w:rPr>
          <w:sz w:val="22"/>
          <w:szCs w:val="22"/>
        </w:rPr>
        <w:t xml:space="preserve"> in Croatia and especially Greece are well above EU average;</w:t>
      </w:r>
    </w:p>
    <w:p w:rsidR="00DF4E40" w:rsidRPr="00304864" w:rsidRDefault="00DF4E40" w:rsidP="00A30AEC">
      <w:pPr>
        <w:pStyle w:val="Default"/>
        <w:numPr>
          <w:ilvl w:val="0"/>
          <w:numId w:val="125"/>
        </w:numPr>
        <w:spacing w:after="120"/>
        <w:jc w:val="both"/>
        <w:rPr>
          <w:sz w:val="22"/>
          <w:szCs w:val="22"/>
        </w:rPr>
      </w:pPr>
      <w:r w:rsidRPr="00304864">
        <w:rPr>
          <w:b/>
          <w:sz w:val="22"/>
          <w:szCs w:val="22"/>
        </w:rPr>
        <w:t>Investments</w:t>
      </w:r>
      <w:r w:rsidRPr="00304864">
        <w:rPr>
          <w:sz w:val="22"/>
          <w:szCs w:val="22"/>
        </w:rPr>
        <w:t xml:space="preserve"> in Greece are below EU average; Slovenia, Croatia and Italy perform better;</w:t>
      </w:r>
    </w:p>
    <w:p w:rsidR="00DF4E40" w:rsidRPr="00304864" w:rsidRDefault="00DF4E40" w:rsidP="00A30AEC">
      <w:pPr>
        <w:pStyle w:val="Default"/>
        <w:numPr>
          <w:ilvl w:val="0"/>
          <w:numId w:val="126"/>
        </w:numPr>
        <w:spacing w:after="120"/>
        <w:jc w:val="both"/>
        <w:rPr>
          <w:sz w:val="22"/>
          <w:szCs w:val="22"/>
        </w:rPr>
      </w:pPr>
      <w:r w:rsidRPr="00304864">
        <w:rPr>
          <w:sz w:val="22"/>
          <w:szCs w:val="22"/>
        </w:rPr>
        <w:t xml:space="preserve">Slovenia’s workforce is directed towards </w:t>
      </w:r>
      <w:r w:rsidRPr="00304864">
        <w:rPr>
          <w:b/>
          <w:sz w:val="22"/>
          <w:szCs w:val="22"/>
        </w:rPr>
        <w:t>industry, ICT and financial services</w:t>
      </w:r>
      <w:r w:rsidRPr="00304864">
        <w:rPr>
          <w:sz w:val="22"/>
          <w:szCs w:val="22"/>
        </w:rPr>
        <w:t>; Italy and Croatia follow this pattern at a EU average level; Greece’s workforce is less employed in these sectors;</w:t>
      </w:r>
    </w:p>
    <w:p w:rsidR="00DF4E40" w:rsidRPr="00304864" w:rsidRDefault="00DF4E40" w:rsidP="00A30AEC">
      <w:pPr>
        <w:pStyle w:val="Default"/>
        <w:numPr>
          <w:ilvl w:val="0"/>
          <w:numId w:val="126"/>
        </w:numPr>
        <w:spacing w:after="120"/>
        <w:jc w:val="both"/>
        <w:rPr>
          <w:sz w:val="22"/>
          <w:szCs w:val="22"/>
        </w:rPr>
      </w:pPr>
      <w:r w:rsidRPr="00304864">
        <w:rPr>
          <w:b/>
          <w:sz w:val="22"/>
          <w:szCs w:val="22"/>
        </w:rPr>
        <w:t>Slovenian regions</w:t>
      </w:r>
      <w:r w:rsidRPr="00304864">
        <w:rPr>
          <w:sz w:val="22"/>
          <w:szCs w:val="22"/>
        </w:rPr>
        <w:t xml:space="preserve"> are characterized as “advanced manufacturing regions” and “technologically- advanced regions” and “scientific regions”; </w:t>
      </w:r>
    </w:p>
    <w:p w:rsidR="00DF4E40" w:rsidRPr="00304864" w:rsidRDefault="00DF4E40" w:rsidP="00A30AEC">
      <w:pPr>
        <w:pStyle w:val="Default"/>
        <w:numPr>
          <w:ilvl w:val="0"/>
          <w:numId w:val="126"/>
        </w:numPr>
        <w:spacing w:after="120"/>
        <w:jc w:val="both"/>
        <w:rPr>
          <w:sz w:val="22"/>
          <w:szCs w:val="22"/>
        </w:rPr>
      </w:pPr>
      <w:r w:rsidRPr="00304864">
        <w:rPr>
          <w:b/>
          <w:sz w:val="22"/>
          <w:szCs w:val="22"/>
        </w:rPr>
        <w:t>Italian ADRION eligible regions</w:t>
      </w:r>
      <w:r w:rsidRPr="00304864">
        <w:rPr>
          <w:sz w:val="22"/>
          <w:szCs w:val="22"/>
        </w:rPr>
        <w:t xml:space="preserve"> have more diverse profiles (from “low tech regions” to “advanced manufacturing regions” and “advanced services regions” and from “research intensive regions” to “regions with no specialization in knowledge activities”); </w:t>
      </w:r>
    </w:p>
    <w:p w:rsidR="00DF4E40" w:rsidRPr="00A30AEC" w:rsidRDefault="00DF4E40" w:rsidP="00A30AEC">
      <w:pPr>
        <w:pStyle w:val="ListParagraph"/>
        <w:numPr>
          <w:ilvl w:val="0"/>
          <w:numId w:val="126"/>
        </w:numPr>
        <w:rPr>
          <w:rFonts w:ascii="Arial" w:hAnsi="Arial" w:cs="Arial"/>
          <w:sz w:val="22"/>
          <w:szCs w:val="22"/>
          <w:lang w:val="en-US"/>
        </w:rPr>
      </w:pPr>
      <w:r w:rsidRPr="00A30AEC">
        <w:rPr>
          <w:rFonts w:ascii="Arial" w:hAnsi="Arial" w:cs="Arial"/>
          <w:b/>
          <w:sz w:val="22"/>
          <w:szCs w:val="22"/>
          <w:lang w:val="en-US"/>
        </w:rPr>
        <w:t>Greek regions</w:t>
      </w:r>
      <w:r w:rsidRPr="00A30AEC">
        <w:rPr>
          <w:rFonts w:ascii="Arial" w:hAnsi="Arial" w:cs="Arial"/>
          <w:sz w:val="22"/>
          <w:szCs w:val="22"/>
          <w:lang w:val="en-US"/>
        </w:rPr>
        <w:t xml:space="preserve"> are characterized as “low tech”; “regions with no specialization in knowledge activities” and “non- interactive regions”; however some of them seem to be in the process of diversifying their production model (“</w:t>
      </w:r>
      <w:r w:rsidRPr="00A30AEC">
        <w:rPr>
          <w:rFonts w:ascii="Arial" w:hAnsi="Arial" w:cs="Arial"/>
          <w:color w:val="000000"/>
          <w:sz w:val="22"/>
          <w:szCs w:val="22"/>
          <w:lang w:val="en-US" w:eastAsia="sv-SE"/>
        </w:rPr>
        <w:t>smart and creative diversification area”).</w:t>
      </w:r>
    </w:p>
    <w:p w:rsidR="00DF4E40" w:rsidRPr="00AA3E9A" w:rsidRDefault="00DF4E40" w:rsidP="00AA3E9A">
      <w:pPr>
        <w:pStyle w:val="Default"/>
        <w:spacing w:after="120"/>
        <w:jc w:val="both"/>
        <w:rPr>
          <w:sz w:val="22"/>
          <w:szCs w:val="22"/>
        </w:rPr>
      </w:pPr>
    </w:p>
    <w:p w:rsidR="00DF4E40" w:rsidRPr="00A30AEC" w:rsidRDefault="00DF4E40" w:rsidP="00A30AEC">
      <w:pPr>
        <w:pStyle w:val="Heading3"/>
        <w:spacing w:before="0" w:after="120"/>
        <w:ind w:left="-11"/>
        <w:rPr>
          <w:b w:val="0"/>
          <w:color w:val="17365D"/>
          <w:sz w:val="22"/>
          <w:szCs w:val="22"/>
        </w:rPr>
      </w:pPr>
      <w:bookmarkStart w:id="45" w:name="_Toc420652478"/>
      <w:bookmarkStart w:id="46" w:name="_Toc421076830"/>
      <w:r w:rsidRPr="00A30AEC">
        <w:rPr>
          <w:rFonts w:ascii="Arial" w:hAnsi="Arial" w:cs="Arial"/>
          <w:b w:val="0"/>
          <w:noProof w:val="0"/>
          <w:color w:val="17365D"/>
          <w:sz w:val="22"/>
          <w:szCs w:val="22"/>
        </w:rPr>
        <w:t>EUSAIR G</w:t>
      </w:r>
      <w:r w:rsidR="00F530CE" w:rsidRPr="00A30AEC">
        <w:rPr>
          <w:rFonts w:ascii="Arial" w:hAnsi="Arial" w:cs="Arial"/>
          <w:b w:val="0"/>
          <w:noProof w:val="0"/>
          <w:color w:val="17365D"/>
          <w:sz w:val="22"/>
          <w:szCs w:val="22"/>
        </w:rPr>
        <w:t>overnance</w:t>
      </w:r>
      <w:bookmarkEnd w:id="45"/>
      <w:bookmarkEnd w:id="46"/>
    </w:p>
    <w:p w:rsidR="00DF4E40" w:rsidRPr="00304864" w:rsidRDefault="00DF4E40" w:rsidP="00AA3E9A">
      <w:pPr>
        <w:rPr>
          <w:rFonts w:ascii="Arial" w:hAnsi="Arial" w:cs="Arial"/>
          <w:sz w:val="22"/>
          <w:szCs w:val="22"/>
        </w:rPr>
      </w:pPr>
      <w:r w:rsidRPr="00AA3E9A">
        <w:rPr>
          <w:rFonts w:ascii="Arial" w:hAnsi="Arial" w:cs="Arial"/>
          <w:sz w:val="22"/>
          <w:szCs w:val="22"/>
        </w:rPr>
        <w:t>Specific attention has been paid to the needs analysis delivered by the Europ</w:t>
      </w:r>
      <w:r w:rsidRPr="00304864">
        <w:rPr>
          <w:rFonts w:ascii="Arial" w:hAnsi="Arial" w:cs="Arial"/>
          <w:sz w:val="22"/>
          <w:szCs w:val="22"/>
        </w:rPr>
        <w:t>ean Commission in the framework of the elaboration of the EUSAIR Strategy in terms of the governance system to be adopted for the EUSAIR implementation. The stakeholders’ needs analysis</w:t>
      </w:r>
      <w:r w:rsidRPr="00AA3E9A">
        <w:rPr>
          <w:rStyle w:val="FootnoteReference"/>
          <w:rFonts w:ascii="Arial" w:hAnsi="Arial" w:cs="Arial"/>
          <w:sz w:val="22"/>
          <w:szCs w:val="22"/>
        </w:rPr>
        <w:footnoteReference w:id="4"/>
      </w:r>
      <w:r w:rsidRPr="00AA3E9A">
        <w:rPr>
          <w:rFonts w:ascii="Arial" w:hAnsi="Arial" w:cs="Arial"/>
          <w:sz w:val="22"/>
          <w:szCs w:val="22"/>
        </w:rPr>
        <w:t xml:space="preserve"> was based on the results of the public consultation and workshops org</w:t>
      </w:r>
      <w:r w:rsidRPr="00304864">
        <w:rPr>
          <w:rFonts w:ascii="Arial" w:hAnsi="Arial" w:cs="Arial"/>
          <w:sz w:val="22"/>
          <w:szCs w:val="22"/>
        </w:rPr>
        <w:t>anised since 2013. Some key findings are summarised here below:</w:t>
      </w:r>
    </w:p>
    <w:p w:rsidR="00DF4E40" w:rsidRPr="00304864" w:rsidRDefault="00DF4E40" w:rsidP="00A30AEC">
      <w:pPr>
        <w:numPr>
          <w:ilvl w:val="0"/>
          <w:numId w:val="127"/>
        </w:numPr>
        <w:rPr>
          <w:rFonts w:ascii="Arial" w:hAnsi="Arial" w:cs="Arial"/>
          <w:sz w:val="22"/>
          <w:szCs w:val="22"/>
        </w:rPr>
      </w:pPr>
      <w:r w:rsidRPr="00304864">
        <w:rPr>
          <w:rFonts w:ascii="Arial" w:hAnsi="Arial" w:cs="Arial"/>
          <w:sz w:val="22"/>
          <w:szCs w:val="22"/>
        </w:rPr>
        <w:t xml:space="preserve">The role of </w:t>
      </w:r>
      <w:r w:rsidRPr="00304864">
        <w:rPr>
          <w:rFonts w:ascii="Arial" w:hAnsi="Arial" w:cs="Arial"/>
          <w:b/>
          <w:sz w:val="22"/>
          <w:szCs w:val="22"/>
        </w:rPr>
        <w:t>National coordinators</w:t>
      </w:r>
      <w:r w:rsidRPr="00304864">
        <w:rPr>
          <w:rFonts w:ascii="Arial" w:hAnsi="Arial" w:cs="Arial"/>
          <w:sz w:val="22"/>
          <w:szCs w:val="22"/>
        </w:rPr>
        <w:t xml:space="preserve"> as “initiators” of operational actions should be reinforced;</w:t>
      </w:r>
    </w:p>
    <w:p w:rsidR="00DF4E40" w:rsidRPr="00304864" w:rsidRDefault="00DF4E40" w:rsidP="00A30AEC">
      <w:pPr>
        <w:numPr>
          <w:ilvl w:val="0"/>
          <w:numId w:val="127"/>
        </w:numPr>
        <w:rPr>
          <w:rFonts w:ascii="Arial" w:hAnsi="Arial" w:cs="Arial"/>
          <w:sz w:val="22"/>
          <w:szCs w:val="22"/>
        </w:rPr>
      </w:pPr>
      <w:r w:rsidRPr="00304864">
        <w:rPr>
          <w:rFonts w:ascii="Arial" w:hAnsi="Arial" w:cs="Arial"/>
          <w:sz w:val="22"/>
          <w:szCs w:val="22"/>
        </w:rPr>
        <w:t xml:space="preserve">The </w:t>
      </w:r>
      <w:r w:rsidRPr="00304864">
        <w:rPr>
          <w:rFonts w:ascii="Arial" w:hAnsi="Arial" w:cs="Arial"/>
          <w:b/>
          <w:sz w:val="22"/>
          <w:szCs w:val="22"/>
        </w:rPr>
        <w:t>involvement of stakeholders</w:t>
      </w:r>
      <w:r w:rsidRPr="00304864">
        <w:rPr>
          <w:rFonts w:ascii="Arial" w:hAnsi="Arial" w:cs="Arial"/>
          <w:sz w:val="22"/>
          <w:szCs w:val="22"/>
        </w:rPr>
        <w:t xml:space="preserve"> needs to be institutionalised in order to ensure subsidiarity to the Strategy. The creation of a permanent forum (virtual or physical) should be taken into account and will serve as a collector of civil society needs and will put them to the attention of the decision-makers;</w:t>
      </w:r>
    </w:p>
    <w:p w:rsidR="00DF4E40" w:rsidRPr="00304864" w:rsidRDefault="00DF4E40" w:rsidP="00A30AEC">
      <w:pPr>
        <w:numPr>
          <w:ilvl w:val="0"/>
          <w:numId w:val="127"/>
        </w:numPr>
        <w:rPr>
          <w:rFonts w:ascii="Arial" w:hAnsi="Arial" w:cs="Arial"/>
          <w:sz w:val="22"/>
          <w:szCs w:val="22"/>
        </w:rPr>
      </w:pPr>
      <w:r w:rsidRPr="00304864">
        <w:rPr>
          <w:rFonts w:ascii="Arial" w:hAnsi="Arial" w:cs="Arial"/>
          <w:b/>
          <w:sz w:val="22"/>
          <w:szCs w:val="22"/>
        </w:rPr>
        <w:t>Communication actions</w:t>
      </w:r>
      <w:r w:rsidRPr="00304864">
        <w:rPr>
          <w:rFonts w:ascii="Arial" w:hAnsi="Arial" w:cs="Arial"/>
          <w:sz w:val="22"/>
          <w:szCs w:val="22"/>
        </w:rPr>
        <w:t xml:space="preserve"> need to be strengthened and should be a clear part of the overall governance. Communication should be addressed to increase the level of involvement of all stakeholders, but also to duly promote the Strategy as a useful cooperation tool; </w:t>
      </w:r>
    </w:p>
    <w:p w:rsidR="00DF4E40" w:rsidRPr="00304864" w:rsidRDefault="00DF4E40">
      <w:pPr>
        <w:pStyle w:val="Default"/>
        <w:spacing w:after="120"/>
        <w:jc w:val="both"/>
        <w:rPr>
          <w:color w:val="auto"/>
          <w:sz w:val="22"/>
          <w:szCs w:val="22"/>
        </w:rPr>
      </w:pPr>
      <w:r w:rsidRPr="00304864">
        <w:rPr>
          <w:sz w:val="22"/>
          <w:szCs w:val="22"/>
        </w:rPr>
        <w:t xml:space="preserve">Finally, from a general perspective and outside the scope of the EUSAIR governance, </w:t>
      </w:r>
      <w:r w:rsidRPr="00304864">
        <w:rPr>
          <w:b/>
          <w:sz w:val="22"/>
          <w:szCs w:val="22"/>
        </w:rPr>
        <w:t>coordination between all strategies</w:t>
      </w:r>
      <w:r w:rsidRPr="00304864">
        <w:rPr>
          <w:sz w:val="22"/>
          <w:szCs w:val="22"/>
        </w:rPr>
        <w:t xml:space="preserve"> (especially macro-regional) should be envisaged. </w:t>
      </w:r>
    </w:p>
    <w:p w:rsidR="00DF4E40" w:rsidRPr="00304864" w:rsidRDefault="00DF4E40">
      <w:pPr>
        <w:rPr>
          <w:rFonts w:ascii="Arial" w:hAnsi="Arial" w:cs="Arial"/>
          <w:sz w:val="22"/>
          <w:szCs w:val="22"/>
          <w:lang w:eastAsia="fr-BE"/>
        </w:rPr>
      </w:pPr>
    </w:p>
    <w:bookmarkEnd w:id="29"/>
    <w:bookmarkEnd w:id="30"/>
    <w:p w:rsidR="00F92654" w:rsidRDefault="00F92654">
      <w:pPr>
        <w:rPr>
          <w:rFonts w:ascii="Arial" w:hAnsi="Arial" w:cs="Arial"/>
          <w:sz w:val="22"/>
          <w:szCs w:val="22"/>
          <w:lang w:eastAsia="fr-BE"/>
        </w:rPr>
        <w:sectPr w:rsidR="00F92654" w:rsidSect="00A961B0">
          <w:type w:val="continuous"/>
          <w:pgSz w:w="11906" w:h="16838"/>
          <w:pgMar w:top="1417" w:right="1134" w:bottom="1134" w:left="1134" w:header="601" w:footer="680" w:gutter="0"/>
          <w:cols w:space="720"/>
          <w:titlePg/>
          <w:docGrid w:linePitch="326"/>
        </w:sectPr>
      </w:pPr>
    </w:p>
    <w:p w:rsidR="00DF4E40" w:rsidRPr="00A30AEC" w:rsidRDefault="00DF4E40">
      <w:pPr>
        <w:pStyle w:val="Heading3"/>
        <w:spacing w:before="0" w:after="120"/>
        <w:ind w:left="-11"/>
        <w:rPr>
          <w:rFonts w:ascii="Arial" w:hAnsi="Arial" w:cs="Arial"/>
          <w:b w:val="0"/>
          <w:noProof w:val="0"/>
          <w:color w:val="17365D"/>
          <w:sz w:val="22"/>
          <w:szCs w:val="22"/>
        </w:rPr>
      </w:pPr>
      <w:bookmarkStart w:id="47" w:name="_Toc420652479"/>
      <w:bookmarkStart w:id="48" w:name="_Toc421076831"/>
      <w:r w:rsidRPr="00A30AEC">
        <w:rPr>
          <w:rFonts w:ascii="Arial" w:hAnsi="Arial" w:cs="Arial"/>
          <w:b w:val="0"/>
          <w:noProof w:val="0"/>
          <w:color w:val="17365D"/>
          <w:sz w:val="22"/>
          <w:szCs w:val="22"/>
        </w:rPr>
        <w:t>SWOT analysis of the ADRION area</w:t>
      </w:r>
      <w:bookmarkEnd w:id="47"/>
      <w:bookmarkEnd w:id="48"/>
    </w:p>
    <w:p w:rsidR="00DF4E40" w:rsidRPr="00304864" w:rsidRDefault="00DF4E40" w:rsidP="00AA3E9A">
      <w:pPr>
        <w:rPr>
          <w:rFonts w:ascii="Arial" w:hAnsi="Arial" w:cs="Arial"/>
          <w:b/>
          <w:sz w:val="22"/>
          <w:szCs w:val="22"/>
        </w:rPr>
      </w:pPr>
      <w:r w:rsidRPr="00304864">
        <w:rPr>
          <w:rFonts w:ascii="Arial" w:hAnsi="Arial" w:cs="Arial"/>
          <w:b/>
          <w:sz w:val="22"/>
          <w:szCs w:val="22"/>
        </w:rPr>
        <w:t>Smart growth</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3057"/>
        <w:gridCol w:w="3876"/>
        <w:gridCol w:w="3082"/>
        <w:gridCol w:w="2924"/>
      </w:tblGrid>
      <w:tr w:rsidR="00DF4E40" w:rsidRPr="00F530CE" w:rsidTr="00A30AEC">
        <w:trPr>
          <w:tblHeader/>
        </w:trPr>
        <w:tc>
          <w:tcPr>
            <w:tcW w:w="1780" w:type="dxa"/>
            <w:shd w:val="clear" w:color="auto" w:fill="C6D9F1"/>
          </w:tcPr>
          <w:p w:rsidR="00DF4E40" w:rsidRPr="00A30AEC" w:rsidRDefault="00DF4E40" w:rsidP="00AA3E9A">
            <w:pPr>
              <w:jc w:val="center"/>
              <w:rPr>
                <w:rFonts w:ascii="Arial" w:hAnsi="Arial" w:cs="Arial"/>
                <w:b/>
                <w:sz w:val="20"/>
              </w:rPr>
            </w:pPr>
          </w:p>
        </w:tc>
        <w:tc>
          <w:tcPr>
            <w:tcW w:w="3119" w:type="dxa"/>
            <w:shd w:val="clear" w:color="auto" w:fill="C6D9F1"/>
          </w:tcPr>
          <w:p w:rsidR="00DF4E40" w:rsidRPr="00A30AEC" w:rsidRDefault="00DF4E40">
            <w:pPr>
              <w:jc w:val="center"/>
              <w:rPr>
                <w:rFonts w:ascii="Arial" w:hAnsi="Arial" w:cs="Arial"/>
                <w:b/>
                <w:sz w:val="20"/>
              </w:rPr>
            </w:pPr>
            <w:r w:rsidRPr="00A30AEC">
              <w:rPr>
                <w:rFonts w:ascii="Arial" w:hAnsi="Arial" w:cs="Arial"/>
                <w:b/>
                <w:sz w:val="20"/>
              </w:rPr>
              <w:t>Strengths</w:t>
            </w:r>
          </w:p>
        </w:tc>
        <w:tc>
          <w:tcPr>
            <w:tcW w:w="3969" w:type="dxa"/>
            <w:shd w:val="clear" w:color="auto" w:fill="C6D9F1"/>
          </w:tcPr>
          <w:p w:rsidR="00DF4E40" w:rsidRPr="00A30AEC" w:rsidRDefault="00DF4E40">
            <w:pPr>
              <w:jc w:val="center"/>
              <w:rPr>
                <w:rFonts w:ascii="Arial" w:hAnsi="Arial" w:cs="Arial"/>
                <w:b/>
                <w:sz w:val="20"/>
              </w:rPr>
            </w:pPr>
            <w:r w:rsidRPr="00A30AEC">
              <w:rPr>
                <w:rFonts w:ascii="Arial" w:hAnsi="Arial" w:cs="Arial"/>
                <w:b/>
                <w:sz w:val="20"/>
              </w:rPr>
              <w:t>Weaknesses</w:t>
            </w:r>
          </w:p>
        </w:tc>
        <w:tc>
          <w:tcPr>
            <w:tcW w:w="3118" w:type="dxa"/>
            <w:shd w:val="clear" w:color="auto" w:fill="C6D9F1"/>
          </w:tcPr>
          <w:p w:rsidR="00DF4E40" w:rsidRPr="00A30AEC" w:rsidRDefault="00DF4E40">
            <w:pPr>
              <w:jc w:val="center"/>
              <w:rPr>
                <w:rFonts w:ascii="Arial" w:hAnsi="Arial" w:cs="Arial"/>
                <w:b/>
                <w:sz w:val="20"/>
              </w:rPr>
            </w:pPr>
            <w:r w:rsidRPr="00A30AEC">
              <w:rPr>
                <w:rFonts w:ascii="Arial" w:hAnsi="Arial" w:cs="Arial"/>
                <w:b/>
                <w:sz w:val="20"/>
              </w:rPr>
              <w:t>Opportunities</w:t>
            </w:r>
          </w:p>
        </w:tc>
        <w:tc>
          <w:tcPr>
            <w:tcW w:w="2999" w:type="dxa"/>
            <w:shd w:val="clear" w:color="auto" w:fill="C6D9F1"/>
          </w:tcPr>
          <w:p w:rsidR="00DF4E40" w:rsidRPr="00A30AEC" w:rsidRDefault="00DF4E40">
            <w:pPr>
              <w:jc w:val="center"/>
              <w:rPr>
                <w:rFonts w:ascii="Arial" w:hAnsi="Arial" w:cs="Arial"/>
                <w:b/>
                <w:sz w:val="20"/>
              </w:rPr>
            </w:pPr>
            <w:r w:rsidRPr="00A30AEC">
              <w:rPr>
                <w:rFonts w:ascii="Arial" w:hAnsi="Arial" w:cs="Arial"/>
                <w:b/>
                <w:sz w:val="20"/>
              </w:rPr>
              <w:t>Threats</w:t>
            </w:r>
          </w:p>
        </w:tc>
      </w:tr>
      <w:tr w:rsidR="00DF4E40" w:rsidRPr="00F530CE" w:rsidTr="00396B2A">
        <w:tc>
          <w:tcPr>
            <w:tcW w:w="1780" w:type="dxa"/>
          </w:tcPr>
          <w:p w:rsidR="00DF4E40" w:rsidRPr="00A30AEC" w:rsidRDefault="00DF4E40" w:rsidP="00AA3E9A">
            <w:pPr>
              <w:jc w:val="left"/>
              <w:rPr>
                <w:rFonts w:ascii="Arial" w:hAnsi="Arial" w:cs="Arial"/>
                <w:b/>
                <w:sz w:val="20"/>
              </w:rPr>
            </w:pPr>
            <w:r w:rsidRPr="00A30AEC">
              <w:rPr>
                <w:rFonts w:ascii="Arial" w:hAnsi="Arial" w:cs="Arial"/>
                <w:b/>
                <w:sz w:val="20"/>
              </w:rPr>
              <w:t>Research, technological development and innovation</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Some regions leaders in R&amp;D - Some high skill industrial sectors (agriculture, agribusiness, chemicals, materials...)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Relatively well developed research facilities in some countries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Well developed innovative activities and practices in the area of cultural and creative industries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Good systems of product quality certification, good facilities and labs with international accreditation</w:t>
            </w:r>
          </w:p>
          <w:p w:rsidR="00DF4E40" w:rsidRPr="00A30AEC" w:rsidRDefault="00DF4E40" w:rsidP="00AA3E9A">
            <w:pPr>
              <w:jc w:val="left"/>
              <w:rPr>
                <w:rFonts w:ascii="Arial" w:hAnsi="Arial" w:cs="Arial"/>
                <w:sz w:val="20"/>
              </w:rPr>
            </w:pPr>
          </w:p>
          <w:p w:rsidR="00DF4E40" w:rsidRPr="00A30AEC" w:rsidRDefault="00DF4E40">
            <w:pPr>
              <w:jc w:val="left"/>
              <w:rPr>
                <w:rFonts w:ascii="Arial" w:hAnsi="Arial" w:cs="Arial"/>
                <w:sz w:val="20"/>
              </w:rPr>
            </w:pPr>
          </w:p>
        </w:tc>
        <w:tc>
          <w:tcPr>
            <w:tcW w:w="396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investment in R&amp;D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proportion of research personnel in companies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number of patent applications to be commercialised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Poor Intellectual Propertyprotection also in relation to academia and enterprises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Weak technology transfer activities and limited cooperation of science &amp; technology parks, incubators and clusters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Innovation models more based on diversification than breakthrough innovation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Full potential of culture and creative industries not yet realised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No specific regulations in the field of venture capital/private equity funds in some countries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Declining urban areas as poles for innovation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entrepreneurial skills and low knowledge about innovation</w:t>
            </w:r>
          </w:p>
          <w:p w:rsidR="00DF4E40" w:rsidRPr="00A30AEC" w:rsidRDefault="00DF4E40" w:rsidP="00AA3E9A">
            <w:pPr>
              <w:jc w:val="left"/>
              <w:rPr>
                <w:rFonts w:ascii="Arial" w:hAnsi="Arial" w:cs="Arial"/>
                <w:sz w:val="20"/>
              </w:rPr>
            </w:pPr>
          </w:p>
        </w:tc>
        <w:tc>
          <w:tcPr>
            <w:tcW w:w="3118"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Rising investments in R&amp;D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Slight increase of patent applications over the last years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R&amp;D specialisations in agribusiness, maritime and tourism</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Transfer research from universities/laboratories to private sector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skills in research through financial support and training opportunities in the field of enterprise creation, technology transfer, organizational and management innovation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 diverse and networked innovation community (clusters, science &amp; technology parks and incubators)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Social and open innovation as potential</w:t>
            </w:r>
          </w:p>
          <w:p w:rsidR="00DF4E40" w:rsidRPr="00A30AEC" w:rsidRDefault="00F530CE" w:rsidP="00A30AEC">
            <w:pPr>
              <w:pStyle w:val="ListParagraph"/>
              <w:numPr>
                <w:ilvl w:val="1"/>
                <w:numId w:val="95"/>
              </w:numPr>
              <w:ind w:left="124" w:hanging="142"/>
              <w:jc w:val="left"/>
              <w:rPr>
                <w:rFonts w:ascii="Arial" w:hAnsi="Arial" w:cs="Arial"/>
                <w:sz w:val="20"/>
                <w:lang w:val="en-GB"/>
              </w:rPr>
            </w:pPr>
            <w:r>
              <w:rPr>
                <w:rFonts w:ascii="Arial" w:hAnsi="Arial" w:cs="Arial"/>
                <w:sz w:val="20"/>
                <w:lang w:val="en-GB"/>
              </w:rPr>
              <w:t>R</w:t>
            </w:r>
            <w:r w:rsidR="00DF4E40" w:rsidRPr="00A30AEC">
              <w:rPr>
                <w:rFonts w:ascii="Arial" w:hAnsi="Arial" w:cs="Arial"/>
                <w:sz w:val="20"/>
                <w:lang w:val="en-GB"/>
              </w:rPr>
              <w:t>esearch activities and innovative products in the area of sustainable building industry and creative industries</w:t>
            </w:r>
          </w:p>
        </w:tc>
        <w:tc>
          <w:tcPr>
            <w:tcW w:w="299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Economy seriously affected by the economic and debt crisis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competition from southern and eastern countries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Dispersion of R&amp;D investments and absence of priorities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Migration of highly skilled work force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Significant differences among regions regarding R&amp;D potentials</w:t>
            </w:r>
          </w:p>
          <w:p w:rsidR="00DF4E40" w:rsidRPr="00A30AEC" w:rsidRDefault="00DF4E40" w:rsidP="00AA3E9A">
            <w:pPr>
              <w:jc w:val="left"/>
              <w:rPr>
                <w:rFonts w:ascii="Arial" w:hAnsi="Arial" w:cs="Arial"/>
                <w:sz w:val="20"/>
              </w:rPr>
            </w:pPr>
          </w:p>
        </w:tc>
      </w:tr>
      <w:tr w:rsidR="00DF4E40" w:rsidRPr="00F530CE" w:rsidTr="00396B2A">
        <w:tc>
          <w:tcPr>
            <w:tcW w:w="1780" w:type="dxa"/>
          </w:tcPr>
          <w:p w:rsidR="00DF4E40" w:rsidRPr="00A30AEC" w:rsidRDefault="00DF4E40" w:rsidP="00AA3E9A">
            <w:pPr>
              <w:jc w:val="left"/>
              <w:rPr>
                <w:rFonts w:ascii="Arial" w:hAnsi="Arial" w:cs="Arial"/>
                <w:b/>
                <w:sz w:val="20"/>
              </w:rPr>
            </w:pPr>
            <w:r w:rsidRPr="00A30AEC">
              <w:rPr>
                <w:rFonts w:ascii="Arial" w:hAnsi="Arial" w:cs="Arial"/>
                <w:b/>
                <w:sz w:val="20"/>
              </w:rPr>
              <w:t>Information and communication technologies</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Widening coverage of high-speed broadband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use of ICT by individuals and businesses</w:t>
            </w:r>
          </w:p>
        </w:tc>
        <w:tc>
          <w:tcPr>
            <w:tcW w:w="396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Limited access to broadband across the whole ADRION area especially in peripheral areas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Lower ICT skills of individuals than in other EU regions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Limited offers and use of online public services</w:t>
            </w:r>
          </w:p>
        </w:tc>
        <w:tc>
          <w:tcPr>
            <w:tcW w:w="3118"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Development of high-speed broadband financed by other funds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R&amp;D sectors specialised in ICT</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Young generation highly IT-literate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The use of ICT as enabling sector and a means to involve the citizen in the quadruple helix model (e.g. living labs)</w:t>
            </w:r>
          </w:p>
        </w:tc>
        <w:tc>
          <w:tcPr>
            <w:tcW w:w="299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Significant inequalities between regions and territories in term of ICT use</w:t>
            </w:r>
          </w:p>
          <w:p w:rsidR="00DF4E40" w:rsidRPr="00A30AEC" w:rsidRDefault="00DF4E40" w:rsidP="00AA3E9A">
            <w:pPr>
              <w:jc w:val="left"/>
              <w:rPr>
                <w:rFonts w:ascii="Arial" w:hAnsi="Arial" w:cs="Arial"/>
                <w:sz w:val="20"/>
              </w:rPr>
            </w:pPr>
          </w:p>
        </w:tc>
      </w:tr>
      <w:tr w:rsidR="00DF4E40" w:rsidRPr="00F530CE" w:rsidTr="00396B2A">
        <w:tc>
          <w:tcPr>
            <w:tcW w:w="1780" w:type="dxa"/>
          </w:tcPr>
          <w:p w:rsidR="00DF4E40" w:rsidRPr="00A30AEC" w:rsidRDefault="00DF4E40" w:rsidP="00AA3E9A">
            <w:pPr>
              <w:jc w:val="left"/>
              <w:rPr>
                <w:rFonts w:ascii="Arial" w:hAnsi="Arial" w:cs="Arial"/>
                <w:b/>
                <w:sz w:val="20"/>
              </w:rPr>
            </w:pPr>
            <w:r w:rsidRPr="00A30AEC">
              <w:rPr>
                <w:rFonts w:ascii="Arial" w:hAnsi="Arial" w:cs="Arial"/>
                <w:b/>
                <w:sz w:val="20"/>
              </w:rPr>
              <w:t>Competitiveness of SMEs</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Appeal of the ADRION area which is essential for the tourism</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Highly competitive regions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Positive results of policy support for businesses (business innovation and competitiveness)</w:t>
            </w:r>
          </w:p>
        </w:tc>
        <w:tc>
          <w:tcPr>
            <w:tcW w:w="396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Strong influence of traditional business (low and medium technology sectors)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Incremental innovation producing limited added value in SMEs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productivity of business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Majority of SMEs poorly integrated in international networks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Wide regional disparities and regions with low competitiveness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Limited understanding of the importance of intellectual property</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Limited sectoral/ cross-sectoral specialisations</w:t>
            </w:r>
          </w:p>
        </w:tc>
        <w:tc>
          <w:tcPr>
            <w:tcW w:w="3118"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High business rate creation in some ADRION regions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clustering of SMEs</w:t>
            </w:r>
          </w:p>
          <w:p w:rsidR="00DF4E40" w:rsidRPr="00A30AEC" w:rsidRDefault="00DF4E40" w:rsidP="00AA3E9A">
            <w:pPr>
              <w:jc w:val="left"/>
              <w:rPr>
                <w:rFonts w:ascii="Arial" w:hAnsi="Arial" w:cs="Arial"/>
                <w:sz w:val="20"/>
              </w:rPr>
            </w:pPr>
          </w:p>
        </w:tc>
        <w:tc>
          <w:tcPr>
            <w:tcW w:w="299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Serious recession in the majority of ADRION regions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Difficulties of businesses to access to finance</w:t>
            </w:r>
          </w:p>
        </w:tc>
      </w:tr>
    </w:tbl>
    <w:p w:rsidR="00DF4E40" w:rsidRPr="00304864" w:rsidRDefault="00DF4E40">
      <w:pPr>
        <w:rPr>
          <w:rFonts w:ascii="Arial" w:hAnsi="Arial" w:cs="Arial"/>
          <w:b/>
          <w:sz w:val="22"/>
          <w:szCs w:val="22"/>
        </w:rPr>
      </w:pPr>
    </w:p>
    <w:p w:rsidR="00DF4E40" w:rsidRPr="00304864" w:rsidRDefault="00DF4E40">
      <w:pPr>
        <w:rPr>
          <w:rFonts w:ascii="Arial" w:hAnsi="Arial" w:cs="Arial"/>
          <w:b/>
          <w:sz w:val="22"/>
          <w:szCs w:val="22"/>
        </w:rPr>
      </w:pPr>
    </w:p>
    <w:p w:rsidR="00DF4E40" w:rsidRPr="00304864" w:rsidRDefault="00DF4E40">
      <w:pPr>
        <w:rPr>
          <w:rFonts w:ascii="Arial" w:hAnsi="Arial" w:cs="Arial"/>
          <w:b/>
          <w:sz w:val="22"/>
          <w:szCs w:val="22"/>
        </w:rPr>
      </w:pPr>
      <w:r w:rsidRPr="00304864">
        <w:rPr>
          <w:rFonts w:ascii="Arial" w:hAnsi="Arial" w:cs="Arial"/>
          <w:b/>
          <w:sz w:val="22"/>
          <w:szCs w:val="22"/>
        </w:rPr>
        <w:t>Sustainable growth</w:t>
      </w:r>
    </w:p>
    <w:tbl>
      <w:tblPr>
        <w:tblW w:w="149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0"/>
        <w:gridCol w:w="3119"/>
        <w:gridCol w:w="3969"/>
        <w:gridCol w:w="3118"/>
        <w:gridCol w:w="2999"/>
      </w:tblGrid>
      <w:tr w:rsidR="00DF4E40" w:rsidRPr="00F530CE" w:rsidTr="00A961B0">
        <w:trPr>
          <w:tblHeader/>
        </w:trPr>
        <w:tc>
          <w:tcPr>
            <w:tcW w:w="1780" w:type="dxa"/>
            <w:shd w:val="clear" w:color="auto" w:fill="D6E3BC"/>
          </w:tcPr>
          <w:p w:rsidR="00DF4E40" w:rsidRPr="00A30AEC" w:rsidRDefault="00DF4E40">
            <w:pPr>
              <w:jc w:val="center"/>
              <w:rPr>
                <w:rFonts w:ascii="Arial" w:hAnsi="Arial" w:cs="Arial"/>
                <w:b/>
                <w:sz w:val="20"/>
              </w:rPr>
            </w:pPr>
          </w:p>
        </w:tc>
        <w:tc>
          <w:tcPr>
            <w:tcW w:w="3119" w:type="dxa"/>
            <w:shd w:val="clear" w:color="auto" w:fill="D6E3BC"/>
          </w:tcPr>
          <w:p w:rsidR="00DF4E40" w:rsidRPr="00A30AEC" w:rsidRDefault="00DF4E40">
            <w:pPr>
              <w:jc w:val="center"/>
              <w:rPr>
                <w:rFonts w:ascii="Arial" w:hAnsi="Arial" w:cs="Arial"/>
                <w:b/>
                <w:sz w:val="20"/>
              </w:rPr>
            </w:pPr>
            <w:r w:rsidRPr="00A30AEC">
              <w:rPr>
                <w:rFonts w:ascii="Arial" w:hAnsi="Arial" w:cs="Arial"/>
                <w:b/>
                <w:sz w:val="20"/>
              </w:rPr>
              <w:t>Strengths</w:t>
            </w:r>
          </w:p>
        </w:tc>
        <w:tc>
          <w:tcPr>
            <w:tcW w:w="3969" w:type="dxa"/>
            <w:shd w:val="clear" w:color="auto" w:fill="D6E3BC"/>
          </w:tcPr>
          <w:p w:rsidR="00DF4E40" w:rsidRPr="00A30AEC" w:rsidRDefault="00DF4E40">
            <w:pPr>
              <w:jc w:val="center"/>
              <w:rPr>
                <w:rFonts w:ascii="Arial" w:hAnsi="Arial" w:cs="Arial"/>
                <w:b/>
                <w:sz w:val="20"/>
              </w:rPr>
            </w:pPr>
            <w:r w:rsidRPr="00A30AEC">
              <w:rPr>
                <w:rFonts w:ascii="Arial" w:hAnsi="Arial" w:cs="Arial"/>
                <w:b/>
                <w:sz w:val="20"/>
              </w:rPr>
              <w:t>Weaknesses</w:t>
            </w:r>
          </w:p>
        </w:tc>
        <w:tc>
          <w:tcPr>
            <w:tcW w:w="3118" w:type="dxa"/>
            <w:shd w:val="clear" w:color="auto" w:fill="D6E3BC"/>
          </w:tcPr>
          <w:p w:rsidR="00DF4E40" w:rsidRPr="00A30AEC" w:rsidRDefault="00DF4E40">
            <w:pPr>
              <w:jc w:val="center"/>
              <w:rPr>
                <w:rFonts w:ascii="Arial" w:hAnsi="Arial" w:cs="Arial"/>
                <w:b/>
                <w:sz w:val="20"/>
              </w:rPr>
            </w:pPr>
            <w:r w:rsidRPr="00A30AEC">
              <w:rPr>
                <w:rFonts w:ascii="Arial" w:hAnsi="Arial" w:cs="Arial"/>
                <w:b/>
                <w:sz w:val="20"/>
              </w:rPr>
              <w:t>Opportunities</w:t>
            </w:r>
          </w:p>
        </w:tc>
        <w:tc>
          <w:tcPr>
            <w:tcW w:w="2999" w:type="dxa"/>
            <w:shd w:val="clear" w:color="auto" w:fill="D6E3BC"/>
          </w:tcPr>
          <w:p w:rsidR="00DF4E40" w:rsidRPr="00A30AEC" w:rsidRDefault="00DF4E40">
            <w:pPr>
              <w:jc w:val="center"/>
              <w:rPr>
                <w:rFonts w:ascii="Arial" w:hAnsi="Arial" w:cs="Arial"/>
                <w:b/>
                <w:sz w:val="20"/>
              </w:rPr>
            </w:pPr>
            <w:r w:rsidRPr="00A30AEC">
              <w:rPr>
                <w:rFonts w:ascii="Arial" w:hAnsi="Arial" w:cs="Arial"/>
                <w:b/>
                <w:sz w:val="20"/>
              </w:rPr>
              <w:t>Threats</w:t>
            </w:r>
          </w:p>
        </w:tc>
      </w:tr>
      <w:tr w:rsidR="00DF4E40" w:rsidRPr="00F530CE" w:rsidTr="00A961B0">
        <w:tc>
          <w:tcPr>
            <w:tcW w:w="1780" w:type="dxa"/>
          </w:tcPr>
          <w:p w:rsidR="00DF4E40" w:rsidRPr="00A30AEC" w:rsidRDefault="00DF4E40" w:rsidP="00AA3E9A">
            <w:pPr>
              <w:jc w:val="left"/>
              <w:rPr>
                <w:rFonts w:ascii="Arial" w:hAnsi="Arial" w:cs="Arial"/>
                <w:b/>
                <w:sz w:val="20"/>
              </w:rPr>
            </w:pPr>
            <w:r w:rsidRPr="00A30AEC">
              <w:rPr>
                <w:rFonts w:ascii="Arial" w:hAnsi="Arial" w:cs="Arial"/>
                <w:b/>
                <w:sz w:val="20"/>
              </w:rPr>
              <w:t>Low carbon economy and energy sector</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Favourable conditions for the production of renewable energy (climate, natural resources)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Increased awareness about the need for a shift towards a low carbon economy</w:t>
            </w:r>
          </w:p>
        </w:tc>
        <w:tc>
          <w:tcPr>
            <w:tcW w:w="396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Green-house gas index much higher than the EU average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Insufficient development of renewable energy</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Relatively high degree of energy dependence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energy efficiency compared to the EU average</w:t>
            </w:r>
          </w:p>
        </w:tc>
        <w:tc>
          <w:tcPr>
            <w:tcW w:w="3118"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Development potential for renewable energy not fully exploited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ADRION countries committed to reduce GHG emissions</w:t>
            </w:r>
          </w:p>
        </w:tc>
        <w:tc>
          <w:tcPr>
            <w:tcW w:w="299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Significant increase in the cost of low carbon energy</w:t>
            </w:r>
          </w:p>
        </w:tc>
      </w:tr>
      <w:tr w:rsidR="00DF4E40" w:rsidRPr="00F530CE" w:rsidTr="00940BB9">
        <w:tc>
          <w:tcPr>
            <w:tcW w:w="1780" w:type="dxa"/>
          </w:tcPr>
          <w:p w:rsidR="00DF4E40" w:rsidRPr="00A30AEC" w:rsidRDefault="00DF4E40" w:rsidP="00AA3E9A">
            <w:pPr>
              <w:jc w:val="left"/>
              <w:rPr>
                <w:rFonts w:ascii="Arial" w:hAnsi="Arial" w:cs="Arial"/>
                <w:b/>
                <w:sz w:val="20"/>
              </w:rPr>
            </w:pPr>
            <w:r w:rsidRPr="00A30AEC">
              <w:rPr>
                <w:rFonts w:ascii="Arial" w:hAnsi="Arial" w:cs="Arial"/>
                <w:b/>
                <w:sz w:val="20"/>
              </w:rPr>
              <w:t>Climate change and risks</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Existence of a European framework and national policies for the reduction of C02 emissions</w:t>
            </w:r>
          </w:p>
        </w:tc>
        <w:tc>
          <w:tcPr>
            <w:tcW w:w="396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ADRION area strongly confronted to natural risks (floods, drought, fire, storms, earthquakes)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Climate Change Adaptation Capacity</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interoperability of Civil Protection organisations</w:t>
            </w:r>
          </w:p>
          <w:p w:rsidR="00DF4E40" w:rsidRPr="00A30AEC" w:rsidRDefault="00DF4E40" w:rsidP="00AA3E9A">
            <w:pPr>
              <w:jc w:val="left"/>
              <w:rPr>
                <w:rFonts w:ascii="Arial" w:hAnsi="Arial" w:cs="Arial"/>
                <w:sz w:val="20"/>
              </w:rPr>
            </w:pPr>
          </w:p>
        </w:tc>
        <w:tc>
          <w:tcPr>
            <w:tcW w:w="3118"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commitment to sustainable development</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Emergence of low-cost effective technologies for risk early warning, communication and interoperability (e.g. remote sensing)</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Increased engagement of civil society in risk management and emergency preparedness and response</w:t>
            </w:r>
          </w:p>
        </w:tc>
        <w:tc>
          <w:tcPr>
            <w:tcW w:w="299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Increased risk of natural disasters due to the mutually reinforcing effect of hazards (e.g. climate change, floods, drought, forest fires and erosion)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 costs involved in repairing the damage caused by natural disasters</w:t>
            </w:r>
          </w:p>
        </w:tc>
      </w:tr>
      <w:tr w:rsidR="00DF4E40" w:rsidRPr="00F530CE" w:rsidTr="00940BB9">
        <w:tc>
          <w:tcPr>
            <w:tcW w:w="1780" w:type="dxa"/>
          </w:tcPr>
          <w:p w:rsidR="00DF4E40" w:rsidRPr="00A30AEC" w:rsidRDefault="00DF4E40" w:rsidP="00AA3E9A">
            <w:pPr>
              <w:jc w:val="left"/>
              <w:rPr>
                <w:rFonts w:ascii="Arial" w:hAnsi="Arial" w:cs="Arial"/>
                <w:b/>
                <w:sz w:val="20"/>
              </w:rPr>
            </w:pPr>
            <w:r w:rsidRPr="00A30AEC">
              <w:rPr>
                <w:rFonts w:ascii="Arial" w:hAnsi="Arial" w:cs="Arial"/>
                <w:b/>
                <w:sz w:val="20"/>
              </w:rPr>
              <w:t>Protection of the environment, natural and cultural heritage</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Very rich environmental and cultural heritage (sea, mountains, forests, wetlands, cultural landscapes)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Many protected areas (NATURA 2000 and global (UNESCO) importance)</w:t>
            </w:r>
          </w:p>
        </w:tc>
        <w:tc>
          <w:tcPr>
            <w:tcW w:w="396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Degradation of fragile areas, landscapes, notably coastal areas, eutrophication and pollution of maritime areas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Growing households waste production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Waste recycling remains lower than the EU average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Urban growth and sprawl stressing natural and cultural heritage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Low air quality and high concentrations of particulate matter, ozone, SO2 and NO2 in cities </w:t>
            </w:r>
          </w:p>
          <w:p w:rsidR="00DF4E40" w:rsidRPr="00A30AEC" w:rsidRDefault="00DF4E40" w:rsidP="00AA3E9A">
            <w:pPr>
              <w:ind w:left="-18"/>
              <w:jc w:val="left"/>
              <w:rPr>
                <w:rFonts w:ascii="Arial" w:hAnsi="Arial" w:cs="Arial"/>
                <w:sz w:val="20"/>
              </w:rPr>
            </w:pPr>
          </w:p>
        </w:tc>
        <w:tc>
          <w:tcPr>
            <w:tcW w:w="3118"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Development environmental protection measures (protected areas)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Potential of NATURA and Emerald Networks still to be operationally fully exploited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Investment in air quality triggering multiple benefits as demonstrated in the Clean Air policy package (e.g. for ecosystems, tourism, cultural heritage, crop yields etc.)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Shift from traditional waste processing towards cleaner methods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awareness especially among the younger population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 demand and prices might encourage re-use and renovation of existing building stock</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Preservation/renovation and reuse should take precedence over new construction</w:t>
            </w:r>
          </w:p>
        </w:tc>
        <w:tc>
          <w:tcPr>
            <w:tcW w:w="299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Risk of increasing environmental pollution due to increase in tourism and agriculture activities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Increasingly poorer air quality</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scarcity of water resources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urban sprawl</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cost of recycling and waste re-use methods due to complexity of products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Increased human use especially of the coastal and marine space for recreation, housing, transport and fishing/aquacultures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and cumulative pressure on biodiversity</w:t>
            </w:r>
          </w:p>
        </w:tc>
      </w:tr>
      <w:tr w:rsidR="00DF4E40" w:rsidRPr="00F530CE" w:rsidTr="00940BB9">
        <w:tc>
          <w:tcPr>
            <w:tcW w:w="1780" w:type="dxa"/>
          </w:tcPr>
          <w:p w:rsidR="00DF4E40" w:rsidRPr="00A30AEC" w:rsidRDefault="00DF4E40" w:rsidP="00AA3E9A">
            <w:pPr>
              <w:jc w:val="left"/>
              <w:rPr>
                <w:rFonts w:ascii="Arial" w:hAnsi="Arial" w:cs="Arial"/>
                <w:b/>
                <w:sz w:val="20"/>
              </w:rPr>
            </w:pPr>
            <w:r w:rsidRPr="00A30AEC">
              <w:rPr>
                <w:rFonts w:ascii="Arial" w:hAnsi="Arial" w:cs="Arial"/>
                <w:b/>
                <w:sz w:val="20"/>
              </w:rPr>
              <w:t>Transports</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Good level of road infrastructures especially in the North-South direction in the EU Member States whereas improvements are needed in the Partner States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Large network of port cities even if only some of them well equipped to deal with the flow of passengers and goods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Strategic geographical location between East Europe, Mediterranean and Asia </w:t>
            </w:r>
          </w:p>
        </w:tc>
        <w:tc>
          <w:tcPr>
            <w:tcW w:w="396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 difference in terms of satisfactory accessibility</w:t>
            </w:r>
            <w:r w:rsidR="00F530CE" w:rsidRPr="00AA3E9A">
              <w:rPr>
                <w:rFonts w:ascii="Arial" w:hAnsi="Arial" w:cs="Arial"/>
                <w:sz w:val="20"/>
                <w:lang w:val="en-GB"/>
              </w:rPr>
              <w:t xml:space="preserve">; </w:t>
            </w:r>
            <w:r w:rsidR="00F530CE">
              <w:rPr>
                <w:rFonts w:ascii="Arial" w:hAnsi="Arial" w:cs="Arial"/>
                <w:sz w:val="20"/>
                <w:lang w:val="en-GB"/>
              </w:rPr>
              <w:t>f</w:t>
            </w:r>
            <w:r w:rsidRPr="00A30AEC">
              <w:rPr>
                <w:rFonts w:ascii="Arial" w:hAnsi="Arial" w:cs="Arial"/>
                <w:sz w:val="20"/>
                <w:lang w:val="en-GB"/>
              </w:rPr>
              <w:t xml:space="preserve">or </w:t>
            </w:r>
            <w:r w:rsidR="00F530CE">
              <w:rPr>
                <w:rFonts w:ascii="Arial" w:hAnsi="Arial" w:cs="Arial"/>
                <w:sz w:val="20"/>
                <w:lang w:val="en-GB"/>
              </w:rPr>
              <w:t xml:space="preserve">IPA </w:t>
            </w:r>
            <w:r w:rsidR="009E59B0" w:rsidRPr="00A30AEC">
              <w:rPr>
                <w:rFonts w:ascii="Arial" w:hAnsi="Arial" w:cs="Arial"/>
                <w:sz w:val="20"/>
                <w:lang w:val="en-GB"/>
              </w:rPr>
              <w:t>Partner States</w:t>
            </w:r>
            <w:r w:rsidRPr="00A30AEC">
              <w:rPr>
                <w:rFonts w:ascii="Arial" w:hAnsi="Arial" w:cs="Arial"/>
                <w:sz w:val="20"/>
                <w:lang w:val="en-GB"/>
              </w:rPr>
              <w:t xml:space="preserve"> low resources allocated for the development and maintenance of railway infrastructure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Geographical fragmentation and isolation of numerous territories (islands, remote areas)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Badly managed urban development, notably in coastal areas relying on individual motorised traffic</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Lower density of the railway network than the EU average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multimodal accessibility</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Insufficient development of coastal maritime traffic</w:t>
            </w:r>
          </w:p>
        </w:tc>
        <w:tc>
          <w:tcPr>
            <w:tcW w:w="3118"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Good position of islands and ADRION regions as hubs for tourists and trade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Development of multimodal transport systems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Reinforcement of existing railway network</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ICT tools for sustainable and efficient “real-time” multimodal transport</w:t>
            </w:r>
          </w:p>
        </w:tc>
        <w:tc>
          <w:tcPr>
            <w:tcW w:w="299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Lack of European coordination of the communication system</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Fragmentation of the transport landscape depending on the EU accession process of the Partner States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Dominance of the road-bound transport  </w:t>
            </w:r>
          </w:p>
        </w:tc>
      </w:tr>
    </w:tbl>
    <w:p w:rsidR="00DF4E40" w:rsidRPr="00AA3E9A" w:rsidRDefault="00DF4E40" w:rsidP="00AA3E9A">
      <w:pPr>
        <w:rPr>
          <w:rFonts w:ascii="Arial" w:hAnsi="Arial" w:cs="Arial"/>
          <w:sz w:val="22"/>
          <w:szCs w:val="22"/>
        </w:rPr>
      </w:pPr>
    </w:p>
    <w:p w:rsidR="00DF4E40" w:rsidRPr="00AA3E9A" w:rsidRDefault="00DF4E40" w:rsidP="00AA3E9A">
      <w:pPr>
        <w:rPr>
          <w:rFonts w:ascii="Arial" w:hAnsi="Arial" w:cs="Arial"/>
          <w:b/>
          <w:sz w:val="22"/>
          <w:szCs w:val="22"/>
        </w:rPr>
      </w:pPr>
      <w:r w:rsidRPr="00AA3E9A">
        <w:rPr>
          <w:rFonts w:ascii="Arial" w:hAnsi="Arial" w:cs="Arial"/>
          <w:b/>
          <w:sz w:val="22"/>
          <w:szCs w:val="22"/>
        </w:rPr>
        <w:t>Inclusive growth</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3"/>
        <w:gridCol w:w="3346"/>
        <w:gridCol w:w="3202"/>
        <w:gridCol w:w="3075"/>
        <w:gridCol w:w="3091"/>
      </w:tblGrid>
      <w:tr w:rsidR="00DF4E40" w:rsidRPr="00F530CE" w:rsidTr="00A961B0">
        <w:tc>
          <w:tcPr>
            <w:tcW w:w="2064" w:type="dxa"/>
            <w:shd w:val="clear" w:color="auto" w:fill="F2DBDB"/>
          </w:tcPr>
          <w:p w:rsidR="00DF4E40" w:rsidRPr="00A30AEC" w:rsidRDefault="00DF4E40">
            <w:pPr>
              <w:jc w:val="center"/>
              <w:rPr>
                <w:rFonts w:ascii="Arial" w:hAnsi="Arial" w:cs="Arial"/>
                <w:b/>
                <w:sz w:val="20"/>
              </w:rPr>
            </w:pPr>
          </w:p>
        </w:tc>
        <w:tc>
          <w:tcPr>
            <w:tcW w:w="3402" w:type="dxa"/>
            <w:shd w:val="clear" w:color="auto" w:fill="F2DBDB"/>
          </w:tcPr>
          <w:p w:rsidR="00DF4E40" w:rsidRPr="00A30AEC" w:rsidRDefault="00DF4E40">
            <w:pPr>
              <w:jc w:val="center"/>
              <w:rPr>
                <w:rFonts w:ascii="Arial" w:hAnsi="Arial" w:cs="Arial"/>
                <w:b/>
                <w:sz w:val="20"/>
              </w:rPr>
            </w:pPr>
            <w:r w:rsidRPr="00A30AEC">
              <w:rPr>
                <w:rFonts w:ascii="Arial" w:hAnsi="Arial" w:cs="Arial"/>
                <w:b/>
                <w:sz w:val="20"/>
              </w:rPr>
              <w:t>Strengths</w:t>
            </w:r>
          </w:p>
        </w:tc>
        <w:tc>
          <w:tcPr>
            <w:tcW w:w="3260" w:type="dxa"/>
            <w:shd w:val="clear" w:color="auto" w:fill="F2DBDB"/>
          </w:tcPr>
          <w:p w:rsidR="00DF4E40" w:rsidRPr="00A30AEC" w:rsidRDefault="00DF4E40">
            <w:pPr>
              <w:jc w:val="center"/>
              <w:rPr>
                <w:rFonts w:ascii="Arial" w:hAnsi="Arial" w:cs="Arial"/>
                <w:b/>
                <w:sz w:val="20"/>
              </w:rPr>
            </w:pPr>
            <w:r w:rsidRPr="00A30AEC">
              <w:rPr>
                <w:rFonts w:ascii="Arial" w:hAnsi="Arial" w:cs="Arial"/>
                <w:b/>
                <w:sz w:val="20"/>
              </w:rPr>
              <w:t>Weaknesses</w:t>
            </w:r>
          </w:p>
        </w:tc>
        <w:tc>
          <w:tcPr>
            <w:tcW w:w="3119" w:type="dxa"/>
            <w:shd w:val="clear" w:color="auto" w:fill="F2DBDB"/>
          </w:tcPr>
          <w:p w:rsidR="00DF4E40" w:rsidRPr="00A30AEC" w:rsidRDefault="00DF4E40">
            <w:pPr>
              <w:jc w:val="center"/>
              <w:rPr>
                <w:rFonts w:ascii="Arial" w:hAnsi="Arial" w:cs="Arial"/>
                <w:b/>
                <w:sz w:val="20"/>
              </w:rPr>
            </w:pPr>
            <w:r w:rsidRPr="00A30AEC">
              <w:rPr>
                <w:rFonts w:ascii="Arial" w:hAnsi="Arial" w:cs="Arial"/>
                <w:b/>
                <w:sz w:val="20"/>
              </w:rPr>
              <w:t>Opportunities</w:t>
            </w:r>
          </w:p>
        </w:tc>
        <w:tc>
          <w:tcPr>
            <w:tcW w:w="3140" w:type="dxa"/>
            <w:shd w:val="clear" w:color="auto" w:fill="F2DBDB"/>
          </w:tcPr>
          <w:p w:rsidR="00DF4E40" w:rsidRPr="00A30AEC" w:rsidRDefault="00DF4E40">
            <w:pPr>
              <w:jc w:val="center"/>
              <w:rPr>
                <w:rFonts w:ascii="Arial" w:hAnsi="Arial" w:cs="Arial"/>
                <w:b/>
                <w:sz w:val="20"/>
              </w:rPr>
            </w:pPr>
            <w:r w:rsidRPr="00A30AEC">
              <w:rPr>
                <w:rFonts w:ascii="Arial" w:hAnsi="Arial" w:cs="Arial"/>
                <w:b/>
                <w:sz w:val="20"/>
              </w:rPr>
              <w:t>Threats</w:t>
            </w:r>
          </w:p>
        </w:tc>
      </w:tr>
      <w:tr w:rsidR="00DF4E40" w:rsidRPr="00F530CE" w:rsidTr="00396B2A">
        <w:tc>
          <w:tcPr>
            <w:tcW w:w="2064" w:type="dxa"/>
          </w:tcPr>
          <w:p w:rsidR="00DF4E40" w:rsidRPr="00A30AEC" w:rsidRDefault="00DF4E40" w:rsidP="00AA3E9A">
            <w:pPr>
              <w:jc w:val="left"/>
              <w:rPr>
                <w:rFonts w:ascii="Arial" w:hAnsi="Arial" w:cs="Arial"/>
                <w:b/>
                <w:sz w:val="20"/>
              </w:rPr>
            </w:pPr>
            <w:r w:rsidRPr="00A30AEC">
              <w:rPr>
                <w:rFonts w:ascii="Arial" w:hAnsi="Arial" w:cs="Arial"/>
                <w:b/>
                <w:sz w:val="20"/>
              </w:rPr>
              <w:t>Employment and labour mobility</w:t>
            </w:r>
          </w:p>
        </w:tc>
        <w:tc>
          <w:tcPr>
            <w:tcW w:w="3402"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 level mobility of students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 number of self-employed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Culture of labour mobility</w:t>
            </w:r>
          </w:p>
        </w:tc>
        <w:tc>
          <w:tcPr>
            <w:tcW w:w="3260"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Low employment level, especially for young people and women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 territorial disparities for unemployment levels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High long term unemployment rate </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Simplified labour mobility within and between ADRION States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Opportunities offered by Blue Growth and tourism for local employment</w:t>
            </w:r>
          </w:p>
        </w:tc>
        <w:tc>
          <w:tcPr>
            <w:tcW w:w="3140"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Consequences of the financial crisis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Strong increase of the unemployment rate with the economic crisis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Drain of human resources, notably young people towards other EU countries</w:t>
            </w:r>
          </w:p>
        </w:tc>
      </w:tr>
      <w:tr w:rsidR="00DF4E40" w:rsidRPr="00F530CE" w:rsidTr="00396B2A">
        <w:tc>
          <w:tcPr>
            <w:tcW w:w="2064" w:type="dxa"/>
          </w:tcPr>
          <w:p w:rsidR="00DF4E40" w:rsidRPr="00A30AEC" w:rsidRDefault="00DF4E40" w:rsidP="00AA3E9A">
            <w:pPr>
              <w:jc w:val="left"/>
              <w:rPr>
                <w:rFonts w:ascii="Arial" w:hAnsi="Arial" w:cs="Arial"/>
                <w:b/>
                <w:sz w:val="20"/>
              </w:rPr>
            </w:pPr>
            <w:r w:rsidRPr="00A30AEC">
              <w:rPr>
                <w:rFonts w:ascii="Arial" w:hAnsi="Arial" w:cs="Arial"/>
                <w:b/>
                <w:sz w:val="20"/>
              </w:rPr>
              <w:t>Social inclusion and fight against poverty</w:t>
            </w:r>
          </w:p>
        </w:tc>
        <w:tc>
          <w:tcPr>
            <w:tcW w:w="3402"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Traditional intergenerational solidarity</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Important role played by the social and solidarity economy</w:t>
            </w:r>
          </w:p>
        </w:tc>
        <w:tc>
          <w:tcPr>
            <w:tcW w:w="3260"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 large percentage of the population at risk of poverty and social exclusion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Retreat of state social security systems either due to the crisis (EL, IT) or due to a paradigm shift (especially non-Member States)</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importance of emerging non-formal social networks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Emerging paradigm of social innovation and social society activation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Opportunities for endogenous development (blue and green growth and tourism) </w:t>
            </w:r>
          </w:p>
        </w:tc>
        <w:tc>
          <w:tcPr>
            <w:tcW w:w="3140"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Alarming human and social effects of the crisis and disintegration of the social fabric</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Weakened social and family ties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Erecting of obstacles and barriers to the just participation to the exploitation of the opportunities (legal barriers, financial obstacles) which can lead to the accentuation of the disparities in the society </w:t>
            </w:r>
          </w:p>
        </w:tc>
      </w:tr>
      <w:tr w:rsidR="00DF4E40" w:rsidRPr="00F530CE" w:rsidTr="00396B2A">
        <w:tc>
          <w:tcPr>
            <w:tcW w:w="2064" w:type="dxa"/>
          </w:tcPr>
          <w:p w:rsidR="00DF4E40" w:rsidRPr="00A30AEC" w:rsidRDefault="00DF4E40" w:rsidP="00AA3E9A">
            <w:pPr>
              <w:jc w:val="left"/>
              <w:rPr>
                <w:rFonts w:ascii="Arial" w:hAnsi="Arial" w:cs="Arial"/>
                <w:b/>
                <w:sz w:val="20"/>
              </w:rPr>
            </w:pPr>
            <w:r w:rsidRPr="00A30AEC">
              <w:rPr>
                <w:rFonts w:ascii="Arial" w:hAnsi="Arial" w:cs="Arial"/>
                <w:b/>
                <w:sz w:val="20"/>
              </w:rPr>
              <w:t>Skills and education</w:t>
            </w:r>
          </w:p>
        </w:tc>
        <w:tc>
          <w:tcPr>
            <w:tcW w:w="3402"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Higher education culturally praised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Full range of high quality and free training</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Good choice of professional training</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Rich traditional knowledge and skills</w:t>
            </w:r>
          </w:p>
        </w:tc>
        <w:tc>
          <w:tcPr>
            <w:tcW w:w="3260"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 level of early school leavers compared to the EU average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Higher education institutes ranking rather low globally with a few exceptions (e.g. Athens, Milano etc.)</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Mismatch between education supply and SMEs demand</w:t>
            </w:r>
          </w:p>
        </w:tc>
        <w:tc>
          <w:tcPr>
            <w:tcW w:w="311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Progressive decrease in the rate of early school leavers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Increasing recognition of the importance of skills assessment systems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Skill training in traditional arts, crafts, music, and other specific/traditional products and services (intangible cultural heritage)</w:t>
            </w:r>
          </w:p>
        </w:tc>
        <w:tc>
          <w:tcPr>
            <w:tcW w:w="3140"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Brain drain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Poor tendency of SMEs to invest in vocational and dual training</w:t>
            </w:r>
          </w:p>
        </w:tc>
      </w:tr>
    </w:tbl>
    <w:p w:rsidR="00DF4E40" w:rsidRPr="00AA3E9A" w:rsidRDefault="00DF4E40" w:rsidP="00AA3E9A">
      <w:pPr>
        <w:rPr>
          <w:rFonts w:ascii="Arial" w:hAnsi="Arial" w:cs="Arial"/>
          <w:b/>
          <w:sz w:val="22"/>
          <w:szCs w:val="22"/>
          <w:lang w:eastAsia="fr-BE"/>
        </w:rPr>
      </w:pPr>
    </w:p>
    <w:p w:rsidR="00F92654" w:rsidRDefault="00F92654">
      <w:pPr>
        <w:rPr>
          <w:rFonts w:ascii="Arial" w:hAnsi="Arial" w:cs="Arial"/>
          <w:b/>
          <w:sz w:val="22"/>
          <w:szCs w:val="22"/>
          <w:lang w:eastAsia="fr-BE"/>
        </w:rPr>
        <w:sectPr w:rsidR="00F92654" w:rsidSect="00A961B0">
          <w:pgSz w:w="16838" w:h="11906" w:orient="landscape"/>
          <w:pgMar w:top="1417" w:right="1134" w:bottom="1134" w:left="1134" w:header="601" w:footer="680" w:gutter="0"/>
          <w:cols w:space="720"/>
          <w:titlePg/>
          <w:docGrid w:linePitch="326"/>
        </w:sectPr>
      </w:pPr>
    </w:p>
    <w:p w:rsidR="00DF4E40" w:rsidRPr="00304864" w:rsidRDefault="00DF4E40">
      <w:pPr>
        <w:rPr>
          <w:rFonts w:ascii="Arial" w:hAnsi="Arial" w:cs="Arial"/>
          <w:b/>
          <w:sz w:val="22"/>
          <w:szCs w:val="22"/>
          <w:lang w:eastAsia="fr-BE"/>
        </w:rPr>
      </w:pPr>
      <w:bookmarkStart w:id="49" w:name="_Toc392685906"/>
      <w:r w:rsidRPr="00304864">
        <w:rPr>
          <w:rFonts w:ascii="Arial" w:hAnsi="Arial" w:cs="Arial"/>
          <w:b/>
          <w:sz w:val="22"/>
          <w:szCs w:val="22"/>
          <w:lang w:eastAsia="fr-BE"/>
        </w:rPr>
        <w:t>Summary of the main challenges and needs of the ADRION are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2"/>
        <w:gridCol w:w="6380"/>
        <w:gridCol w:w="7004"/>
      </w:tblGrid>
      <w:tr w:rsidR="00DF4E40" w:rsidRPr="00F530CE" w:rsidTr="00A961B0">
        <w:trPr>
          <w:tblHeader/>
        </w:trPr>
        <w:tc>
          <w:tcPr>
            <w:tcW w:w="1404" w:type="dxa"/>
            <w:shd w:val="clear" w:color="auto" w:fill="E5DFEC"/>
          </w:tcPr>
          <w:p w:rsidR="00DF4E40" w:rsidRPr="00A30AEC" w:rsidRDefault="00DF4E40">
            <w:pPr>
              <w:jc w:val="center"/>
              <w:rPr>
                <w:rFonts w:ascii="Arial" w:hAnsi="Arial" w:cs="Arial"/>
                <w:b/>
                <w:sz w:val="20"/>
                <w:lang w:eastAsia="fr-BE"/>
              </w:rPr>
            </w:pPr>
          </w:p>
        </w:tc>
        <w:tc>
          <w:tcPr>
            <w:tcW w:w="6501" w:type="dxa"/>
            <w:shd w:val="clear" w:color="auto" w:fill="E5DFEC"/>
          </w:tcPr>
          <w:p w:rsidR="00DF4E40" w:rsidRPr="00A30AEC" w:rsidRDefault="00DF4E40">
            <w:pPr>
              <w:jc w:val="center"/>
              <w:rPr>
                <w:rFonts w:ascii="Arial" w:hAnsi="Arial" w:cs="Arial"/>
                <w:b/>
                <w:sz w:val="20"/>
                <w:lang w:eastAsia="fr-BE"/>
              </w:rPr>
            </w:pPr>
            <w:r w:rsidRPr="00A30AEC">
              <w:rPr>
                <w:rFonts w:ascii="Arial" w:hAnsi="Arial" w:cs="Arial"/>
                <w:b/>
                <w:sz w:val="20"/>
                <w:lang w:eastAsia="fr-BE"/>
              </w:rPr>
              <w:t>Main challenges</w:t>
            </w:r>
          </w:p>
        </w:tc>
        <w:tc>
          <w:tcPr>
            <w:tcW w:w="7109" w:type="dxa"/>
            <w:shd w:val="clear" w:color="auto" w:fill="E5DFEC"/>
          </w:tcPr>
          <w:p w:rsidR="00DF4E40" w:rsidRPr="00A30AEC" w:rsidRDefault="00DF4E40">
            <w:pPr>
              <w:jc w:val="center"/>
              <w:rPr>
                <w:rFonts w:ascii="Arial" w:hAnsi="Arial" w:cs="Arial"/>
                <w:b/>
                <w:sz w:val="20"/>
                <w:lang w:eastAsia="fr-BE"/>
              </w:rPr>
            </w:pPr>
            <w:r w:rsidRPr="00A30AEC">
              <w:rPr>
                <w:rFonts w:ascii="Arial" w:hAnsi="Arial" w:cs="Arial"/>
                <w:b/>
                <w:sz w:val="20"/>
                <w:lang w:eastAsia="fr-BE"/>
              </w:rPr>
              <w:t>Main needs</w:t>
            </w:r>
          </w:p>
        </w:tc>
      </w:tr>
      <w:tr w:rsidR="00DF4E40" w:rsidRPr="00F530CE" w:rsidTr="00396B2A">
        <w:tc>
          <w:tcPr>
            <w:tcW w:w="1404" w:type="dxa"/>
          </w:tcPr>
          <w:p w:rsidR="00DF4E40" w:rsidRPr="00A30AEC" w:rsidRDefault="00DF4E40" w:rsidP="00AA3E9A">
            <w:pPr>
              <w:rPr>
                <w:rFonts w:ascii="Arial" w:hAnsi="Arial" w:cs="Arial"/>
                <w:b/>
                <w:sz w:val="20"/>
                <w:lang w:eastAsia="fr-BE"/>
              </w:rPr>
            </w:pPr>
            <w:r w:rsidRPr="00A30AEC">
              <w:rPr>
                <w:rFonts w:ascii="Arial" w:hAnsi="Arial" w:cs="Arial"/>
                <w:b/>
                <w:sz w:val="20"/>
                <w:lang w:eastAsia="fr-BE"/>
              </w:rPr>
              <w:t>Smart growth</w:t>
            </w:r>
          </w:p>
        </w:tc>
        <w:tc>
          <w:tcPr>
            <w:tcW w:w="6501"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Catch-up with the EU average and achieve the EU2020 Objectives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Pooling existing and planned research infrastructures into distributed partner facilities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Provide the transnational setting and facilitate the implementation of the EUSAIR Action Plan (innovation and research dimension is mainly related to Pillar 1 and 3)</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Sustainably exploit the opportunities derived by the Blue and Green Growth approaches related to the comparative advantages of the area</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Development of ADRION innovation communities and chains in relation to the innovation status of each region (from “low tech” to “market leader especially in the context of new innovation areas and approaches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Exploitation of the baseline provided by the</w:t>
            </w:r>
            <w:r w:rsidRPr="00A30AEC">
              <w:rPr>
                <w:rFonts w:ascii="Arial" w:hAnsi="Arial" w:cs="Arial"/>
                <w:bCs/>
                <w:sz w:val="20"/>
                <w:lang w:val="en-GB"/>
              </w:rPr>
              <w:t xml:space="preserve"> Research and Innovation Strategies for Smart Specialisation</w:t>
            </w:r>
            <w:r w:rsidRPr="00A30AEC">
              <w:rPr>
                <w:rFonts w:ascii="Arial" w:hAnsi="Arial" w:cs="Arial"/>
                <w:sz w:val="20"/>
                <w:lang w:val="en-GB"/>
              </w:rPr>
              <w:t xml:space="preserve"> (RIS3) developed in the </w:t>
            </w:r>
            <w:r w:rsidR="00260BF4">
              <w:rPr>
                <w:rFonts w:ascii="Arial" w:hAnsi="Arial" w:cs="Arial"/>
                <w:sz w:val="20"/>
                <w:lang w:val="en-GB"/>
              </w:rPr>
              <w:t>FERS Partner States</w:t>
            </w:r>
            <w:r w:rsidRPr="00A30AEC">
              <w:rPr>
                <w:rFonts w:ascii="Arial" w:hAnsi="Arial" w:cs="Arial"/>
                <w:sz w:val="20"/>
                <w:lang w:val="en-GB"/>
              </w:rPr>
              <w:t xml:space="preserve"> and identification of smart specialisation topics and synergies with the </w:t>
            </w:r>
            <w:r w:rsidR="00260BF4">
              <w:rPr>
                <w:rFonts w:ascii="Arial" w:hAnsi="Arial" w:cs="Arial"/>
                <w:sz w:val="20"/>
                <w:lang w:val="en-GB"/>
              </w:rPr>
              <w:t>IPA Partner States</w:t>
            </w:r>
          </w:p>
          <w:p w:rsidR="00DF4E40" w:rsidRPr="00A30AEC" w:rsidRDefault="00DF4E40" w:rsidP="00AA3E9A">
            <w:pPr>
              <w:ind w:left="-18"/>
              <w:rPr>
                <w:rFonts w:ascii="Arial" w:hAnsi="Arial" w:cs="Arial"/>
                <w:sz w:val="20"/>
              </w:rPr>
            </w:pPr>
          </w:p>
        </w:tc>
        <w:tc>
          <w:tcPr>
            <w:tcW w:w="7109"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Increased adoption of innovation and technologies by SMEs: the tackling of this need is in line with ADRION objective of promoting business investment in R&amp;I</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Increased cooperation between research and industry; in line with ADRION objective of developing links and synergies between enterprises, research institutions and higher education, and supporting networking, science &amp; technology parks and incubators, clusters and open innovation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focus on food security issues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Commercialisation/utilisation of research (innovation); in line with ADRION objective of supporting product and service development as well as in line with RIS3; technological and applied research, pilot lines, early product validation actions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Development of smart specialisation strategies and examination of synergies among the various countries and regions; in line with ADRION objective on the use of RIS3 results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More emphasis on new innovation areas and approaches (Eco Innovation; Public Procurement for Innovation; Creative Industry; Service Industry and Social and Open Innovation, Procurement and Social Innovation); in line with ADRION objective to exploit social innovation, eco-innovation, public service applications and other new innovation support measures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Exchange of best practice of public administration technologies in e-governance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Innovation management support (IP advise, tech- transfer, prototyping, demonstrators, etc.); in line with ADRION objective of supporting product and service development; technological and applied research, pilot lines, early product validation actions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Development of technology transfer activities in some countries of ADRION area as well as increasing the investment readiness of entrepreneurs</w:t>
            </w:r>
          </w:p>
        </w:tc>
      </w:tr>
      <w:tr w:rsidR="00DF4E40" w:rsidRPr="00F530CE" w:rsidTr="00396B2A">
        <w:tc>
          <w:tcPr>
            <w:tcW w:w="1404" w:type="dxa"/>
          </w:tcPr>
          <w:p w:rsidR="00DF4E40" w:rsidRPr="00A30AEC" w:rsidRDefault="00DF4E40" w:rsidP="00AA3E9A">
            <w:pPr>
              <w:rPr>
                <w:rFonts w:ascii="Arial" w:hAnsi="Arial" w:cs="Arial"/>
                <w:b/>
                <w:sz w:val="20"/>
                <w:lang w:eastAsia="fr-BE"/>
              </w:rPr>
            </w:pPr>
            <w:r w:rsidRPr="00A30AEC">
              <w:rPr>
                <w:rFonts w:ascii="Arial" w:hAnsi="Arial" w:cs="Arial"/>
                <w:b/>
                <w:sz w:val="20"/>
                <w:lang w:eastAsia="fr-BE"/>
              </w:rPr>
              <w:t>Sustainable growth</w:t>
            </w:r>
          </w:p>
        </w:tc>
        <w:tc>
          <w:tcPr>
            <w:tcW w:w="6501"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Bring new topics in the agenda of the ADRION regions acting as a foresight and demonstration platform, thus increasing awareness, e.g. on the non-technical framework conditions for RES?? or the sustainable valorisation of the heritage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Identify a common denominator for the exchange of experience in the first place e.g. related to the need to address human pressures on the environment in relation to the maritime ecosystems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Develop transnational tools in tackling concrete aspects in the Programme area level where transnational cooperation is a multiplier of force e.g. related to environmental vulnerability, fragmentation of habitats and landscapes, risk management, land uses and resources consumption, etc.</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Introduce, test and evaluate innovative concepts, e.g. on ecosystem services, Blue and Green Growth in the praxis of development and cohesion policy, thus facilitating the achievement of EU standards and in general increasing good governance potentials also in the context of the EUSAIR</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Support the diversification and specialization of the territorial and accommodation offer</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Raise the market trends knowledge and marketing ability of the local tourism SME’s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Exploit the potentials of natural and cultural heritage as a development asset</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Better integrate among tourism development planning, environmental objectives and environmental goods management system</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Optimize the multimodal transport chain towards greener and safer transport dynamics and the efficiency of transport </w:t>
            </w:r>
            <w:r w:rsidR="00F530CE">
              <w:rPr>
                <w:rFonts w:ascii="Arial" w:hAnsi="Arial" w:cs="Arial"/>
                <w:sz w:val="20"/>
                <w:lang w:val="en-GB"/>
              </w:rPr>
              <w:t>i</w:t>
            </w:r>
            <w:r w:rsidRPr="00A30AEC">
              <w:rPr>
                <w:rFonts w:ascii="Arial" w:hAnsi="Arial" w:cs="Arial"/>
                <w:sz w:val="20"/>
                <w:lang w:val="en-GB"/>
              </w:rPr>
              <w:t xml:space="preserve">nfrastructures by the use of information systems and market-based incentives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Promote the creation of logistic systems through the implementation of integrated, interconnected and homogeneous terminal networks for logistics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Tackle the weak interconnection between ports and inland intermodal and logistics nodes (intermodal: water-rail, rail-road)</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Manage the tourists seasonal peaks to avoid congestion by providing a more integrated mobility supply thanks to ICT – ITS innovative tools extended to the Adriatic region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Reinforcing the interconnection among the ADRION airports </w:t>
            </w:r>
          </w:p>
        </w:tc>
        <w:tc>
          <w:tcPr>
            <w:tcW w:w="7109" w:type="dxa"/>
            <w:vAlign w:val="center"/>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Need to turn towards a post fossil (biopolymer) and low carbon economy allowing the </w:t>
            </w:r>
            <w:r w:rsidR="00260BF4">
              <w:rPr>
                <w:rFonts w:ascii="Arial" w:hAnsi="Arial" w:cs="Arial"/>
                <w:sz w:val="20"/>
                <w:lang w:val="en-GB"/>
              </w:rPr>
              <w:t xml:space="preserve">FERS Partner States </w:t>
            </w:r>
            <w:r w:rsidRPr="00A30AEC">
              <w:rPr>
                <w:rFonts w:ascii="Arial" w:hAnsi="Arial" w:cs="Arial"/>
                <w:sz w:val="20"/>
                <w:lang w:val="en-GB"/>
              </w:rPr>
              <w:t xml:space="preserve">to further focus on the decoupling of their economies, while assisting the </w:t>
            </w:r>
            <w:r w:rsidR="00F530CE">
              <w:rPr>
                <w:rFonts w:ascii="Arial" w:hAnsi="Arial" w:cs="Arial"/>
                <w:sz w:val="20"/>
                <w:lang w:val="en-GB"/>
              </w:rPr>
              <w:t xml:space="preserve">IPA </w:t>
            </w:r>
            <w:r w:rsidR="00260BF4">
              <w:rPr>
                <w:rFonts w:ascii="Arial" w:hAnsi="Arial" w:cs="Arial"/>
                <w:sz w:val="20"/>
                <w:lang w:val="en-GB"/>
              </w:rPr>
              <w:t>Partner States</w:t>
            </w:r>
            <w:r w:rsidRPr="00A30AEC">
              <w:rPr>
                <w:rFonts w:ascii="Arial" w:hAnsi="Arial" w:cs="Arial"/>
                <w:sz w:val="20"/>
                <w:lang w:val="en-GB"/>
              </w:rPr>
              <w:t xml:space="preserve"> to master the transition of their economies in that direction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Need to diversify the renewable energy resources potential and to enhance local approaches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Need to conciliate energy production with aims of protecting nature, landscape and biodiversity, with touristic interests and the various interests of local residents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Need to mobilise the cultural landscape and the richness of biodiversity as key assets of the area providing high quality of life and global attractiveness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Need to manage the high environmental vulnerability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effectively manage and protect biological diversity, genetic resources, species, and ecosystems at a transnational level</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 xml:space="preserve">Need to manage increased land and resources consumption </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reduce environmental risk by cutting emissions from vessels at sea or in port and of port infrastructure (e.g. Non Road Mobile Machinery) in line with the EUSAIR</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integrate ecosystem services, Blue and Green Growth principles in regional development planning and establish sustainable valorisation of natural and cultural assets as growth assets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elaborate common indicators and statistics to measure tourism demand and offer</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share commons tools to measure environmental impact of tourism activities (water, soil, waste)</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strengthen administrative capacity especially in the areas of maritime, inland-water transport and logistics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share methodologies for collecting data and common indicators to monitor transport and accessibility conditions</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simplify maritime transport procedures and to harmonize inland national transport legislations (border cross improvement)</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improve the port greening (monitoring system for the quality of emissions by shipping activities, adoption of common quality standards etc.)</w:t>
            </w:r>
          </w:p>
        </w:tc>
      </w:tr>
      <w:tr w:rsidR="00DF4E40" w:rsidRPr="00F530CE" w:rsidTr="00396B2A">
        <w:tc>
          <w:tcPr>
            <w:tcW w:w="1404" w:type="dxa"/>
          </w:tcPr>
          <w:p w:rsidR="00DF4E40" w:rsidRPr="00A30AEC" w:rsidRDefault="00DF4E40" w:rsidP="00AA3E9A">
            <w:pPr>
              <w:rPr>
                <w:rFonts w:ascii="Arial" w:hAnsi="Arial" w:cs="Arial"/>
                <w:b/>
                <w:sz w:val="20"/>
                <w:lang w:eastAsia="fr-BE"/>
              </w:rPr>
            </w:pPr>
            <w:r w:rsidRPr="00A30AEC">
              <w:rPr>
                <w:rFonts w:ascii="Arial" w:hAnsi="Arial" w:cs="Arial"/>
                <w:b/>
                <w:sz w:val="20"/>
                <w:lang w:eastAsia="fr-BE"/>
              </w:rPr>
              <w:t>Inclusive growth</w:t>
            </w:r>
          </w:p>
        </w:tc>
        <w:tc>
          <w:tcPr>
            <w:tcW w:w="6501" w:type="dxa"/>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Anticipate consequences of demographic change on economy, employment and quality of life (ageing population)</w:t>
            </w:r>
          </w:p>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Acknowledge increasing difficulties for the socioeconomic inclusion of young people, in particular in time of crisis</w:t>
            </w:r>
          </w:p>
          <w:p w:rsidR="00DF4E40" w:rsidRPr="00A30AEC" w:rsidRDefault="00DF4E40" w:rsidP="00A30AEC">
            <w:pPr>
              <w:pStyle w:val="ListParagraph"/>
              <w:numPr>
                <w:ilvl w:val="1"/>
                <w:numId w:val="95"/>
              </w:numPr>
              <w:ind w:left="124" w:hanging="142"/>
              <w:jc w:val="left"/>
              <w:rPr>
                <w:rFonts w:ascii="Arial" w:hAnsi="Arial" w:cs="Arial"/>
                <w:sz w:val="20"/>
                <w:lang w:val="en-GB" w:eastAsia="fr-BE"/>
              </w:rPr>
            </w:pPr>
            <w:r w:rsidRPr="00A30AEC">
              <w:rPr>
                <w:rFonts w:ascii="Arial" w:hAnsi="Arial" w:cs="Arial"/>
                <w:sz w:val="20"/>
                <w:lang w:val="en-GB"/>
              </w:rPr>
              <w:t>Allow all parts of society to participate in the exploitation of the opportunities and the allocation of the rewards</w:t>
            </w:r>
          </w:p>
        </w:tc>
        <w:tc>
          <w:tcPr>
            <w:tcW w:w="7109" w:type="dxa"/>
            <w:vAlign w:val="center"/>
          </w:tcPr>
          <w:p w:rsidR="00DF4E40" w:rsidRPr="00A30AEC" w:rsidRDefault="00DF4E40" w:rsidP="00A30AEC">
            <w:pPr>
              <w:pStyle w:val="ListParagraph"/>
              <w:numPr>
                <w:ilvl w:val="1"/>
                <w:numId w:val="95"/>
              </w:numPr>
              <w:ind w:left="124" w:hanging="142"/>
              <w:jc w:val="left"/>
              <w:rPr>
                <w:rFonts w:ascii="Arial" w:hAnsi="Arial" w:cs="Arial"/>
                <w:sz w:val="20"/>
                <w:lang w:val="en-GB"/>
              </w:rPr>
            </w:pPr>
            <w:r w:rsidRPr="00A30AEC">
              <w:rPr>
                <w:rFonts w:ascii="Arial" w:hAnsi="Arial" w:cs="Arial"/>
                <w:sz w:val="20"/>
                <w:lang w:val="en-GB"/>
              </w:rPr>
              <w:t>Need to better promote social innovation in connection with key socioeconomic sectors (agro-food, tourism, energy, transports, culture)</w:t>
            </w:r>
          </w:p>
          <w:p w:rsidR="00DF4E40" w:rsidRPr="00A30AEC" w:rsidRDefault="00DF4E40" w:rsidP="00A30AEC">
            <w:pPr>
              <w:pStyle w:val="ListParagraph"/>
              <w:numPr>
                <w:ilvl w:val="1"/>
                <w:numId w:val="95"/>
              </w:numPr>
              <w:ind w:left="124" w:hanging="142"/>
              <w:jc w:val="left"/>
              <w:rPr>
                <w:rFonts w:ascii="Arial" w:hAnsi="Arial" w:cs="Arial"/>
                <w:b/>
                <w:bCs/>
                <w:sz w:val="20"/>
                <w:lang w:val="en-GB"/>
              </w:rPr>
            </w:pPr>
            <w:r w:rsidRPr="00A30AEC">
              <w:rPr>
                <w:rFonts w:ascii="Arial" w:hAnsi="Arial" w:cs="Arial"/>
                <w:sz w:val="20"/>
                <w:lang w:val="en-GB"/>
              </w:rPr>
              <w:t>Need to better take into account socioeconomic issues and the needs of end users in the conception and implementation of sustainable development policies (environment, energy, transports)</w:t>
            </w:r>
          </w:p>
        </w:tc>
      </w:tr>
    </w:tbl>
    <w:p w:rsidR="00DF4E40" w:rsidRPr="00AA3E9A" w:rsidRDefault="00DF4E40" w:rsidP="00AA3E9A">
      <w:pPr>
        <w:rPr>
          <w:rFonts w:ascii="Arial" w:hAnsi="Arial" w:cs="Arial"/>
          <w:sz w:val="22"/>
          <w:szCs w:val="22"/>
        </w:rPr>
      </w:pPr>
    </w:p>
    <w:p w:rsidR="00F92654" w:rsidRDefault="00F92654">
      <w:pPr>
        <w:rPr>
          <w:rFonts w:ascii="Arial" w:hAnsi="Arial" w:cs="Arial"/>
          <w:sz w:val="22"/>
          <w:szCs w:val="22"/>
        </w:rPr>
        <w:sectPr w:rsidR="00F92654" w:rsidSect="00A961B0">
          <w:pgSz w:w="16838" w:h="11906" w:orient="landscape"/>
          <w:pgMar w:top="1417" w:right="1134" w:bottom="1134" w:left="1134" w:header="601" w:footer="680" w:gutter="0"/>
          <w:cols w:space="720"/>
          <w:titlePg/>
          <w:docGrid w:linePitch="326"/>
        </w:sectPr>
      </w:pPr>
    </w:p>
    <w:p w:rsidR="00DF4E40" w:rsidRPr="00A30AEC" w:rsidRDefault="00DF4E40">
      <w:pPr>
        <w:pStyle w:val="Heading3"/>
        <w:spacing w:before="0" w:after="120"/>
        <w:ind w:left="0"/>
        <w:rPr>
          <w:rFonts w:ascii="Arial" w:hAnsi="Arial" w:cs="Arial"/>
          <w:color w:val="002060"/>
          <w:sz w:val="22"/>
          <w:szCs w:val="22"/>
        </w:rPr>
      </w:pPr>
      <w:bookmarkStart w:id="50" w:name="_Toc365660106"/>
      <w:bookmarkStart w:id="51" w:name="_Toc366097031"/>
      <w:bookmarkStart w:id="52" w:name="_Toc377402545"/>
      <w:bookmarkStart w:id="53" w:name="_Toc420652480"/>
      <w:bookmarkStart w:id="54" w:name="_Toc421076832"/>
      <w:r w:rsidRPr="00A30AEC">
        <w:rPr>
          <w:rFonts w:ascii="Arial" w:hAnsi="Arial" w:cs="Arial"/>
          <w:color w:val="002060"/>
          <w:sz w:val="22"/>
          <w:szCs w:val="22"/>
        </w:rPr>
        <w:t>Strategy of the transnational ADRION programme</w:t>
      </w:r>
      <w:bookmarkEnd w:id="50"/>
      <w:bookmarkEnd w:id="51"/>
      <w:bookmarkEnd w:id="52"/>
      <w:bookmarkEnd w:id="53"/>
      <w:bookmarkEnd w:id="54"/>
    </w:p>
    <w:p w:rsidR="00DF4E40" w:rsidRPr="00A30AEC" w:rsidRDefault="00DF4E40" w:rsidP="00A30AEC">
      <w:pPr>
        <w:pStyle w:val="Heading3"/>
        <w:spacing w:before="0" w:after="120"/>
        <w:ind w:left="0"/>
        <w:rPr>
          <w:rFonts w:ascii="Arial" w:hAnsi="Arial" w:cs="Arial"/>
          <w:b w:val="0"/>
        </w:rPr>
      </w:pPr>
      <w:bookmarkStart w:id="55" w:name="_Toc365660107"/>
      <w:bookmarkStart w:id="56" w:name="_Toc420652481"/>
      <w:bookmarkStart w:id="57" w:name="_Toc421076833"/>
      <w:r w:rsidRPr="00304864">
        <w:rPr>
          <w:rFonts w:ascii="Arial" w:hAnsi="Arial" w:cs="Arial"/>
          <w:b w:val="0"/>
          <w:color w:val="002060"/>
          <w:sz w:val="22"/>
          <w:szCs w:val="22"/>
        </w:rPr>
        <w:t>Overall objective of the Programme</w:t>
      </w:r>
      <w:bookmarkEnd w:id="55"/>
      <w:bookmarkEnd w:id="56"/>
      <w:bookmarkEnd w:id="57"/>
    </w:p>
    <w:p w:rsidR="00DF4E40" w:rsidRPr="00304864" w:rsidRDefault="00DF4E40" w:rsidP="00AA3E9A">
      <w:pPr>
        <w:rPr>
          <w:rFonts w:ascii="Arial" w:hAnsi="Arial" w:cs="Arial"/>
          <w:sz w:val="22"/>
          <w:szCs w:val="22"/>
        </w:rPr>
      </w:pPr>
      <w:bookmarkStart w:id="58" w:name="_Toc365660108"/>
      <w:r w:rsidRPr="00AA3E9A">
        <w:rPr>
          <w:rFonts w:ascii="Arial" w:hAnsi="Arial" w:cs="Arial"/>
          <w:sz w:val="22"/>
          <w:szCs w:val="22"/>
        </w:rPr>
        <w:t>The overall Programme strategy is formulated in direct response to the EU2020 strategy of smart, sustainable and inclusive growth and its further revisions. Smart growth means improving the EU’s performance in education, research/inno</w:t>
      </w:r>
      <w:r w:rsidRPr="00304864">
        <w:rPr>
          <w:rFonts w:ascii="Arial" w:hAnsi="Arial" w:cs="Arial"/>
          <w:sz w:val="22"/>
          <w:szCs w:val="22"/>
        </w:rPr>
        <w:t xml:space="preserve">vation and digital society. Sustainable growth means building a more competitive low-carbon economy that makes efficient, sustainable use of resources. Inclusive growth means raising Europe’s employment rate – more and better jobs, especially for women, young people and older workers, helping people of all ages to raise the employment rate. Within the EU2020 Strategy the EU has set ambitious objectives to be reached by 2020 in five main areas: </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Employment: 75% of the 20-64 year-olds to be employed;</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Research and development: 3% of the EU’s GDP to be invested in R&amp;D;</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Climate change and energy sustainability: greenhouse gas emissions 20% (or even 30 percent, if the conditions are right) lower than 1990; 20% of energy from renewables, 20% increase in energy efficiency;</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Education: Reducing the rates of early school leavers below 10% and at least 40% of 30-34–year-olds completing third level education;</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Fighting poverty and social exclusion: at least 20 million fewer people in or at risk of poverty and social exclusion.</w:t>
      </w:r>
    </w:p>
    <w:p w:rsidR="00DF4E40" w:rsidRPr="00304864" w:rsidRDefault="00DF4E40" w:rsidP="00AA3E9A">
      <w:pPr>
        <w:rPr>
          <w:rFonts w:ascii="Arial" w:hAnsi="Arial" w:cs="Arial"/>
          <w:sz w:val="22"/>
          <w:szCs w:val="22"/>
        </w:rPr>
      </w:pPr>
      <w:r w:rsidRPr="00AA3E9A">
        <w:rPr>
          <w:rFonts w:ascii="Arial" w:hAnsi="Arial" w:cs="Arial"/>
          <w:sz w:val="22"/>
          <w:szCs w:val="22"/>
        </w:rPr>
        <w:t xml:space="preserve">In order to reach the envisaged EU2020 targets, all European regions must be actively involved. In this context, the Common Strategic Framework (CSF) of the EU cohesion policy (Article 10 and Annex I of the </w:t>
      </w:r>
      <w:r w:rsidRPr="00304864">
        <w:rPr>
          <w:rFonts w:ascii="Arial" w:hAnsi="Arial" w:cs="Arial"/>
          <w:sz w:val="22"/>
          <w:szCs w:val="22"/>
          <w:lang w:eastAsia="sv-SE"/>
        </w:rPr>
        <w:t>Regulation (EU) No 1303/2013</w:t>
      </w:r>
      <w:r w:rsidRPr="00304864">
        <w:rPr>
          <w:rFonts w:ascii="Arial" w:hAnsi="Arial" w:cs="Arial"/>
          <w:sz w:val="22"/>
          <w:szCs w:val="22"/>
        </w:rPr>
        <w:t xml:space="preserve">) provides the necessary investment framework and delivery system. </w:t>
      </w:r>
    </w:p>
    <w:p w:rsidR="00DF4E40" w:rsidRPr="00304864" w:rsidRDefault="00DF4E40">
      <w:pPr>
        <w:rPr>
          <w:rFonts w:ascii="Arial" w:hAnsi="Arial" w:cs="Arial"/>
          <w:sz w:val="22"/>
          <w:szCs w:val="22"/>
        </w:rPr>
      </w:pPr>
      <w:r w:rsidRPr="00304864">
        <w:rPr>
          <w:rFonts w:ascii="Arial" w:hAnsi="Arial" w:cs="Arial"/>
          <w:sz w:val="22"/>
          <w:szCs w:val="22"/>
        </w:rPr>
        <w:t xml:space="preserve">The overall objective of the ADRION Programme is to act as a policy driver and governance innovator fostering the European integration among </w:t>
      </w:r>
      <w:r w:rsidR="00260BF4" w:rsidRPr="00A30AEC">
        <w:rPr>
          <w:rFonts w:ascii="Arial" w:hAnsi="Arial" w:cs="Arial"/>
          <w:sz w:val="22"/>
          <w:szCs w:val="22"/>
        </w:rPr>
        <w:t xml:space="preserve">FERS </w:t>
      </w:r>
      <w:r w:rsidRPr="00304864">
        <w:rPr>
          <w:rFonts w:ascii="Arial" w:hAnsi="Arial" w:cs="Arial"/>
          <w:sz w:val="22"/>
          <w:szCs w:val="22"/>
        </w:rPr>
        <w:t xml:space="preserve">and </w:t>
      </w:r>
      <w:r w:rsidR="0023298C">
        <w:rPr>
          <w:rFonts w:ascii="Arial" w:hAnsi="Arial" w:cs="Arial"/>
          <w:sz w:val="22"/>
          <w:szCs w:val="22"/>
        </w:rPr>
        <w:t xml:space="preserve">IPA </w:t>
      </w:r>
      <w:r w:rsidR="00260BF4">
        <w:rPr>
          <w:rFonts w:ascii="Arial" w:hAnsi="Arial" w:cs="Arial"/>
          <w:sz w:val="22"/>
          <w:szCs w:val="22"/>
        </w:rPr>
        <w:t>Partner States</w:t>
      </w:r>
      <w:r w:rsidRPr="00AA3E9A">
        <w:rPr>
          <w:rFonts w:ascii="Arial" w:hAnsi="Arial" w:cs="Arial"/>
          <w:sz w:val="22"/>
          <w:szCs w:val="22"/>
        </w:rPr>
        <w:t>, taking advant</w:t>
      </w:r>
      <w:r w:rsidRPr="00304864">
        <w:rPr>
          <w:rFonts w:ascii="Arial" w:hAnsi="Arial" w:cs="Arial"/>
          <w:sz w:val="22"/>
          <w:szCs w:val="22"/>
        </w:rPr>
        <w:t>age from the rich natural, cultural and human resources surrounding the Adriatic and Ionian seas and enhancing economic, social and territorial cohesion in the Programme area.</w:t>
      </w:r>
    </w:p>
    <w:p w:rsidR="00DF4E40" w:rsidRPr="00304864" w:rsidRDefault="00DF4E40">
      <w:pPr>
        <w:rPr>
          <w:rFonts w:ascii="Arial" w:hAnsi="Arial" w:cs="Arial"/>
          <w:sz w:val="22"/>
          <w:szCs w:val="22"/>
        </w:rPr>
      </w:pPr>
      <w:r w:rsidRPr="00304864">
        <w:rPr>
          <w:rFonts w:ascii="Arial" w:hAnsi="Arial" w:cs="Arial"/>
          <w:sz w:val="22"/>
          <w:szCs w:val="22"/>
        </w:rPr>
        <w:t xml:space="preserve">The European Commission in its </w:t>
      </w:r>
      <w:r w:rsidR="0023298C">
        <w:rPr>
          <w:rFonts w:ascii="Arial" w:hAnsi="Arial" w:cs="Arial"/>
          <w:sz w:val="22"/>
          <w:szCs w:val="22"/>
        </w:rPr>
        <w:t>R</w:t>
      </w:r>
      <w:r w:rsidRPr="00AA3E9A">
        <w:rPr>
          <w:rFonts w:ascii="Arial" w:hAnsi="Arial" w:cs="Arial"/>
          <w:sz w:val="22"/>
          <w:szCs w:val="22"/>
        </w:rPr>
        <w:t xml:space="preserve">egulation </w:t>
      </w:r>
      <w:r w:rsidR="0023298C">
        <w:rPr>
          <w:rFonts w:ascii="Arial" w:hAnsi="Arial" w:cs="Arial"/>
          <w:sz w:val="22"/>
          <w:szCs w:val="22"/>
        </w:rPr>
        <w:t xml:space="preserve">No 1299/2013 </w:t>
      </w:r>
      <w:r w:rsidRPr="00AA3E9A">
        <w:rPr>
          <w:rFonts w:ascii="Arial" w:hAnsi="Arial" w:cs="Arial"/>
          <w:sz w:val="22"/>
          <w:szCs w:val="22"/>
        </w:rPr>
        <w:t>defines in the pream</w:t>
      </w:r>
      <w:r w:rsidRPr="00304864">
        <w:rPr>
          <w:rFonts w:ascii="Arial" w:hAnsi="Arial" w:cs="Arial"/>
          <w:sz w:val="22"/>
          <w:szCs w:val="22"/>
        </w:rPr>
        <w:t>ble that “</w:t>
      </w:r>
      <w:r w:rsidRPr="00304864">
        <w:rPr>
          <w:rFonts w:ascii="Arial" w:hAnsi="Arial" w:cs="Arial"/>
          <w:i/>
          <w:sz w:val="22"/>
          <w:szCs w:val="22"/>
        </w:rPr>
        <w:t>transnational cooperation should aim to strengthen cooperation by means of actions conducive to integrated territorial development linked to the Union’s cohesion policy priorities</w:t>
      </w:r>
      <w:r w:rsidRPr="00304864">
        <w:rPr>
          <w:rFonts w:ascii="Arial" w:hAnsi="Arial" w:cs="Arial"/>
          <w:sz w:val="22"/>
          <w:szCs w:val="22"/>
        </w:rPr>
        <w:t xml:space="preserve">”. </w:t>
      </w:r>
    </w:p>
    <w:p w:rsidR="00DF4E40" w:rsidRPr="00304864" w:rsidRDefault="00DF4E40">
      <w:pPr>
        <w:rPr>
          <w:rFonts w:ascii="Arial" w:hAnsi="Arial" w:cs="Arial"/>
          <w:sz w:val="22"/>
          <w:szCs w:val="22"/>
        </w:rPr>
      </w:pPr>
      <w:r w:rsidRPr="00304864">
        <w:rPr>
          <w:rFonts w:ascii="Arial" w:hAnsi="Arial" w:cs="Arial"/>
          <w:sz w:val="22"/>
          <w:szCs w:val="22"/>
        </w:rPr>
        <w:t>For smart growth, the ADRION Programme will give special attention to the promotion of innovation in a number of fields (e.g. Blue and Green Growth, energy, transport, tourism), which outline important competitive advantages of the area. It will support partnerships in order to strengthen clusters, networks, economic sectors, value chains, and increase the interaction among stakeholders in the Partner States.</w:t>
      </w:r>
    </w:p>
    <w:p w:rsidR="00DF4E40" w:rsidRPr="00304864" w:rsidRDefault="00DF4E40">
      <w:pPr>
        <w:rPr>
          <w:rFonts w:ascii="Arial" w:hAnsi="Arial" w:cs="Arial"/>
          <w:sz w:val="22"/>
          <w:szCs w:val="22"/>
        </w:rPr>
      </w:pPr>
      <w:r w:rsidRPr="00304864">
        <w:rPr>
          <w:rFonts w:ascii="Arial" w:hAnsi="Arial" w:cs="Arial"/>
          <w:sz w:val="22"/>
          <w:szCs w:val="22"/>
        </w:rPr>
        <w:t>Concerning sustainable growth, taking into account the pressure observed in urban, lowlands and coastal Adriatic and Ionian areas, the ADRION Programme will seek to conciliate the demand and pressure of different uses, promote low input/low emissions activities, exploit in a sustainable way renewable resources, reduce the impact of human activities on natural resources, and improve the protection of maritime and terrestrial biodiversity and habitats. In these fields, specific attention will be paid to the coordination with EU national and regional programmes in order to use existing inputs and disseminate the results of ADRION projects. In that respect, partners of transnational projects will have to be aware of regional needs and propose ways to disseminate their results towards regional mainstream programmes. Key in this aspect is the preparation of the ground through transnational actions, especially in areas where transnational cooperation is absolutely necessary, as is the case of semi-closed sea interventions. In this respect, Maritime Spatial Planning, Integrated Coastal Zone Management, maritime safety, transport, energy or pollution of the Adriatic and Ionian Seas in conjunction to the EU Marine Strategy Framework Directive and the principles of UNEP MAP and the Barcelona Convention</w:t>
      </w:r>
      <w:r w:rsidRPr="00304864">
        <w:rPr>
          <w:rFonts w:ascii="Arial" w:hAnsi="Arial" w:cs="Arial"/>
          <w:color w:val="000000"/>
          <w:sz w:val="22"/>
          <w:szCs w:val="22"/>
        </w:rPr>
        <w:t xml:space="preserve"> can play a significant role.</w:t>
      </w:r>
    </w:p>
    <w:p w:rsidR="00DF4E40" w:rsidRPr="00304864" w:rsidRDefault="00DF4E40">
      <w:pPr>
        <w:rPr>
          <w:rFonts w:ascii="Arial" w:hAnsi="Arial" w:cs="Arial"/>
          <w:sz w:val="22"/>
          <w:szCs w:val="22"/>
        </w:rPr>
      </w:pPr>
      <w:r w:rsidRPr="00304864">
        <w:rPr>
          <w:rFonts w:ascii="Arial" w:hAnsi="Arial" w:cs="Arial"/>
          <w:sz w:val="22"/>
          <w:szCs w:val="22"/>
        </w:rPr>
        <w:t>The ADRION Programme addresses inclusive growth through the valorisation of competitive advantages and the creation of employment opportunities along with the enhancement of connectivity options and the protection of public environmental goods.</w:t>
      </w:r>
    </w:p>
    <w:p w:rsidR="00DF4E40" w:rsidRPr="00304864" w:rsidRDefault="00DF4E40">
      <w:pPr>
        <w:rPr>
          <w:rFonts w:ascii="Arial" w:hAnsi="Arial" w:cs="Arial"/>
          <w:sz w:val="22"/>
          <w:szCs w:val="22"/>
        </w:rPr>
      </w:pPr>
      <w:r w:rsidRPr="00304864">
        <w:rPr>
          <w:rFonts w:ascii="Arial" w:hAnsi="Arial" w:cs="Arial"/>
          <w:sz w:val="22"/>
          <w:szCs w:val="22"/>
        </w:rPr>
        <w:t>Among the Seven Flagship Initiatives identified by the EU2020 strategy, the ADRION Programme objectives will be aligned with the Innovation Union to improve framework conditions for research and innovation, to the Resource Efficient Europe to help decoupling economic growth from the use of resources.</w:t>
      </w:r>
    </w:p>
    <w:p w:rsidR="00DF4E40" w:rsidRPr="00304864" w:rsidRDefault="00DF4E40">
      <w:pPr>
        <w:rPr>
          <w:rFonts w:ascii="Arial" w:hAnsi="Arial" w:cs="Arial"/>
          <w:sz w:val="22"/>
          <w:szCs w:val="22"/>
        </w:rPr>
      </w:pPr>
      <w:r w:rsidRPr="00304864">
        <w:rPr>
          <w:rFonts w:ascii="Arial" w:hAnsi="Arial" w:cs="Arial"/>
          <w:sz w:val="22"/>
          <w:szCs w:val="22"/>
        </w:rPr>
        <w:t>Transnational cooperation is nevertheless characterised by some inherent challenges, which can be summarised as: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Coverage of large areas with a high diversity of regions and often conflicting interests;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Limited budgets in relation to the covered area, population and time frame, which often contradict the scope and objectives of cooperation initiatives;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Delivering mainly intangible results.</w:t>
      </w:r>
    </w:p>
    <w:p w:rsidR="00DF4E40" w:rsidRPr="00304864" w:rsidRDefault="00DF4E40" w:rsidP="00AA3E9A">
      <w:pPr>
        <w:rPr>
          <w:rFonts w:ascii="Arial" w:hAnsi="Arial" w:cs="Arial"/>
          <w:sz w:val="22"/>
          <w:szCs w:val="22"/>
        </w:rPr>
      </w:pPr>
      <w:r w:rsidRPr="00304864">
        <w:rPr>
          <w:rFonts w:ascii="Arial" w:hAnsi="Arial" w:cs="Arial"/>
          <w:sz w:val="22"/>
          <w:szCs w:val="22"/>
        </w:rPr>
        <w:t>In the case of the ADRION Programme, it has also to address the political dimension of the integration of the Western Balkans to the EU.</w:t>
      </w:r>
    </w:p>
    <w:p w:rsidR="00DF4E40" w:rsidRPr="00304864" w:rsidRDefault="00DF4E40">
      <w:pPr>
        <w:rPr>
          <w:rFonts w:ascii="Arial" w:hAnsi="Arial" w:cs="Arial"/>
          <w:sz w:val="22"/>
          <w:szCs w:val="22"/>
        </w:rPr>
      </w:pPr>
      <w:r w:rsidRPr="00304864">
        <w:rPr>
          <w:rFonts w:ascii="Arial" w:hAnsi="Arial" w:cs="Arial"/>
          <w:sz w:val="22"/>
          <w:szCs w:val="22"/>
        </w:rPr>
        <w:t>For these reasons, and because of the novelty of the programme, ADRION will:</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Focus on a limited number of TO</w:t>
      </w:r>
      <w:r w:rsidR="00587306">
        <w:rPr>
          <w:rFonts w:ascii="Arial" w:hAnsi="Arial" w:cs="Arial"/>
          <w:sz w:val="22"/>
          <w:szCs w:val="22"/>
          <w:lang w:val="en-US"/>
        </w:rPr>
        <w:t>s</w:t>
      </w:r>
      <w:r w:rsidRPr="00A30AEC">
        <w:rPr>
          <w:rFonts w:ascii="Arial" w:hAnsi="Arial" w:cs="Arial"/>
          <w:sz w:val="22"/>
          <w:szCs w:val="22"/>
          <w:lang w:val="en-US"/>
        </w:rPr>
        <w:t xml:space="preserve">, </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Give emphasis on the formation of partnerships supporting the integration of all Partner States,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Fully optimise synergies and complementarities among selected T</w:t>
      </w:r>
      <w:r w:rsidR="004A0CC2">
        <w:rPr>
          <w:rFonts w:ascii="Arial" w:hAnsi="Arial" w:cs="Arial"/>
          <w:sz w:val="22"/>
          <w:szCs w:val="22"/>
          <w:lang w:val="en-US"/>
        </w:rPr>
        <w:t>O</w:t>
      </w:r>
      <w:r w:rsidRPr="00A30AEC">
        <w:rPr>
          <w:rFonts w:ascii="Arial" w:hAnsi="Arial" w:cs="Arial"/>
          <w:sz w:val="22"/>
          <w:szCs w:val="22"/>
          <w:lang w:val="en-US"/>
        </w:rPr>
        <w:t>s, align them to the pillars of the EUSAIR and mobilise follow-up activities implemented under the ADRION label.</w:t>
      </w:r>
    </w:p>
    <w:p w:rsidR="00DF4E40" w:rsidRPr="00304864" w:rsidRDefault="00DF4E40" w:rsidP="00AA3E9A">
      <w:pPr>
        <w:rPr>
          <w:rFonts w:ascii="Arial" w:hAnsi="Arial" w:cs="Arial"/>
          <w:sz w:val="22"/>
          <w:szCs w:val="22"/>
        </w:rPr>
      </w:pPr>
      <w:r w:rsidRPr="00AA3E9A">
        <w:rPr>
          <w:rFonts w:ascii="Arial" w:hAnsi="Arial" w:cs="Arial"/>
          <w:sz w:val="22"/>
          <w:szCs w:val="22"/>
        </w:rPr>
        <w:t xml:space="preserve">Furthermore, the territorial needs and challenges surrounding the transnational Programme area will be taken into </w:t>
      </w:r>
      <w:r w:rsidRPr="00304864">
        <w:rPr>
          <w:rFonts w:ascii="Arial" w:hAnsi="Arial" w:cs="Arial"/>
          <w:sz w:val="22"/>
          <w:szCs w:val="22"/>
        </w:rPr>
        <w:t xml:space="preserve">account. </w:t>
      </w:r>
    </w:p>
    <w:p w:rsidR="00DF4E40" w:rsidRPr="00304864" w:rsidRDefault="00DF4E40">
      <w:pPr>
        <w:rPr>
          <w:rFonts w:ascii="Arial" w:hAnsi="Arial" w:cs="Arial"/>
          <w:sz w:val="22"/>
          <w:szCs w:val="22"/>
        </w:rPr>
      </w:pPr>
      <w:r w:rsidRPr="00304864">
        <w:rPr>
          <w:rFonts w:ascii="Arial" w:hAnsi="Arial" w:cs="Arial"/>
          <w:sz w:val="22"/>
          <w:szCs w:val="22"/>
        </w:rPr>
        <w:t xml:space="preserve">The objective shall be to better identify development potential and bottlenecks in specific sectors (innovation, environment, tourism, accessibility and the interconnections among them) at transnational level, to support stakeholders promoting novel approaches and sharing knowledge. </w:t>
      </w: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Pr>
          <w:rFonts w:ascii="Arial" w:hAnsi="Arial" w:cs="Arial"/>
          <w:b w:val="0"/>
          <w:color w:val="002060"/>
          <w:sz w:val="22"/>
          <w:szCs w:val="22"/>
        </w:rPr>
      </w:pPr>
      <w:bookmarkStart w:id="59" w:name="_Toc401725429"/>
      <w:bookmarkStart w:id="60" w:name="_Toc420652482"/>
      <w:bookmarkStart w:id="61" w:name="_Toc421076834"/>
      <w:bookmarkEnd w:id="59"/>
      <w:r w:rsidRPr="00304864">
        <w:rPr>
          <w:rFonts w:ascii="Arial" w:hAnsi="Arial" w:cs="Arial"/>
          <w:b w:val="0"/>
          <w:color w:val="002060"/>
          <w:sz w:val="22"/>
          <w:szCs w:val="22"/>
        </w:rPr>
        <w:t>Type of contribution expected from the ADRION Programme</w:t>
      </w:r>
      <w:bookmarkEnd w:id="60"/>
      <w:bookmarkEnd w:id="61"/>
    </w:p>
    <w:p w:rsidR="00DF4E40" w:rsidRPr="00304864" w:rsidRDefault="00DF4E40" w:rsidP="00AA3E9A">
      <w:pPr>
        <w:rPr>
          <w:rFonts w:ascii="Arial" w:hAnsi="Arial" w:cs="Arial"/>
          <w:sz w:val="22"/>
          <w:szCs w:val="22"/>
        </w:rPr>
      </w:pPr>
      <w:r w:rsidRPr="00304864">
        <w:rPr>
          <w:rFonts w:ascii="Arial" w:hAnsi="Arial" w:cs="Arial"/>
          <w:sz w:val="22"/>
          <w:szCs w:val="22"/>
        </w:rPr>
        <w:t xml:space="preserve">As a transnational cooperation programme, its main contribution will be to exchange and transfer experiences between regions, support transnational interventions and capacity building, and ensure that results are disseminated and used beyond project partners reaching a large number of end-users. </w:t>
      </w:r>
    </w:p>
    <w:p w:rsidR="00DF4E40" w:rsidRPr="00304864" w:rsidRDefault="00DF4E40">
      <w:pPr>
        <w:rPr>
          <w:rFonts w:ascii="Arial" w:hAnsi="Arial" w:cs="Arial"/>
          <w:sz w:val="22"/>
          <w:szCs w:val="22"/>
        </w:rPr>
      </w:pPr>
      <w:r w:rsidRPr="00304864">
        <w:rPr>
          <w:rFonts w:ascii="Arial" w:hAnsi="Arial" w:cs="Arial"/>
          <w:sz w:val="22"/>
          <w:szCs w:val="22"/>
        </w:rPr>
        <w:t xml:space="preserve">The programme will especially support the constitution of multilevel and intersectoral working teams and partnerships to overcome administrative and sectoral bottlenecks, with the involvement of citizens, and local/regional/ national/international bodies. At territorial level, a key issue will be to reduce conflicts of land use that constitute one main aspect of sustainable development strategies (promotion of renewable energy, protection of natural and cultural heritage, reduction of carbon emissions, etc.). </w:t>
      </w:r>
    </w:p>
    <w:p w:rsidR="00DF4E40" w:rsidRPr="00304864" w:rsidRDefault="00DF4E40">
      <w:pPr>
        <w:rPr>
          <w:rFonts w:ascii="Arial" w:hAnsi="Arial" w:cs="Arial"/>
          <w:sz w:val="22"/>
          <w:szCs w:val="22"/>
        </w:rPr>
      </w:pPr>
      <w:r w:rsidRPr="00304864">
        <w:rPr>
          <w:rFonts w:ascii="Arial" w:hAnsi="Arial" w:cs="Arial"/>
          <w:sz w:val="22"/>
          <w:szCs w:val="22"/>
        </w:rPr>
        <w:t xml:space="preserve">Among the framework conditions for the implementation of actions, stakeholders must bear in mind that projects are not aimed to answer to the needs of a limited number of partners, but to contribute to better living conditions in ADRION territories (economic activities, quality of the environment, safety, etc.), thus focusing more on activities and results. </w:t>
      </w:r>
    </w:p>
    <w:p w:rsidR="00DF4E40" w:rsidRPr="00304864" w:rsidRDefault="00DF4E40">
      <w:pPr>
        <w:rPr>
          <w:rFonts w:ascii="Arial" w:hAnsi="Arial" w:cs="Arial"/>
          <w:sz w:val="22"/>
          <w:szCs w:val="22"/>
        </w:rPr>
      </w:pPr>
      <w:r w:rsidRPr="00304864">
        <w:rPr>
          <w:rFonts w:ascii="Arial" w:hAnsi="Arial" w:cs="Arial"/>
          <w:sz w:val="22"/>
          <w:szCs w:val="22"/>
        </w:rPr>
        <w:t xml:space="preserve">From the action and output point of view, taking into account its strategy, the ADRION Programme is mainly delivering: </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Networking structures;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Joint management systems and cooperation agreements;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Strategies and action plans;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Methodologies and tools</w:t>
      </w:r>
      <w:r w:rsidR="00587306">
        <w:rPr>
          <w:rFonts w:ascii="Arial" w:hAnsi="Arial" w:cs="Arial"/>
          <w:sz w:val="22"/>
          <w:szCs w:val="22"/>
          <w:lang w:val="en-US"/>
        </w:rPr>
        <w:t>;</w:t>
      </w:r>
      <w:r w:rsidRPr="00A30AEC">
        <w:rPr>
          <w:rFonts w:ascii="Arial" w:hAnsi="Arial" w:cs="Arial"/>
          <w:sz w:val="22"/>
          <w:szCs w:val="22"/>
          <w:lang w:val="en-US"/>
        </w:rPr>
        <w:t xml:space="preserve"> and</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Pilot actions.</w:t>
      </w:r>
    </w:p>
    <w:p w:rsidR="00DF4E40" w:rsidRPr="00304864" w:rsidRDefault="00DF4E40">
      <w:pPr>
        <w:rPr>
          <w:rFonts w:ascii="Arial" w:hAnsi="Arial" w:cs="Arial"/>
          <w:sz w:val="22"/>
          <w:szCs w:val="22"/>
        </w:rPr>
      </w:pPr>
      <w:r w:rsidRPr="00304864">
        <w:rPr>
          <w:rFonts w:ascii="Arial" w:hAnsi="Arial" w:cs="Arial"/>
          <w:sz w:val="22"/>
          <w:szCs w:val="22"/>
        </w:rPr>
        <w:t xml:space="preserve">As a transnational cooperation programme, the ADRION Programme will neither support heavy investments, development of large infrastructures nor scientific and technology research as such. Investments in small scales facilities or infrastructures might be supported in duly justified cases in the case of pilot projects and territorial experiences. The ADRION Programme shall support in particular intangible or “soft” actions which could potentially have a long term effect and contribute to the visibility to the Programme (studies and research, networking, dissemination of knowledge and data, etc.). </w:t>
      </w:r>
    </w:p>
    <w:p w:rsidR="00DF4E40" w:rsidRPr="00304864" w:rsidRDefault="00DF4E40">
      <w:pPr>
        <w:rPr>
          <w:rFonts w:ascii="Arial" w:hAnsi="Arial" w:cs="Arial"/>
          <w:sz w:val="22"/>
          <w:szCs w:val="22"/>
        </w:rPr>
      </w:pPr>
      <w:r w:rsidRPr="00304864">
        <w:rPr>
          <w:rFonts w:ascii="Arial" w:hAnsi="Arial" w:cs="Arial"/>
          <w:sz w:val="22"/>
          <w:szCs w:val="22"/>
        </w:rPr>
        <w:t xml:space="preserve">Regarding implementation of actions, there is a clear distinction between “beneficiaries” and “target groups” or “end-users”. In the context of the Programme, beneficiaries are bodies and organisations, which will be directly involved in the projects funded by the Programme and will be the ones to conceive, discuss and develop the deliverables described above. “Target groups” or “end-users” are bodies, groups and individuals who will use the outputs of the projects or will experience a change in their activities and lives because of the Programme outputs. </w:t>
      </w: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Pr>
          <w:rFonts w:ascii="Arial" w:hAnsi="Arial" w:cs="Arial"/>
          <w:b w:val="0"/>
          <w:color w:val="002060"/>
          <w:sz w:val="22"/>
          <w:szCs w:val="22"/>
        </w:rPr>
      </w:pPr>
      <w:bookmarkStart w:id="62" w:name="_Toc420652483"/>
      <w:bookmarkStart w:id="63" w:name="_Toc421076835"/>
      <w:r w:rsidRPr="00304864">
        <w:rPr>
          <w:rFonts w:ascii="Arial" w:hAnsi="Arial" w:cs="Arial"/>
          <w:b w:val="0"/>
          <w:color w:val="002060"/>
          <w:sz w:val="22"/>
          <w:szCs w:val="22"/>
        </w:rPr>
        <w:t>Selected Thematic Objectives, Investment Priorities and Specific Objectives</w:t>
      </w:r>
      <w:bookmarkEnd w:id="62"/>
      <w:bookmarkEnd w:id="63"/>
    </w:p>
    <w:p w:rsidR="00DF4E40" w:rsidRPr="00304864" w:rsidRDefault="00DF4E40" w:rsidP="00AA3E9A">
      <w:pPr>
        <w:rPr>
          <w:rFonts w:ascii="Arial" w:hAnsi="Arial" w:cs="Arial"/>
          <w:sz w:val="22"/>
          <w:szCs w:val="22"/>
        </w:rPr>
      </w:pPr>
      <w:r w:rsidRPr="00304864">
        <w:rPr>
          <w:rFonts w:ascii="Arial" w:hAnsi="Arial" w:cs="Arial"/>
          <w:sz w:val="22"/>
          <w:szCs w:val="22"/>
        </w:rPr>
        <w:t xml:space="preserve">For each TO, a set of specific Investment Priorities (IP) is pre-defined reflecting the challenges ADRION regions are facing. </w:t>
      </w:r>
    </w:p>
    <w:p w:rsidR="00DF4E40" w:rsidRPr="00304864" w:rsidRDefault="00DF4E40">
      <w:pPr>
        <w:rPr>
          <w:rFonts w:ascii="Arial" w:hAnsi="Arial" w:cs="Arial"/>
          <w:sz w:val="22"/>
          <w:szCs w:val="22"/>
        </w:rPr>
      </w:pPr>
      <w:r w:rsidRPr="00304864">
        <w:rPr>
          <w:rFonts w:ascii="Arial" w:hAnsi="Arial" w:cs="Arial"/>
          <w:sz w:val="22"/>
          <w:szCs w:val="22"/>
        </w:rPr>
        <w:t xml:space="preserve">The cornerstone for the selection of the TOs and IPs are: </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The diagnosis and needs identified for the ADRION area</w:t>
      </w:r>
      <w:r w:rsidR="0023298C">
        <w:rPr>
          <w:rFonts w:ascii="Arial" w:hAnsi="Arial" w:cs="Arial"/>
          <w:sz w:val="22"/>
          <w:szCs w:val="22"/>
          <w:lang w:val="en-US"/>
        </w:rPr>
        <w:t>;</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The lessons learnt from the period 2007-2013</w:t>
      </w:r>
      <w:r w:rsidR="0023298C">
        <w:rPr>
          <w:rFonts w:ascii="Arial" w:hAnsi="Arial" w:cs="Arial"/>
          <w:sz w:val="22"/>
          <w:szCs w:val="22"/>
          <w:lang w:val="en-US"/>
        </w:rPr>
        <w:t>;</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The application of thematic concentration on a small number of priorities as stipulated in the ETC regulation</w:t>
      </w:r>
      <w:r w:rsidR="0023298C">
        <w:rPr>
          <w:rFonts w:ascii="Arial" w:hAnsi="Arial" w:cs="Arial"/>
          <w:sz w:val="22"/>
          <w:szCs w:val="22"/>
          <w:lang w:val="en-US"/>
        </w:rPr>
        <w:t>;</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The complementarity with the EUSAIR and other EU Macro-regional strategies, regional and thematic programmes;</w:t>
      </w:r>
    </w:p>
    <w:p w:rsidR="00DF4E40" w:rsidRPr="00A30AEC" w:rsidRDefault="00DF4E40" w:rsidP="00A30AEC">
      <w:pPr>
        <w:pStyle w:val="ListParagraph"/>
        <w:numPr>
          <w:ilvl w:val="0"/>
          <w:numId w:val="128"/>
        </w:numPr>
        <w:ind w:left="426" w:hanging="283"/>
        <w:rPr>
          <w:rFonts w:ascii="Arial" w:hAnsi="Arial" w:cs="Arial"/>
          <w:sz w:val="22"/>
          <w:szCs w:val="22"/>
          <w:lang w:val="en-US"/>
        </w:rPr>
      </w:pPr>
      <w:r w:rsidRPr="00A30AEC">
        <w:rPr>
          <w:rFonts w:ascii="Arial" w:hAnsi="Arial" w:cs="Arial"/>
          <w:sz w:val="22"/>
          <w:szCs w:val="22"/>
          <w:lang w:val="en-US"/>
        </w:rPr>
        <w:t>The specificities of transnational cooperation programmes.</w:t>
      </w:r>
    </w:p>
    <w:p w:rsidR="00DF4E40" w:rsidRPr="00A30AEC" w:rsidRDefault="00DF4E40" w:rsidP="00AA3E9A">
      <w:pPr>
        <w:rPr>
          <w:rFonts w:ascii="Arial" w:hAnsi="Arial" w:cs="Arial"/>
          <w:bCs/>
          <w:color w:val="000000"/>
          <w:sz w:val="22"/>
          <w:szCs w:val="22"/>
        </w:rPr>
      </w:pPr>
      <w:r w:rsidRPr="00AA3E9A">
        <w:rPr>
          <w:rFonts w:ascii="Arial" w:hAnsi="Arial" w:cs="Arial"/>
          <w:b/>
          <w:bCs/>
          <w:color w:val="000000"/>
          <w:sz w:val="22"/>
          <w:szCs w:val="22"/>
        </w:rPr>
        <w:br w:type="page"/>
      </w:r>
    </w:p>
    <w:p w:rsidR="00DF4E40" w:rsidRPr="00A30AEC" w:rsidRDefault="00DF4E40" w:rsidP="00AA3E9A">
      <w:pPr>
        <w:rPr>
          <w:rFonts w:ascii="Arial" w:hAnsi="Arial" w:cs="Arial"/>
          <w:bCs/>
          <w:color w:val="000000"/>
          <w:sz w:val="22"/>
          <w:szCs w:val="22"/>
        </w:rPr>
      </w:pPr>
      <w:r w:rsidRPr="00A30AEC">
        <w:rPr>
          <w:rFonts w:ascii="Arial" w:hAnsi="Arial" w:cs="Arial"/>
          <w:bCs/>
          <w:color w:val="000000"/>
          <w:sz w:val="22"/>
          <w:szCs w:val="22"/>
        </w:rPr>
        <w:t xml:space="preserve">For the ADRION </w:t>
      </w:r>
      <w:r w:rsidR="00587306">
        <w:rPr>
          <w:rFonts w:ascii="Arial" w:hAnsi="Arial" w:cs="Arial"/>
          <w:bCs/>
          <w:color w:val="000000"/>
          <w:sz w:val="22"/>
          <w:szCs w:val="22"/>
        </w:rPr>
        <w:t>P</w:t>
      </w:r>
      <w:r w:rsidRPr="00A30AEC">
        <w:rPr>
          <w:rFonts w:ascii="Arial" w:hAnsi="Arial" w:cs="Arial"/>
          <w:bCs/>
          <w:color w:val="000000"/>
          <w:sz w:val="22"/>
          <w:szCs w:val="22"/>
        </w:rPr>
        <w:t>rogramme the following four (4) TOs and five (5) IPs have been selected:</w:t>
      </w:r>
    </w:p>
    <w:p w:rsidR="00DF4E40" w:rsidRPr="00304864" w:rsidRDefault="00DF4E4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4"/>
      </w:tblGrid>
      <w:tr w:rsidR="00DF4E40" w:rsidRPr="00304864" w:rsidTr="00A961B0">
        <w:tc>
          <w:tcPr>
            <w:tcW w:w="8834" w:type="dxa"/>
            <w:shd w:val="clear" w:color="auto" w:fill="F2F2F2"/>
          </w:tcPr>
          <w:p w:rsidR="00DF4E40" w:rsidRPr="00304864" w:rsidRDefault="00DF4E40">
            <w:pPr>
              <w:pStyle w:val="Text4"/>
              <w:ind w:left="0"/>
              <w:rPr>
                <w:rFonts w:ascii="Arial" w:hAnsi="Arial" w:cs="Arial"/>
                <w:b/>
                <w:szCs w:val="22"/>
              </w:rPr>
            </w:pPr>
            <w:r w:rsidRPr="00304864">
              <w:rPr>
                <w:rFonts w:ascii="Arial" w:hAnsi="Arial" w:cs="Arial"/>
                <w:b/>
                <w:sz w:val="22"/>
                <w:szCs w:val="22"/>
              </w:rPr>
              <w:t>Priority Axis 1: Innovative and Smart Region</w:t>
            </w:r>
          </w:p>
        </w:tc>
      </w:tr>
    </w:tbl>
    <w:p w:rsidR="0023298C" w:rsidRDefault="0023298C" w:rsidP="00AA3E9A">
      <w:pPr>
        <w:pStyle w:val="Text4"/>
        <w:ind w:left="0"/>
        <w:rPr>
          <w:rFonts w:ascii="Arial" w:hAnsi="Arial" w:cs="Arial"/>
          <w:b/>
          <w:sz w:val="22"/>
          <w:szCs w:val="22"/>
          <w:lang w:eastAsia="fr-BE"/>
        </w:rPr>
      </w:pPr>
    </w:p>
    <w:p w:rsidR="00DF4E40" w:rsidRPr="00304864" w:rsidRDefault="00DF4E40">
      <w:pPr>
        <w:pStyle w:val="Text4"/>
        <w:ind w:left="0"/>
        <w:rPr>
          <w:rFonts w:ascii="Arial" w:hAnsi="Arial" w:cs="Arial"/>
          <w:sz w:val="22"/>
          <w:szCs w:val="22"/>
        </w:rPr>
      </w:pPr>
      <w:r w:rsidRPr="00AA3E9A">
        <w:rPr>
          <w:rFonts w:ascii="Arial" w:hAnsi="Arial" w:cs="Arial"/>
          <w:b/>
          <w:sz w:val="22"/>
          <w:szCs w:val="22"/>
          <w:lang w:eastAsia="fr-BE"/>
        </w:rPr>
        <w:t>TO 1</w:t>
      </w:r>
      <w:r w:rsidRPr="00304864">
        <w:rPr>
          <w:rFonts w:ascii="Arial" w:hAnsi="Arial" w:cs="Arial"/>
          <w:sz w:val="22"/>
          <w:szCs w:val="22"/>
          <w:lang w:eastAsia="fr-BE"/>
        </w:rPr>
        <w:t>: S</w:t>
      </w:r>
      <w:r w:rsidRPr="00304864">
        <w:rPr>
          <w:rFonts w:ascii="Arial" w:hAnsi="Arial" w:cs="Arial"/>
          <w:sz w:val="22"/>
          <w:szCs w:val="22"/>
        </w:rPr>
        <w:t>trengthening research, technological development and innovation by:</w:t>
      </w:r>
    </w:p>
    <w:p w:rsidR="00DF4E40" w:rsidRPr="00304864" w:rsidRDefault="00DF4E40">
      <w:pPr>
        <w:pStyle w:val="Text4"/>
        <w:ind w:left="0"/>
        <w:rPr>
          <w:rFonts w:ascii="Arial" w:hAnsi="Arial" w:cs="Arial"/>
          <w:b/>
          <w:sz w:val="22"/>
          <w:szCs w:val="22"/>
          <w:lang w:eastAsia="fr-BE"/>
        </w:rPr>
      </w:pPr>
      <w:r w:rsidRPr="00304864">
        <w:rPr>
          <w:rFonts w:ascii="Arial" w:hAnsi="Arial" w:cs="Arial"/>
          <w:b/>
          <w:sz w:val="22"/>
          <w:szCs w:val="22"/>
          <w:lang w:eastAsia="fr-BE"/>
        </w:rPr>
        <w:t xml:space="preserve">IP 1b: </w:t>
      </w:r>
      <w:r w:rsidRPr="00304864">
        <w:rPr>
          <w:rFonts w:ascii="Arial" w:hAnsi="Arial" w:cs="Arial"/>
          <w:sz w:val="22"/>
          <w:szCs w:val="22"/>
          <w:lang w:eastAsia="fr-BE"/>
        </w:rPr>
        <w:t>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w:t>
      </w:r>
    </w:p>
    <w:p w:rsidR="00DF4E40" w:rsidRPr="00304864" w:rsidRDefault="00DF4E40">
      <w:pPr>
        <w:pStyle w:val="Text4"/>
        <w:ind w:left="0"/>
        <w:rPr>
          <w:rFonts w:ascii="Arial" w:hAnsi="Arial" w:cs="Arial"/>
          <w:i/>
          <w:sz w:val="22"/>
          <w:szCs w:val="22"/>
        </w:rPr>
      </w:pPr>
      <w:r w:rsidRPr="00304864">
        <w:rPr>
          <w:rFonts w:ascii="Arial" w:hAnsi="Arial" w:cs="Arial"/>
          <w:b/>
          <w:sz w:val="22"/>
          <w:szCs w:val="22"/>
          <w:lang w:eastAsia="fr-BE"/>
        </w:rPr>
        <w:t>SO 1.1</w:t>
      </w:r>
      <w:r w:rsidRPr="00304864">
        <w:rPr>
          <w:rFonts w:ascii="Arial" w:hAnsi="Arial" w:cs="Arial"/>
          <w:sz w:val="22"/>
          <w:szCs w:val="22"/>
          <w:lang w:eastAsia="fr-BE"/>
        </w:rPr>
        <w:t xml:space="preserve">: </w:t>
      </w:r>
      <w:r w:rsidRPr="00304864">
        <w:rPr>
          <w:rFonts w:ascii="Arial" w:hAnsi="Arial" w:cs="Arial"/>
          <w:i/>
          <w:sz w:val="22"/>
          <w:szCs w:val="22"/>
        </w:rPr>
        <w:t>Support the development of a regional Innovation system for the Adriatic-Ionian area”.</w:t>
      </w:r>
    </w:p>
    <w:p w:rsidR="00DF4E40" w:rsidRPr="00304864" w:rsidRDefault="00DF4E40">
      <w:pPr>
        <w:pStyle w:val="Text4"/>
        <w:ind w:left="0"/>
        <w:rPr>
          <w:rFonts w:ascii="Arial" w:hAnsi="Arial" w:cs="Arial"/>
          <w:sz w:val="22"/>
          <w:szCs w:val="22"/>
        </w:rPr>
      </w:pPr>
    </w:p>
    <w:p w:rsidR="00DF4E40" w:rsidRPr="00304864" w:rsidRDefault="00DF4E40">
      <w:pPr>
        <w:pStyle w:val="Text4"/>
        <w:ind w:left="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4"/>
      </w:tblGrid>
      <w:tr w:rsidR="00DF4E40" w:rsidRPr="00304864" w:rsidTr="00A961B0">
        <w:tc>
          <w:tcPr>
            <w:tcW w:w="8834" w:type="dxa"/>
            <w:shd w:val="clear" w:color="auto" w:fill="F2F2F2"/>
          </w:tcPr>
          <w:p w:rsidR="00DF4E40" w:rsidRPr="00304864" w:rsidRDefault="00DF4E40" w:rsidP="00A30AEC">
            <w:pPr>
              <w:pStyle w:val="Text4"/>
              <w:ind w:left="0"/>
              <w:rPr>
                <w:rFonts w:ascii="Arial" w:hAnsi="Arial" w:cs="Arial"/>
                <w:b/>
                <w:szCs w:val="22"/>
              </w:rPr>
            </w:pPr>
            <w:r w:rsidRPr="00304864">
              <w:rPr>
                <w:rFonts w:ascii="Arial" w:hAnsi="Arial" w:cs="Arial"/>
                <w:b/>
                <w:sz w:val="22"/>
                <w:szCs w:val="22"/>
              </w:rPr>
              <w:t>Priority</w:t>
            </w:r>
            <w:r w:rsidRPr="00304864">
              <w:rPr>
                <w:rFonts w:ascii="Arial" w:hAnsi="Arial" w:cs="Arial"/>
                <w:b/>
                <w:sz w:val="22"/>
                <w:szCs w:val="22"/>
                <w:lang w:eastAsia="fr-BE"/>
              </w:rPr>
              <w:t xml:space="preserve"> Axis 2: Sustainable region</w:t>
            </w:r>
          </w:p>
        </w:tc>
      </w:tr>
    </w:tbl>
    <w:p w:rsidR="0023298C" w:rsidRDefault="0023298C" w:rsidP="00AA3E9A">
      <w:pPr>
        <w:pStyle w:val="Text4"/>
        <w:ind w:left="0"/>
        <w:rPr>
          <w:rFonts w:ascii="Arial" w:hAnsi="Arial" w:cs="Arial"/>
          <w:b/>
          <w:sz w:val="22"/>
          <w:szCs w:val="22"/>
          <w:lang w:eastAsia="fr-BE"/>
        </w:rPr>
      </w:pPr>
    </w:p>
    <w:p w:rsidR="00DF4E40" w:rsidRPr="00304864" w:rsidRDefault="00DF4E40">
      <w:pPr>
        <w:pStyle w:val="Text4"/>
        <w:ind w:left="0"/>
        <w:rPr>
          <w:rFonts w:ascii="Arial" w:hAnsi="Arial" w:cs="Arial"/>
          <w:sz w:val="22"/>
          <w:szCs w:val="22"/>
          <w:lang w:eastAsia="fr-BE"/>
        </w:rPr>
      </w:pPr>
      <w:r w:rsidRPr="00AA3E9A">
        <w:rPr>
          <w:rFonts w:ascii="Arial" w:hAnsi="Arial" w:cs="Arial"/>
          <w:b/>
          <w:sz w:val="22"/>
          <w:szCs w:val="22"/>
          <w:lang w:eastAsia="fr-BE"/>
        </w:rPr>
        <w:t>TO 6</w:t>
      </w:r>
      <w:r w:rsidRPr="00304864">
        <w:rPr>
          <w:rFonts w:ascii="Arial" w:hAnsi="Arial" w:cs="Arial"/>
          <w:sz w:val="22"/>
          <w:szCs w:val="22"/>
          <w:lang w:eastAsia="fr-BE"/>
        </w:rPr>
        <w:t>: Preserving and protecting the environment and promoting resource efficiency by:</w:t>
      </w:r>
    </w:p>
    <w:p w:rsidR="00DF4E40" w:rsidRPr="00304864" w:rsidRDefault="00DF4E40">
      <w:pPr>
        <w:pStyle w:val="Text4"/>
        <w:ind w:left="0"/>
        <w:rPr>
          <w:rFonts w:ascii="Arial" w:hAnsi="Arial" w:cs="Arial"/>
          <w:sz w:val="22"/>
          <w:szCs w:val="22"/>
          <w:lang w:eastAsia="fr-BE"/>
        </w:rPr>
      </w:pPr>
      <w:r w:rsidRPr="00304864">
        <w:rPr>
          <w:rFonts w:ascii="Arial" w:hAnsi="Arial" w:cs="Arial"/>
          <w:b/>
          <w:sz w:val="22"/>
          <w:szCs w:val="22"/>
          <w:lang w:eastAsia="fr-BE"/>
        </w:rPr>
        <w:t>IP 6c</w:t>
      </w:r>
      <w:r w:rsidRPr="00304864">
        <w:rPr>
          <w:rFonts w:ascii="Arial" w:hAnsi="Arial" w:cs="Arial"/>
          <w:sz w:val="22"/>
          <w:szCs w:val="22"/>
          <w:lang w:eastAsia="fr-BE"/>
        </w:rPr>
        <w:t>: C</w:t>
      </w:r>
      <w:r w:rsidRPr="00304864">
        <w:rPr>
          <w:rFonts w:ascii="Arial" w:hAnsi="Arial" w:cs="Arial"/>
          <w:bCs/>
          <w:iCs/>
          <w:sz w:val="22"/>
          <w:szCs w:val="22"/>
        </w:rPr>
        <w:t xml:space="preserve">onserving, </w:t>
      </w:r>
      <w:r w:rsidRPr="00304864">
        <w:rPr>
          <w:rFonts w:ascii="Arial" w:hAnsi="Arial" w:cs="Arial"/>
          <w:sz w:val="22"/>
          <w:szCs w:val="22"/>
        </w:rPr>
        <w:t xml:space="preserve">protecting, promoting and developing </w:t>
      </w:r>
      <w:r w:rsidRPr="00304864">
        <w:rPr>
          <w:rFonts w:ascii="Arial" w:hAnsi="Arial" w:cs="Arial"/>
          <w:bCs/>
          <w:iCs/>
          <w:sz w:val="22"/>
          <w:szCs w:val="22"/>
        </w:rPr>
        <w:t>natural and</w:t>
      </w:r>
      <w:r w:rsidRPr="00304864">
        <w:rPr>
          <w:rFonts w:ascii="Arial" w:hAnsi="Arial" w:cs="Arial"/>
          <w:sz w:val="22"/>
          <w:szCs w:val="22"/>
        </w:rPr>
        <w:t xml:space="preserve"> cultural heritage;</w:t>
      </w:r>
    </w:p>
    <w:p w:rsidR="00DF4E40" w:rsidRPr="00304864" w:rsidRDefault="00DF4E40">
      <w:pPr>
        <w:pStyle w:val="Text4"/>
        <w:ind w:left="0"/>
        <w:rPr>
          <w:rFonts w:ascii="Arial" w:hAnsi="Arial" w:cs="Arial"/>
          <w:i/>
          <w:sz w:val="22"/>
          <w:szCs w:val="22"/>
        </w:rPr>
      </w:pPr>
      <w:r w:rsidRPr="00304864">
        <w:rPr>
          <w:rFonts w:ascii="Arial" w:hAnsi="Arial" w:cs="Arial"/>
          <w:b/>
          <w:sz w:val="22"/>
          <w:szCs w:val="22"/>
        </w:rPr>
        <w:t>SO 2.1</w:t>
      </w:r>
      <w:r w:rsidRPr="00304864">
        <w:rPr>
          <w:rFonts w:ascii="Arial" w:hAnsi="Arial" w:cs="Arial"/>
          <w:sz w:val="22"/>
          <w:szCs w:val="22"/>
        </w:rPr>
        <w:t xml:space="preserve">: </w:t>
      </w:r>
      <w:r w:rsidRPr="00304864">
        <w:rPr>
          <w:rFonts w:ascii="Arial" w:hAnsi="Arial" w:cs="Arial"/>
          <w:i/>
          <w:sz w:val="22"/>
          <w:szCs w:val="22"/>
        </w:rPr>
        <w:t>Promote the sustainable valorisation and preservation of natural and cultural assets as growth assets in the Adriatic-Ionian area;</w:t>
      </w:r>
    </w:p>
    <w:p w:rsidR="00DF4E40" w:rsidRPr="00304864" w:rsidRDefault="00DF4E40">
      <w:pPr>
        <w:rPr>
          <w:rFonts w:ascii="Arial" w:hAnsi="Arial" w:cs="Arial"/>
          <w:b/>
          <w:sz w:val="22"/>
          <w:szCs w:val="22"/>
        </w:rPr>
      </w:pPr>
      <w:r w:rsidRPr="00304864">
        <w:rPr>
          <w:rFonts w:ascii="Arial" w:hAnsi="Arial" w:cs="Arial"/>
          <w:b/>
          <w:sz w:val="22"/>
          <w:szCs w:val="22"/>
        </w:rPr>
        <w:t>IP 6d</w:t>
      </w:r>
      <w:r w:rsidRPr="00304864">
        <w:rPr>
          <w:rFonts w:ascii="Arial" w:hAnsi="Arial" w:cs="Arial"/>
          <w:sz w:val="22"/>
          <w:szCs w:val="22"/>
        </w:rPr>
        <w:t xml:space="preserve">: Protecting </w:t>
      </w:r>
      <w:r w:rsidRPr="00304864">
        <w:rPr>
          <w:rFonts w:ascii="Arial" w:hAnsi="Arial" w:cs="Arial"/>
          <w:bCs/>
          <w:iCs/>
          <w:sz w:val="22"/>
          <w:szCs w:val="22"/>
        </w:rPr>
        <w:t>and restoring</w:t>
      </w:r>
      <w:r w:rsidRPr="00304864">
        <w:rPr>
          <w:rFonts w:ascii="Arial" w:hAnsi="Arial" w:cs="Arial"/>
          <w:sz w:val="22"/>
          <w:szCs w:val="22"/>
        </w:rPr>
        <w:t xml:space="preserve"> biodiversity and soil and promoting ecosystem services, including through Natura 2000, and green infrastructure;</w:t>
      </w:r>
    </w:p>
    <w:p w:rsidR="00DF4E40" w:rsidRPr="00304864" w:rsidRDefault="00DF4E40">
      <w:pPr>
        <w:rPr>
          <w:rFonts w:ascii="Arial" w:hAnsi="Arial" w:cs="Arial"/>
          <w:i/>
          <w:sz w:val="22"/>
          <w:szCs w:val="22"/>
        </w:rPr>
      </w:pPr>
      <w:r w:rsidRPr="00304864">
        <w:rPr>
          <w:rFonts w:ascii="Arial" w:hAnsi="Arial" w:cs="Arial"/>
          <w:b/>
          <w:sz w:val="22"/>
          <w:szCs w:val="22"/>
        </w:rPr>
        <w:t xml:space="preserve">SO 2.2: </w:t>
      </w:r>
      <w:r w:rsidRPr="00304864">
        <w:rPr>
          <w:rFonts w:ascii="Arial" w:hAnsi="Arial" w:cs="Arial"/>
          <w:i/>
          <w:sz w:val="22"/>
          <w:szCs w:val="22"/>
        </w:rPr>
        <w:t>Enhance the capacity in transnationally tackling environmental vulnerability, fragmentation and the safeguarding of ecosystem services in the Adriatic-Ionian area.</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pBdr>
          <w:top w:val="single" w:sz="4" w:space="1" w:color="auto"/>
          <w:left w:val="single" w:sz="4" w:space="4" w:color="auto"/>
          <w:bottom w:val="single" w:sz="4" w:space="1" w:color="auto"/>
          <w:right w:val="single" w:sz="4" w:space="4" w:color="auto"/>
        </w:pBdr>
        <w:shd w:val="clear" w:color="auto" w:fill="F2F2F2"/>
        <w:rPr>
          <w:rFonts w:ascii="Arial" w:hAnsi="Arial" w:cs="Arial"/>
          <w:b/>
          <w:sz w:val="22"/>
          <w:szCs w:val="22"/>
          <w:lang w:eastAsia="fr-BE"/>
        </w:rPr>
      </w:pPr>
      <w:r w:rsidRPr="00304864">
        <w:rPr>
          <w:rFonts w:ascii="Arial" w:hAnsi="Arial" w:cs="Arial"/>
          <w:b/>
          <w:sz w:val="22"/>
          <w:szCs w:val="22"/>
          <w:lang w:eastAsia="fr-BE"/>
        </w:rPr>
        <w:t>Priority Axis 3: Connected region</w:t>
      </w:r>
    </w:p>
    <w:p w:rsidR="0023298C" w:rsidRDefault="0023298C">
      <w:pPr>
        <w:pStyle w:val="Text4"/>
        <w:ind w:left="0"/>
        <w:rPr>
          <w:rFonts w:ascii="Arial" w:hAnsi="Arial" w:cs="Arial"/>
          <w:b/>
          <w:sz w:val="22"/>
          <w:szCs w:val="22"/>
          <w:lang w:eastAsia="fr-BE"/>
        </w:rPr>
      </w:pPr>
    </w:p>
    <w:p w:rsidR="00DF4E40" w:rsidRPr="00304864" w:rsidRDefault="00DF4E40">
      <w:pPr>
        <w:pStyle w:val="Text4"/>
        <w:ind w:left="0"/>
        <w:rPr>
          <w:rFonts w:ascii="Arial" w:hAnsi="Arial" w:cs="Arial"/>
          <w:sz w:val="22"/>
          <w:szCs w:val="22"/>
        </w:rPr>
      </w:pPr>
      <w:r w:rsidRPr="00AA3E9A">
        <w:rPr>
          <w:rFonts w:ascii="Arial" w:hAnsi="Arial" w:cs="Arial"/>
          <w:b/>
          <w:sz w:val="22"/>
          <w:szCs w:val="22"/>
          <w:lang w:eastAsia="fr-BE"/>
        </w:rPr>
        <w:t xml:space="preserve">TO 7: </w:t>
      </w:r>
      <w:r w:rsidRPr="00304864">
        <w:rPr>
          <w:rFonts w:ascii="Arial" w:hAnsi="Arial" w:cs="Arial"/>
          <w:sz w:val="22"/>
          <w:szCs w:val="22"/>
        </w:rPr>
        <w:t>Promoting sustainable transport and removing bottlenecks in key network infrastructures by:</w:t>
      </w:r>
    </w:p>
    <w:p w:rsidR="00DF4E40" w:rsidRPr="00304864" w:rsidRDefault="00DF4E40">
      <w:pPr>
        <w:pStyle w:val="Text4"/>
        <w:ind w:left="0"/>
        <w:rPr>
          <w:rFonts w:ascii="Arial" w:hAnsi="Arial" w:cs="Arial"/>
          <w:sz w:val="22"/>
          <w:szCs w:val="22"/>
        </w:rPr>
      </w:pPr>
      <w:r w:rsidRPr="00304864">
        <w:rPr>
          <w:rFonts w:ascii="Arial" w:hAnsi="Arial" w:cs="Arial"/>
          <w:b/>
          <w:sz w:val="22"/>
          <w:szCs w:val="22"/>
        </w:rPr>
        <w:t>IP 7c:</w:t>
      </w:r>
      <w:r w:rsidRPr="00304864">
        <w:rPr>
          <w:rFonts w:ascii="Arial" w:hAnsi="Arial" w:cs="Arial"/>
          <w:sz w:val="22"/>
          <w:szCs w:val="22"/>
        </w:rPr>
        <w:t>Developing and improving environmental-friendly (including low-noise) and low-carbon transport systems including inland waterways and maritime transport, ports, multimodal links and airport infrastructure, in order to promote sustainable regional and local mobility</w:t>
      </w:r>
    </w:p>
    <w:p w:rsidR="00DF4E40" w:rsidRPr="00304864" w:rsidRDefault="00DF4E40">
      <w:pPr>
        <w:pStyle w:val="Text4"/>
        <w:ind w:left="0"/>
        <w:rPr>
          <w:rFonts w:ascii="Arial" w:hAnsi="Arial" w:cs="Arial"/>
          <w:i/>
          <w:sz w:val="22"/>
          <w:szCs w:val="22"/>
        </w:rPr>
      </w:pPr>
      <w:r w:rsidRPr="00304864">
        <w:rPr>
          <w:rFonts w:ascii="Arial" w:hAnsi="Arial" w:cs="Arial"/>
          <w:b/>
          <w:sz w:val="22"/>
          <w:szCs w:val="22"/>
        </w:rPr>
        <w:t xml:space="preserve">SO 3.1: </w:t>
      </w:r>
      <w:r w:rsidRPr="00304864">
        <w:rPr>
          <w:rFonts w:ascii="Arial" w:hAnsi="Arial" w:cs="Arial"/>
          <w:i/>
          <w:sz w:val="22"/>
          <w:szCs w:val="22"/>
        </w:rPr>
        <w:t>Enhance capacity for integrated transport and mobility services and multimodal</w:t>
      </w:r>
      <w:r w:rsidR="002A7A86">
        <w:rPr>
          <w:rFonts w:ascii="Arial" w:hAnsi="Arial" w:cs="Arial"/>
          <w:i/>
          <w:sz w:val="22"/>
          <w:szCs w:val="22"/>
        </w:rPr>
        <w:t>ity in the Adriatic-Ionian area.</w:t>
      </w:r>
    </w:p>
    <w:p w:rsidR="00DF4E40" w:rsidRPr="00304864" w:rsidRDefault="00DF4E40">
      <w:pPr>
        <w:pStyle w:val="Text4"/>
        <w:ind w:left="0"/>
        <w:rPr>
          <w:rFonts w:ascii="Arial" w:hAnsi="Arial" w:cs="Arial"/>
          <w:b/>
          <w:i/>
          <w:sz w:val="22"/>
          <w:szCs w:val="22"/>
        </w:rPr>
      </w:pPr>
    </w:p>
    <w:p w:rsidR="00DF4E40" w:rsidRPr="00304864" w:rsidRDefault="00DF4E40">
      <w:pPr>
        <w:pStyle w:val="Text4"/>
        <w:ind w:left="0"/>
        <w:rPr>
          <w:rFonts w:ascii="Arial" w:hAnsi="Arial"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3"/>
      </w:tblGrid>
      <w:tr w:rsidR="00DF4E40" w:rsidRPr="00304864" w:rsidTr="00A961B0">
        <w:tc>
          <w:tcPr>
            <w:tcW w:w="8833" w:type="dxa"/>
            <w:shd w:val="clear" w:color="auto" w:fill="F2F2F2"/>
          </w:tcPr>
          <w:p w:rsidR="00DF4E40" w:rsidRPr="00304864" w:rsidRDefault="00DF4E40">
            <w:pPr>
              <w:rPr>
                <w:rFonts w:ascii="Arial" w:hAnsi="Arial" w:cs="Arial"/>
                <w:b/>
                <w:szCs w:val="22"/>
              </w:rPr>
            </w:pPr>
            <w:r w:rsidRPr="00304864">
              <w:rPr>
                <w:rFonts w:ascii="Arial" w:hAnsi="Arial" w:cs="Arial"/>
                <w:b/>
                <w:sz w:val="22"/>
                <w:szCs w:val="22"/>
                <w:lang w:eastAsia="fr-BE"/>
              </w:rPr>
              <w:t>Priority Axis 4: ”Supporting the governance of the EUSAIR”</w:t>
            </w:r>
          </w:p>
        </w:tc>
      </w:tr>
    </w:tbl>
    <w:p w:rsidR="0023298C" w:rsidRDefault="0023298C" w:rsidP="00AA3E9A">
      <w:pPr>
        <w:jc w:val="left"/>
        <w:rPr>
          <w:rFonts w:ascii="Arial" w:hAnsi="Arial" w:cs="Arial"/>
          <w:b/>
          <w:sz w:val="22"/>
          <w:szCs w:val="22"/>
          <w:lang w:val="en-US" w:eastAsia="fr-BE"/>
        </w:rPr>
      </w:pPr>
    </w:p>
    <w:p w:rsidR="00DF4E40" w:rsidRPr="00304864" w:rsidRDefault="00DF4E40">
      <w:pPr>
        <w:jc w:val="left"/>
        <w:rPr>
          <w:rFonts w:ascii="Arial" w:hAnsi="Arial" w:cs="Arial"/>
          <w:sz w:val="22"/>
          <w:szCs w:val="22"/>
        </w:rPr>
      </w:pPr>
      <w:r w:rsidRPr="00AA3E9A">
        <w:rPr>
          <w:rFonts w:ascii="Arial" w:hAnsi="Arial" w:cs="Arial"/>
          <w:b/>
          <w:sz w:val="22"/>
          <w:szCs w:val="22"/>
          <w:lang w:val="en-US" w:eastAsia="fr-BE"/>
        </w:rPr>
        <w:t>TO 11</w:t>
      </w:r>
      <w:r w:rsidRPr="00304864">
        <w:rPr>
          <w:rFonts w:ascii="Arial" w:hAnsi="Arial" w:cs="Arial"/>
          <w:sz w:val="22"/>
          <w:szCs w:val="22"/>
          <w:lang w:val="en-US" w:eastAsia="fr-BE"/>
        </w:rPr>
        <w:t>: [art</w:t>
      </w:r>
      <w:r w:rsidR="0023298C">
        <w:rPr>
          <w:rFonts w:ascii="Arial" w:hAnsi="Arial" w:cs="Arial"/>
          <w:sz w:val="22"/>
          <w:szCs w:val="22"/>
          <w:lang w:val="en-US" w:eastAsia="fr-BE"/>
        </w:rPr>
        <w:t>icle</w:t>
      </w:r>
      <w:r w:rsidRPr="00304864">
        <w:rPr>
          <w:rFonts w:ascii="Arial" w:hAnsi="Arial" w:cs="Arial"/>
          <w:sz w:val="22"/>
          <w:szCs w:val="22"/>
          <w:lang w:val="en-US" w:eastAsia="fr-BE"/>
        </w:rPr>
        <w:t xml:space="preserve"> 7 (b) Reg</w:t>
      </w:r>
      <w:r w:rsidR="0023298C">
        <w:rPr>
          <w:rFonts w:ascii="Arial" w:hAnsi="Arial" w:cs="Arial"/>
          <w:sz w:val="22"/>
          <w:szCs w:val="22"/>
          <w:lang w:val="en-US" w:eastAsia="fr-BE"/>
        </w:rPr>
        <w:t>ulation</w:t>
      </w:r>
      <w:r w:rsidRPr="00AA3E9A">
        <w:rPr>
          <w:rFonts w:ascii="Arial" w:hAnsi="Arial" w:cs="Arial"/>
          <w:sz w:val="22"/>
          <w:szCs w:val="22"/>
          <w:lang w:val="en-US" w:eastAsia="fr-BE"/>
        </w:rPr>
        <w:t xml:space="preserve"> (EU) No 1299/2013] </w:t>
      </w:r>
      <w:r w:rsidRPr="00304864">
        <w:rPr>
          <w:rFonts w:ascii="Arial" w:hAnsi="Arial" w:cs="Arial"/>
          <w:sz w:val="22"/>
          <w:szCs w:val="22"/>
        </w:rPr>
        <w:t>Enhancing institutional capacity of public authorities and stakeholders and efficient public administration […];</w:t>
      </w:r>
    </w:p>
    <w:p w:rsidR="00DF4E40" w:rsidRPr="00304864" w:rsidRDefault="00DF4E40">
      <w:pPr>
        <w:widowControl w:val="0"/>
        <w:rPr>
          <w:rFonts w:ascii="Arial" w:hAnsi="Arial" w:cs="Arial"/>
          <w:b/>
          <w:sz w:val="22"/>
          <w:szCs w:val="22"/>
          <w:lang w:eastAsia="fr-BE"/>
        </w:rPr>
      </w:pPr>
      <w:r w:rsidRPr="00304864">
        <w:rPr>
          <w:rFonts w:ascii="Arial" w:hAnsi="Arial" w:cs="Arial"/>
          <w:b/>
          <w:sz w:val="22"/>
          <w:szCs w:val="22"/>
          <w:lang w:eastAsia="fr-BE"/>
        </w:rPr>
        <w:t xml:space="preserve">IP 11: </w:t>
      </w:r>
      <w:r w:rsidRPr="00304864">
        <w:rPr>
          <w:rFonts w:ascii="Arial" w:hAnsi="Arial" w:cs="Arial"/>
          <w:sz w:val="22"/>
          <w:szCs w:val="22"/>
          <w:lang w:eastAsia="fr-BE"/>
        </w:rPr>
        <w:t>Enhancing institutional capacity of public authorities and stakeholders and efficient public administration by developing and coordinating macro-regional and sea-basin strategies;</w:t>
      </w:r>
    </w:p>
    <w:p w:rsidR="00DF4E40" w:rsidRPr="00304864" w:rsidRDefault="00DF4E40">
      <w:pPr>
        <w:widowControl w:val="0"/>
        <w:rPr>
          <w:rFonts w:ascii="Arial" w:hAnsi="Arial" w:cs="Arial"/>
          <w:i/>
          <w:sz w:val="22"/>
          <w:szCs w:val="22"/>
        </w:rPr>
      </w:pPr>
      <w:r w:rsidRPr="00304864">
        <w:rPr>
          <w:rFonts w:ascii="Arial" w:hAnsi="Arial" w:cs="Arial"/>
          <w:b/>
          <w:sz w:val="22"/>
          <w:szCs w:val="22"/>
        </w:rPr>
        <w:t xml:space="preserve">SO 4.1: </w:t>
      </w:r>
      <w:r w:rsidRPr="00304864">
        <w:rPr>
          <w:rFonts w:ascii="Arial" w:hAnsi="Arial" w:cs="Arial"/>
          <w:i/>
          <w:sz w:val="22"/>
          <w:szCs w:val="22"/>
          <w:lang w:eastAsia="fr-BE"/>
        </w:rPr>
        <w:t xml:space="preserve">Facilitate the coordination and implementation of the EUSAIR by enhancing </w:t>
      </w:r>
      <w:r w:rsidRPr="00304864">
        <w:rPr>
          <w:rFonts w:ascii="Arial" w:hAnsi="Arial" w:cs="Arial"/>
          <w:i/>
          <w:sz w:val="22"/>
          <w:szCs w:val="22"/>
        </w:rPr>
        <w:t>institutional capacity of public administrations and key stakeholders and by assisting the progress of implementation of joint priorities.</w:t>
      </w:r>
    </w:p>
    <w:p w:rsidR="00DF4E40" w:rsidRPr="00304864" w:rsidRDefault="00DF4E40">
      <w:pPr>
        <w:widowControl w:val="0"/>
        <w:rPr>
          <w:rFonts w:ascii="Arial" w:hAnsi="Arial" w:cs="Arial"/>
          <w:sz w:val="22"/>
          <w:szCs w:val="22"/>
          <w:lang w:eastAsia="fr-BE"/>
        </w:rPr>
      </w:pPr>
    </w:p>
    <w:p w:rsidR="00DF4E40" w:rsidRPr="00304864" w:rsidRDefault="00DF4E40">
      <w:pPr>
        <w:pStyle w:val="Text4"/>
        <w:ind w:left="0"/>
        <w:rPr>
          <w:rFonts w:ascii="Arial" w:hAnsi="Arial" w:cs="Arial"/>
          <w:sz w:val="22"/>
          <w:szCs w:val="22"/>
          <w:lang w:eastAsia="fr-BE"/>
        </w:rPr>
      </w:pPr>
      <w:r w:rsidRPr="00304864">
        <w:rPr>
          <w:rFonts w:ascii="Arial" w:hAnsi="Arial" w:cs="Arial"/>
          <w:sz w:val="22"/>
          <w:szCs w:val="22"/>
          <w:lang w:eastAsia="fr-BE"/>
        </w:rPr>
        <w:t>Detailed information on the SOs is provided in Section 2.</w:t>
      </w:r>
    </w:p>
    <w:p w:rsidR="00DF4E40" w:rsidRPr="00304864" w:rsidRDefault="00DF4E40">
      <w:pPr>
        <w:pStyle w:val="Text4"/>
        <w:ind w:left="0"/>
        <w:rPr>
          <w:rFonts w:ascii="Arial" w:hAnsi="Arial" w:cs="Arial"/>
          <w:sz w:val="22"/>
          <w:szCs w:val="22"/>
          <w:lang w:eastAsia="fr-BE"/>
        </w:rPr>
      </w:pPr>
    </w:p>
    <w:p w:rsidR="00DF4E40" w:rsidRPr="00A30AEC" w:rsidRDefault="00DF4E40" w:rsidP="00A30AEC">
      <w:pPr>
        <w:pStyle w:val="Heading3"/>
        <w:spacing w:before="0" w:after="120"/>
        <w:ind w:left="0"/>
        <w:rPr>
          <w:rFonts w:ascii="Arial" w:hAnsi="Arial" w:cs="Arial"/>
          <w:b w:val="0"/>
          <w:color w:val="002060"/>
          <w:sz w:val="22"/>
          <w:szCs w:val="22"/>
        </w:rPr>
      </w:pPr>
      <w:bookmarkStart w:id="64" w:name="_Toc420652484"/>
      <w:bookmarkStart w:id="65" w:name="_Toc421076836"/>
      <w:r w:rsidRPr="00304864">
        <w:rPr>
          <w:rFonts w:ascii="Arial" w:hAnsi="Arial" w:cs="Arial"/>
          <w:b w:val="0"/>
          <w:color w:val="002060"/>
          <w:sz w:val="22"/>
          <w:szCs w:val="22"/>
        </w:rPr>
        <w:t>Horizontal dimensions</w:t>
      </w:r>
      <w:bookmarkEnd w:id="64"/>
      <w:bookmarkEnd w:id="65"/>
    </w:p>
    <w:p w:rsidR="00DF4E40" w:rsidRPr="00304864" w:rsidRDefault="00DF4E40" w:rsidP="00AA3E9A">
      <w:pPr>
        <w:rPr>
          <w:rFonts w:ascii="Arial" w:hAnsi="Arial" w:cs="Arial"/>
          <w:sz w:val="22"/>
          <w:szCs w:val="22"/>
        </w:rPr>
      </w:pPr>
      <w:r w:rsidRPr="00304864">
        <w:rPr>
          <w:rFonts w:ascii="Arial" w:hAnsi="Arial" w:cs="Arial"/>
          <w:sz w:val="22"/>
          <w:szCs w:val="22"/>
        </w:rPr>
        <w:t>In addition to the thematic orientation, the ADRION Programme addresses horizontal thematic aspects highlighted in EU regulations: sustainable development, equal opportunities and non-discrimination, equality between men and women. These horizontal principles are further developed in Section 8.</w:t>
      </w:r>
    </w:p>
    <w:p w:rsidR="00DF4E40" w:rsidRDefault="00DF4E40">
      <w:pPr>
        <w:rPr>
          <w:rFonts w:ascii="Arial" w:hAnsi="Arial" w:cs="Arial"/>
          <w:sz w:val="22"/>
          <w:szCs w:val="22"/>
        </w:rPr>
      </w:pPr>
      <w:r w:rsidRPr="00304864">
        <w:rPr>
          <w:rFonts w:ascii="Arial" w:hAnsi="Arial" w:cs="Arial"/>
          <w:sz w:val="22"/>
          <w:szCs w:val="22"/>
        </w:rPr>
        <w:t>Furthermore, specific issues will be addressed in a cross-cutting way in the different IPs contributing to the overall objectives of the programme:</w:t>
      </w:r>
    </w:p>
    <w:p w:rsidR="0023298C" w:rsidRPr="00A30AEC" w:rsidRDefault="0023298C" w:rsidP="00A30AEC">
      <w:pPr>
        <w:pStyle w:val="Heading3"/>
        <w:spacing w:before="0" w:after="120"/>
        <w:ind w:left="0"/>
        <w:rPr>
          <w:rFonts w:ascii="Arial" w:hAnsi="Arial" w:cs="Arial"/>
          <w:color w:val="002060"/>
          <w:sz w:val="22"/>
          <w:szCs w:val="22"/>
        </w:rPr>
      </w:pPr>
    </w:p>
    <w:p w:rsidR="00DF4E40" w:rsidRPr="00A30AEC" w:rsidRDefault="00DF4E40" w:rsidP="00A30AEC">
      <w:pPr>
        <w:pStyle w:val="Heading3"/>
        <w:spacing w:before="0" w:after="120"/>
        <w:ind w:left="0"/>
        <w:rPr>
          <w:rFonts w:ascii="Arial" w:hAnsi="Arial" w:cs="Arial"/>
          <w:i w:val="0"/>
          <w:color w:val="002060"/>
          <w:sz w:val="22"/>
          <w:szCs w:val="22"/>
        </w:rPr>
      </w:pPr>
      <w:bookmarkStart w:id="66" w:name="_Toc420652485"/>
      <w:bookmarkStart w:id="67" w:name="_Toc421076837"/>
      <w:r w:rsidRPr="00A30AEC">
        <w:rPr>
          <w:rFonts w:ascii="Arial" w:hAnsi="Arial" w:cs="Arial"/>
          <w:b w:val="0"/>
          <w:color w:val="002060"/>
          <w:sz w:val="22"/>
          <w:szCs w:val="22"/>
        </w:rPr>
        <w:t>Information and Communication Technologies</w:t>
      </w:r>
      <w:bookmarkEnd w:id="66"/>
      <w:bookmarkEnd w:id="67"/>
    </w:p>
    <w:p w:rsidR="00DF4E40" w:rsidRDefault="00DF4E40">
      <w:pPr>
        <w:rPr>
          <w:rFonts w:ascii="Arial" w:hAnsi="Arial" w:cs="Arial"/>
          <w:sz w:val="22"/>
          <w:szCs w:val="22"/>
        </w:rPr>
      </w:pPr>
      <w:r w:rsidRPr="00304864">
        <w:rPr>
          <w:rFonts w:ascii="Arial" w:hAnsi="Arial" w:cs="Arial"/>
          <w:sz w:val="22"/>
          <w:szCs w:val="22"/>
        </w:rPr>
        <w:t>The development of ICT products, services and applications constitute a relevant support for socioeconomic development, governance, networking, etc. As a tool, ICT can be used in a transversal way to reach the objectives of several I</w:t>
      </w:r>
      <w:r w:rsidR="00587306">
        <w:rPr>
          <w:rFonts w:ascii="Arial" w:hAnsi="Arial" w:cs="Arial"/>
          <w:sz w:val="22"/>
          <w:szCs w:val="22"/>
        </w:rPr>
        <w:t>Ps</w:t>
      </w:r>
      <w:r w:rsidRPr="00304864">
        <w:rPr>
          <w:rFonts w:ascii="Arial" w:hAnsi="Arial" w:cs="Arial"/>
          <w:sz w:val="22"/>
          <w:szCs w:val="22"/>
        </w:rPr>
        <w:t>.</w:t>
      </w:r>
    </w:p>
    <w:p w:rsidR="0023298C" w:rsidRPr="00AA3E9A" w:rsidRDefault="0023298C">
      <w:pPr>
        <w:rPr>
          <w:rFonts w:ascii="Arial" w:hAnsi="Arial" w:cs="Arial"/>
          <w:sz w:val="22"/>
          <w:szCs w:val="22"/>
        </w:rPr>
      </w:pPr>
    </w:p>
    <w:p w:rsidR="00DF4E40" w:rsidRPr="00A30AEC" w:rsidRDefault="00DF4E40" w:rsidP="00A30AEC">
      <w:pPr>
        <w:pStyle w:val="Heading3"/>
        <w:spacing w:before="0" w:after="120"/>
        <w:ind w:left="0"/>
        <w:rPr>
          <w:rFonts w:ascii="Arial" w:hAnsi="Arial" w:cs="Arial"/>
          <w:i w:val="0"/>
          <w:color w:val="002060"/>
          <w:sz w:val="22"/>
          <w:szCs w:val="22"/>
        </w:rPr>
      </w:pPr>
      <w:bookmarkStart w:id="68" w:name="_Toc420652486"/>
      <w:bookmarkStart w:id="69" w:name="_Toc421076838"/>
      <w:r w:rsidRPr="00A30AEC">
        <w:rPr>
          <w:rFonts w:ascii="Arial" w:hAnsi="Arial" w:cs="Arial"/>
          <w:b w:val="0"/>
          <w:color w:val="002060"/>
          <w:sz w:val="22"/>
          <w:szCs w:val="22"/>
        </w:rPr>
        <w:t>Social cohesion and social innovation</w:t>
      </w:r>
      <w:bookmarkEnd w:id="68"/>
      <w:bookmarkEnd w:id="69"/>
    </w:p>
    <w:p w:rsidR="00DF4E40" w:rsidRDefault="00DF4E40">
      <w:pPr>
        <w:rPr>
          <w:rFonts w:ascii="Arial" w:hAnsi="Arial" w:cs="Arial"/>
          <w:sz w:val="22"/>
          <w:szCs w:val="22"/>
        </w:rPr>
      </w:pPr>
      <w:r w:rsidRPr="00304864">
        <w:rPr>
          <w:rFonts w:ascii="Arial" w:hAnsi="Arial" w:cs="Arial"/>
          <w:sz w:val="22"/>
          <w:szCs w:val="22"/>
        </w:rPr>
        <w:t>In different fields of intervention, attention will be paid to projects involving partners or taking measures that have positive effects on social cohesion. This is especially the case when involving social enterprises or when implementing actions aimed at improving the conditions of vulnerable groups (confronted with economic and social integration difficulties).</w:t>
      </w:r>
    </w:p>
    <w:p w:rsidR="0023298C" w:rsidRPr="00AA3E9A" w:rsidRDefault="0023298C">
      <w:pPr>
        <w:rPr>
          <w:rFonts w:ascii="Arial" w:hAnsi="Arial" w:cs="Arial"/>
          <w:sz w:val="22"/>
          <w:szCs w:val="22"/>
        </w:rPr>
      </w:pPr>
    </w:p>
    <w:p w:rsidR="00DF4E40" w:rsidRPr="00A30AEC" w:rsidRDefault="00DF4E40" w:rsidP="00A30AEC">
      <w:pPr>
        <w:pStyle w:val="Heading3"/>
        <w:spacing w:before="0" w:after="120"/>
        <w:ind w:left="0"/>
        <w:rPr>
          <w:rFonts w:ascii="Arial" w:hAnsi="Arial" w:cs="Arial"/>
          <w:i w:val="0"/>
          <w:color w:val="002060"/>
          <w:sz w:val="22"/>
          <w:szCs w:val="22"/>
        </w:rPr>
      </w:pPr>
      <w:bookmarkStart w:id="70" w:name="_Toc420652487"/>
      <w:bookmarkStart w:id="71" w:name="_Toc421076839"/>
      <w:r w:rsidRPr="00A30AEC">
        <w:rPr>
          <w:rFonts w:ascii="Arial" w:hAnsi="Arial" w:cs="Arial"/>
          <w:b w:val="0"/>
          <w:color w:val="002060"/>
          <w:sz w:val="22"/>
          <w:szCs w:val="22"/>
        </w:rPr>
        <w:t>Data and knowledge management</w:t>
      </w:r>
      <w:bookmarkEnd w:id="70"/>
      <w:bookmarkEnd w:id="71"/>
    </w:p>
    <w:p w:rsidR="00DF4E40" w:rsidRDefault="00DF4E40">
      <w:pPr>
        <w:rPr>
          <w:rFonts w:ascii="Arial" w:hAnsi="Arial" w:cs="Arial"/>
          <w:sz w:val="22"/>
          <w:szCs w:val="22"/>
        </w:rPr>
      </w:pPr>
      <w:r w:rsidRPr="00304864">
        <w:rPr>
          <w:rFonts w:ascii="Arial" w:hAnsi="Arial" w:cs="Arial"/>
          <w:sz w:val="22"/>
          <w:szCs w:val="22"/>
        </w:rPr>
        <w:t>Each project and each project partner must make available for the public the data used for the projects or generated by the project in order to enhance the dissemination of experiences and results. Projects are encouraged to deliver datasets in line with the “open data by default” principle to improve the diffusion and reuse of data between public institutions, partners and a wider public.</w:t>
      </w:r>
    </w:p>
    <w:p w:rsidR="0023298C" w:rsidRPr="00AA3E9A" w:rsidRDefault="0023298C">
      <w:pPr>
        <w:rPr>
          <w:rFonts w:ascii="Arial" w:hAnsi="Arial" w:cs="Arial"/>
          <w:sz w:val="22"/>
          <w:szCs w:val="22"/>
        </w:rPr>
      </w:pPr>
    </w:p>
    <w:p w:rsidR="00DF4E40" w:rsidRPr="00A30AEC" w:rsidRDefault="00DF4E40" w:rsidP="00A30AEC">
      <w:pPr>
        <w:pStyle w:val="Heading3"/>
        <w:spacing w:before="0" w:after="120"/>
        <w:ind w:left="0"/>
        <w:rPr>
          <w:rFonts w:ascii="Arial" w:hAnsi="Arial" w:cs="Arial"/>
          <w:i w:val="0"/>
          <w:color w:val="002060"/>
          <w:sz w:val="22"/>
          <w:szCs w:val="22"/>
        </w:rPr>
      </w:pPr>
      <w:bookmarkStart w:id="72" w:name="_Toc420652488"/>
      <w:bookmarkStart w:id="73" w:name="_Toc421076840"/>
      <w:r w:rsidRPr="00A30AEC">
        <w:rPr>
          <w:rFonts w:ascii="Arial" w:hAnsi="Arial" w:cs="Arial"/>
          <w:b w:val="0"/>
          <w:color w:val="002060"/>
          <w:sz w:val="22"/>
          <w:szCs w:val="22"/>
        </w:rPr>
        <w:t>Territorial and eco-systemic approach</w:t>
      </w:r>
      <w:bookmarkEnd w:id="72"/>
      <w:bookmarkEnd w:id="73"/>
    </w:p>
    <w:p w:rsidR="00DF4E40" w:rsidRPr="00304864" w:rsidRDefault="00DF4E40">
      <w:pPr>
        <w:rPr>
          <w:rFonts w:ascii="Arial" w:hAnsi="Arial" w:cs="Arial"/>
          <w:sz w:val="22"/>
          <w:szCs w:val="22"/>
        </w:rPr>
      </w:pPr>
      <w:r w:rsidRPr="00304864">
        <w:rPr>
          <w:rFonts w:ascii="Arial" w:hAnsi="Arial" w:cs="Arial"/>
          <w:sz w:val="22"/>
          <w:szCs w:val="22"/>
        </w:rPr>
        <w:t>In each targeted territory (urban, coastal, islands and remote areas), projects will have to involve relevant stakeholders of sectors and institutions from the project intervention field. Approaches must be ‘integrated’ or ‘eco-systemic’, so that the result would not be isolated proposals working on limited aspects of tourism, energy or transports for example, but a coordination effort insisting on the contribution of these domains to the sustainable development of territories (taking into account available means, economic perspectives, on-going public policies, conflict of use, environmental constraints, etc.).</w:t>
      </w:r>
    </w:p>
    <w:p w:rsidR="00DF4E40" w:rsidRPr="00304864" w:rsidRDefault="00DF4E40">
      <w:pPr>
        <w:rPr>
          <w:rFonts w:ascii="Arial" w:hAnsi="Arial" w:cs="Arial"/>
          <w:sz w:val="22"/>
          <w:szCs w:val="22"/>
        </w:rPr>
      </w:pPr>
      <w:r w:rsidRPr="00304864">
        <w:rPr>
          <w:rFonts w:ascii="Arial" w:hAnsi="Arial" w:cs="Arial"/>
          <w:sz w:val="22"/>
          <w:szCs w:val="22"/>
        </w:rPr>
        <w:t>Partners will have to explore how to make relevant actors from environment protection, tourism, transport, etc. work together. With this approach, transnational cooperation will contribute to develop strategic planning aspects.</w:t>
      </w:r>
    </w:p>
    <w:bookmarkEnd w:id="58"/>
    <w:p w:rsidR="00DF4E40" w:rsidRPr="00304864" w:rsidRDefault="00DF4E40">
      <w:pPr>
        <w:rPr>
          <w:rFonts w:ascii="Arial" w:hAnsi="Arial" w:cs="Arial"/>
          <w:sz w:val="22"/>
          <w:szCs w:val="22"/>
        </w:rPr>
      </w:pPr>
    </w:p>
    <w:p w:rsidR="00F92654" w:rsidRDefault="00F92654">
      <w:pPr>
        <w:rPr>
          <w:rFonts w:ascii="Arial" w:hAnsi="Arial" w:cs="Arial"/>
          <w:sz w:val="22"/>
          <w:szCs w:val="22"/>
        </w:rPr>
        <w:sectPr w:rsidR="00F92654" w:rsidSect="00A961B0">
          <w:pgSz w:w="11906" w:h="16838"/>
          <w:pgMar w:top="1417" w:right="1134" w:bottom="1134" w:left="1134" w:header="601" w:footer="680" w:gutter="0"/>
          <w:cols w:space="720"/>
          <w:titlePg/>
          <w:rtlGutter/>
          <w:docGrid w:linePitch="326"/>
        </w:sectPr>
      </w:pPr>
    </w:p>
    <w:p w:rsidR="00DF4E40" w:rsidRPr="00A30AEC" w:rsidRDefault="00DF4E40" w:rsidP="00A30AEC">
      <w:pPr>
        <w:numPr>
          <w:ilvl w:val="2"/>
          <w:numId w:val="142"/>
        </w:numPr>
        <w:rPr>
          <w:rFonts w:ascii="Arial" w:hAnsi="Arial" w:cs="Arial"/>
          <w:i/>
          <w:color w:val="17365D"/>
          <w:sz w:val="22"/>
          <w:szCs w:val="22"/>
        </w:rPr>
      </w:pPr>
      <w:r w:rsidRPr="00A30AEC">
        <w:rPr>
          <w:rFonts w:ascii="Arial" w:hAnsi="Arial" w:cs="Arial"/>
          <w:i/>
          <w:color w:val="17365D"/>
          <w:sz w:val="22"/>
          <w:szCs w:val="22"/>
        </w:rPr>
        <w:t>Justification for the choice of thematic objectives and corresponding investment priorities, having regard to the Common Strategic Framework, based on an analysis of the needs within the programme area as a whole and the strategy chosen in response to such needs, addressing, where appropriate, missing links in cross-border infrastructure, taking into account the results of the ex-ante evaluation</w:t>
      </w:r>
    </w:p>
    <w:p w:rsidR="00DF4E40" w:rsidRPr="00304864" w:rsidRDefault="00DF4E40">
      <w:pPr>
        <w:rPr>
          <w:rFonts w:ascii="Arial" w:hAnsi="Arial" w:cs="Arial"/>
          <w:b/>
          <w:sz w:val="22"/>
          <w:szCs w:val="22"/>
          <w:lang w:eastAsia="fr-BE"/>
        </w:rPr>
      </w:pPr>
    </w:p>
    <w:p w:rsidR="00DF4E40" w:rsidRPr="00304864" w:rsidRDefault="00DF4E40">
      <w:pPr>
        <w:rPr>
          <w:rFonts w:ascii="Arial" w:hAnsi="Arial" w:cs="Arial"/>
          <w:b/>
          <w:sz w:val="22"/>
          <w:szCs w:val="22"/>
          <w:lang w:eastAsia="fr-BE"/>
        </w:rPr>
      </w:pPr>
      <w:r w:rsidRPr="00304864">
        <w:rPr>
          <w:rFonts w:ascii="Arial" w:hAnsi="Arial" w:cs="Arial"/>
          <w:b/>
          <w:sz w:val="22"/>
          <w:szCs w:val="22"/>
          <w:lang w:eastAsia="fr-BE"/>
        </w:rPr>
        <w:t>Table 1: A synthetic overview of the justification for the selection of Thematic Objectives and Investment Priorities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3"/>
        <w:gridCol w:w="3670"/>
        <w:gridCol w:w="8323"/>
      </w:tblGrid>
      <w:tr w:rsidR="00DF4E40" w:rsidRPr="00304864" w:rsidTr="00A961B0">
        <w:trPr>
          <w:tblHeader/>
          <w:jc w:val="center"/>
        </w:trPr>
        <w:tc>
          <w:tcPr>
            <w:tcW w:w="2802" w:type="dxa"/>
            <w:shd w:val="clear" w:color="auto" w:fill="F2F2F2"/>
            <w:vAlign w:val="center"/>
          </w:tcPr>
          <w:p w:rsidR="00DF4E40" w:rsidRPr="00304864" w:rsidRDefault="00DF4E40">
            <w:pPr>
              <w:jc w:val="center"/>
              <w:rPr>
                <w:rFonts w:ascii="Arial" w:hAnsi="Arial" w:cs="Arial"/>
                <w:b/>
                <w:sz w:val="20"/>
                <w:lang w:eastAsia="fr-BE"/>
              </w:rPr>
            </w:pPr>
            <w:r w:rsidRPr="00304864">
              <w:rPr>
                <w:rFonts w:ascii="Arial" w:hAnsi="Arial" w:cs="Arial"/>
                <w:b/>
                <w:sz w:val="20"/>
                <w:lang w:eastAsia="fr-BE"/>
              </w:rPr>
              <w:t>Selected Thematic Objective</w:t>
            </w:r>
          </w:p>
        </w:tc>
        <w:tc>
          <w:tcPr>
            <w:tcW w:w="3685" w:type="dxa"/>
            <w:shd w:val="clear" w:color="auto" w:fill="F2F2F2"/>
            <w:vAlign w:val="center"/>
          </w:tcPr>
          <w:p w:rsidR="00DF4E40" w:rsidRPr="00304864" w:rsidRDefault="00DF4E40">
            <w:pPr>
              <w:jc w:val="center"/>
              <w:rPr>
                <w:rFonts w:ascii="Arial" w:hAnsi="Arial" w:cs="Arial"/>
                <w:b/>
                <w:sz w:val="20"/>
                <w:lang w:eastAsia="fr-BE"/>
              </w:rPr>
            </w:pPr>
            <w:r w:rsidRPr="00304864">
              <w:rPr>
                <w:rFonts w:ascii="Arial" w:hAnsi="Arial" w:cs="Arial"/>
                <w:b/>
                <w:sz w:val="20"/>
                <w:lang w:eastAsia="fr-BE"/>
              </w:rPr>
              <w:t>Selected Investment Priority</w:t>
            </w:r>
          </w:p>
        </w:tc>
        <w:tc>
          <w:tcPr>
            <w:tcW w:w="8363" w:type="dxa"/>
            <w:shd w:val="clear" w:color="auto" w:fill="F2F2F2"/>
            <w:vAlign w:val="center"/>
          </w:tcPr>
          <w:p w:rsidR="00DF4E40" w:rsidRPr="00304864" w:rsidRDefault="00DF4E40">
            <w:pPr>
              <w:jc w:val="center"/>
              <w:rPr>
                <w:rFonts w:ascii="Arial" w:hAnsi="Arial" w:cs="Arial"/>
                <w:b/>
                <w:sz w:val="20"/>
                <w:lang w:eastAsia="fr-BE"/>
              </w:rPr>
            </w:pPr>
            <w:r w:rsidRPr="00304864">
              <w:rPr>
                <w:rFonts w:ascii="Arial" w:hAnsi="Arial" w:cs="Arial"/>
                <w:b/>
                <w:sz w:val="20"/>
                <w:lang w:eastAsia="fr-BE"/>
              </w:rPr>
              <w:t>Justification for selection</w:t>
            </w:r>
          </w:p>
        </w:tc>
      </w:tr>
      <w:tr w:rsidR="00DF4E40" w:rsidRPr="00304864" w:rsidTr="00A961B0">
        <w:trPr>
          <w:jc w:val="center"/>
        </w:trPr>
        <w:tc>
          <w:tcPr>
            <w:tcW w:w="2802" w:type="dxa"/>
          </w:tcPr>
          <w:p w:rsidR="00DF4E40" w:rsidRPr="00AA3E9A" w:rsidRDefault="00DF4E40" w:rsidP="00AA3E9A">
            <w:pPr>
              <w:jc w:val="left"/>
              <w:rPr>
                <w:rFonts w:ascii="Arial" w:hAnsi="Arial" w:cs="Arial"/>
                <w:b/>
                <w:sz w:val="20"/>
                <w:lang w:eastAsia="fr-BE"/>
              </w:rPr>
            </w:pPr>
            <w:r w:rsidRPr="00AA3E9A">
              <w:rPr>
                <w:rFonts w:ascii="Arial" w:hAnsi="Arial" w:cs="Arial"/>
                <w:b/>
                <w:sz w:val="20"/>
                <w:lang w:eastAsia="fr-BE"/>
              </w:rPr>
              <w:t>TO 1</w:t>
            </w:r>
          </w:p>
          <w:p w:rsidR="00DF4E40" w:rsidRPr="00304864" w:rsidRDefault="00DF4E40">
            <w:pPr>
              <w:jc w:val="left"/>
              <w:rPr>
                <w:rFonts w:ascii="Arial" w:hAnsi="Arial" w:cs="Arial"/>
                <w:sz w:val="20"/>
                <w:lang w:eastAsia="fr-BE"/>
              </w:rPr>
            </w:pPr>
            <w:r w:rsidRPr="00304864">
              <w:rPr>
                <w:rFonts w:ascii="Arial" w:hAnsi="Arial" w:cs="Arial"/>
                <w:sz w:val="20"/>
                <w:lang w:eastAsia="fr-BE"/>
              </w:rPr>
              <w:t>Strengthening research, technological development and innovation (…)</w:t>
            </w:r>
          </w:p>
        </w:tc>
        <w:tc>
          <w:tcPr>
            <w:tcW w:w="3685" w:type="dxa"/>
          </w:tcPr>
          <w:p w:rsidR="00DF4E40" w:rsidRPr="00304864" w:rsidRDefault="00DF4E40">
            <w:pPr>
              <w:jc w:val="left"/>
              <w:rPr>
                <w:rFonts w:ascii="Arial" w:hAnsi="Arial" w:cs="Arial"/>
                <w:b/>
                <w:sz w:val="20"/>
                <w:lang w:eastAsia="fr-BE"/>
              </w:rPr>
            </w:pPr>
            <w:r w:rsidRPr="00304864">
              <w:rPr>
                <w:rFonts w:ascii="Arial" w:hAnsi="Arial" w:cs="Arial"/>
                <w:b/>
                <w:sz w:val="20"/>
                <w:lang w:eastAsia="fr-BE"/>
              </w:rPr>
              <w:t>IP 1b</w:t>
            </w:r>
          </w:p>
          <w:p w:rsidR="00DF4E40" w:rsidRPr="00304864" w:rsidRDefault="00DF4E40">
            <w:pPr>
              <w:jc w:val="left"/>
              <w:rPr>
                <w:rFonts w:ascii="Arial" w:hAnsi="Arial" w:cs="Arial"/>
                <w:sz w:val="20"/>
                <w:lang w:eastAsia="fr-BE"/>
              </w:rPr>
            </w:pPr>
            <w:r w:rsidRPr="00304864">
              <w:rPr>
                <w:rFonts w:ascii="Arial" w:hAnsi="Arial" w:cs="Arial"/>
                <w:sz w:val="20"/>
                <w:lang w:eastAsia="fr-BE"/>
              </w:rPr>
              <w:t>Promoting business investment in innovation and research and developing links and synergies between enterprises, research institutions and higher education (…)</w:t>
            </w:r>
          </w:p>
        </w:tc>
        <w:tc>
          <w:tcPr>
            <w:tcW w:w="8363" w:type="dxa"/>
          </w:tcPr>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improve innovation capacities, competitiveness and internationalisation of SMEs confronted with international competition in some key sectors such as tourism, agribusiness, creative industries, fisheries, energy</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 xml:space="preserve">Need to improve innovation capacities through a more efficient joint use of research infrastructure </w:t>
            </w:r>
            <w:r w:rsidRPr="00304864">
              <w:rPr>
                <w:rFonts w:ascii="Arial" w:hAnsi="Arial" w:cs="Arial"/>
                <w:sz w:val="20"/>
                <w:lang w:eastAsia="fr-BE"/>
              </w:rPr>
              <w:t>and</w:t>
            </w:r>
            <w:r w:rsidRPr="00304864">
              <w:rPr>
                <w:rFonts w:ascii="Arial" w:hAnsi="Arial" w:cs="Arial"/>
                <w:sz w:val="20"/>
              </w:rPr>
              <w:t xml:space="preserve"> knowledge/competencies for better international cooperation between business, research and education</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improve cooperation between actors of the quadruple helix, especially between research and businesses enterprises, R&amp;D centres and higher education; and support networking, clusters and open innovation</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support new innovation areas and approaches (eco innovation; public procurement for innovation; creative industry; service industry and social innovation)</w:t>
            </w:r>
          </w:p>
          <w:p w:rsidR="00DF4E40" w:rsidRPr="00304864" w:rsidRDefault="00DF4E40" w:rsidP="00A30AEC">
            <w:pPr>
              <w:numPr>
                <w:ilvl w:val="0"/>
                <w:numId w:val="118"/>
              </w:numPr>
              <w:ind w:left="201" w:hanging="143"/>
              <w:rPr>
                <w:rFonts w:ascii="Arial" w:hAnsi="Arial" w:cs="Arial"/>
                <w:sz w:val="20"/>
              </w:rPr>
            </w:pPr>
            <w:r w:rsidRPr="00304864">
              <w:rPr>
                <w:rFonts w:ascii="Arial" w:hAnsi="Arial" w:cs="Arial"/>
                <w:sz w:val="20"/>
              </w:rPr>
              <w:t>Need to develop smart specialisation strategies by the use of RIS3 results</w:t>
            </w:r>
          </w:p>
          <w:p w:rsidR="00DF4E40" w:rsidRPr="00304864" w:rsidRDefault="00DF4E40" w:rsidP="00A30AEC">
            <w:pPr>
              <w:numPr>
                <w:ilvl w:val="0"/>
                <w:numId w:val="118"/>
              </w:numPr>
              <w:ind w:left="201" w:hanging="143"/>
              <w:rPr>
                <w:rFonts w:ascii="Arial" w:hAnsi="Arial" w:cs="Arial"/>
                <w:sz w:val="20"/>
              </w:rPr>
            </w:pPr>
            <w:r w:rsidRPr="00304864">
              <w:rPr>
                <w:rFonts w:ascii="Arial" w:hAnsi="Arial" w:cs="Arial"/>
                <w:sz w:val="20"/>
              </w:rPr>
              <w:t>Need to promote the Innovation management support (intellectual property advising, technology transfer, prototyping, demonstrators, etc.)</w:t>
            </w:r>
          </w:p>
        </w:tc>
      </w:tr>
      <w:tr w:rsidR="00DF4E40" w:rsidRPr="00304864" w:rsidTr="00A961B0">
        <w:trPr>
          <w:jc w:val="center"/>
        </w:trPr>
        <w:tc>
          <w:tcPr>
            <w:tcW w:w="2802" w:type="dxa"/>
            <w:vMerge w:val="restart"/>
          </w:tcPr>
          <w:p w:rsidR="00DF4E40" w:rsidRPr="00AA3E9A" w:rsidRDefault="00DF4E40" w:rsidP="00AA3E9A">
            <w:pPr>
              <w:jc w:val="left"/>
              <w:rPr>
                <w:rFonts w:ascii="Arial" w:hAnsi="Arial" w:cs="Arial"/>
                <w:b/>
                <w:sz w:val="20"/>
                <w:lang w:eastAsia="fr-BE"/>
              </w:rPr>
            </w:pPr>
            <w:r w:rsidRPr="00AA3E9A">
              <w:rPr>
                <w:rFonts w:ascii="Arial" w:hAnsi="Arial" w:cs="Arial"/>
                <w:b/>
                <w:sz w:val="20"/>
                <w:lang w:eastAsia="fr-BE"/>
              </w:rPr>
              <w:t>TO 6</w:t>
            </w:r>
          </w:p>
          <w:p w:rsidR="00DF4E40" w:rsidRPr="00304864" w:rsidRDefault="00DF4E40">
            <w:pPr>
              <w:jc w:val="left"/>
              <w:rPr>
                <w:rFonts w:ascii="Arial" w:hAnsi="Arial" w:cs="Arial"/>
                <w:sz w:val="20"/>
                <w:lang w:eastAsia="fr-BE"/>
              </w:rPr>
            </w:pPr>
            <w:r w:rsidRPr="00304864">
              <w:rPr>
                <w:rFonts w:ascii="Arial" w:hAnsi="Arial" w:cs="Arial"/>
                <w:sz w:val="20"/>
                <w:lang w:eastAsia="fr-BE"/>
              </w:rPr>
              <w:t>Protecting the environment and promoting resource efficiency</w:t>
            </w:r>
          </w:p>
        </w:tc>
        <w:tc>
          <w:tcPr>
            <w:tcW w:w="3685" w:type="dxa"/>
          </w:tcPr>
          <w:p w:rsidR="00DF4E40" w:rsidRPr="00304864" w:rsidRDefault="00DF4E40">
            <w:pPr>
              <w:jc w:val="left"/>
              <w:rPr>
                <w:rFonts w:ascii="Arial" w:hAnsi="Arial" w:cs="Arial"/>
                <w:b/>
                <w:sz w:val="20"/>
                <w:lang w:eastAsia="fr-BE"/>
              </w:rPr>
            </w:pPr>
            <w:r w:rsidRPr="00304864">
              <w:rPr>
                <w:rFonts w:ascii="Arial" w:hAnsi="Arial" w:cs="Arial"/>
                <w:b/>
                <w:sz w:val="20"/>
                <w:lang w:eastAsia="fr-BE"/>
              </w:rPr>
              <w:t>IP 6c</w:t>
            </w:r>
          </w:p>
          <w:p w:rsidR="00DF4E40" w:rsidRPr="00304864" w:rsidRDefault="00DF4E40">
            <w:pPr>
              <w:jc w:val="left"/>
              <w:rPr>
                <w:rFonts w:ascii="Arial" w:hAnsi="Arial" w:cs="Arial"/>
                <w:sz w:val="20"/>
                <w:lang w:eastAsia="fr-BE"/>
              </w:rPr>
            </w:pPr>
            <w:r w:rsidRPr="00304864">
              <w:rPr>
                <w:rFonts w:ascii="Arial" w:hAnsi="Arial" w:cs="Arial"/>
                <w:bCs/>
                <w:iCs/>
                <w:sz w:val="20"/>
              </w:rPr>
              <w:t xml:space="preserve">Conserving, </w:t>
            </w:r>
            <w:r w:rsidRPr="00304864">
              <w:rPr>
                <w:rFonts w:ascii="Arial" w:hAnsi="Arial" w:cs="Arial"/>
                <w:sz w:val="20"/>
              </w:rPr>
              <w:t xml:space="preserve">protecting, promoting and developing </w:t>
            </w:r>
            <w:r w:rsidRPr="00304864">
              <w:rPr>
                <w:rFonts w:ascii="Arial" w:hAnsi="Arial" w:cs="Arial"/>
                <w:bCs/>
                <w:iCs/>
                <w:sz w:val="20"/>
              </w:rPr>
              <w:t>natural and</w:t>
            </w:r>
            <w:r w:rsidRPr="00304864">
              <w:rPr>
                <w:rFonts w:ascii="Arial" w:hAnsi="Arial" w:cs="Arial"/>
                <w:sz w:val="20"/>
              </w:rPr>
              <w:t xml:space="preserve"> cultural heritage</w:t>
            </w:r>
          </w:p>
        </w:tc>
        <w:tc>
          <w:tcPr>
            <w:tcW w:w="8363" w:type="dxa"/>
          </w:tcPr>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High cultural and environmental resources in ADRION regions threatened by human activities and environmental changes (especially climate change)</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 xml:space="preserve">Full potential of natural and cultural heritage as development assets not exploited yet </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High pressure of tourism activities and urbanisation, especially on coastal ADRION (sustainable tourism)</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Increased pressure on water resources from a quantitative and qualitative point of view</w:t>
            </w:r>
          </w:p>
        </w:tc>
      </w:tr>
      <w:tr w:rsidR="00DF4E40" w:rsidRPr="00304864" w:rsidTr="00A961B0">
        <w:trPr>
          <w:jc w:val="center"/>
        </w:trPr>
        <w:tc>
          <w:tcPr>
            <w:tcW w:w="2802" w:type="dxa"/>
            <w:vMerge/>
          </w:tcPr>
          <w:p w:rsidR="00DF4E40" w:rsidRPr="00304864" w:rsidRDefault="00DF4E40">
            <w:pPr>
              <w:jc w:val="left"/>
              <w:rPr>
                <w:rFonts w:ascii="Arial" w:hAnsi="Arial" w:cs="Arial"/>
                <w:sz w:val="20"/>
                <w:lang w:eastAsia="fr-BE"/>
              </w:rPr>
            </w:pPr>
          </w:p>
        </w:tc>
        <w:tc>
          <w:tcPr>
            <w:tcW w:w="3685" w:type="dxa"/>
          </w:tcPr>
          <w:p w:rsidR="00DF4E40" w:rsidRPr="00304864" w:rsidRDefault="00DF4E40">
            <w:pPr>
              <w:jc w:val="left"/>
              <w:rPr>
                <w:rFonts w:ascii="Arial" w:hAnsi="Arial" w:cs="Arial"/>
                <w:b/>
                <w:sz w:val="20"/>
                <w:lang w:eastAsia="fr-BE"/>
              </w:rPr>
            </w:pPr>
            <w:r w:rsidRPr="00304864">
              <w:rPr>
                <w:rFonts w:ascii="Arial" w:hAnsi="Arial" w:cs="Arial"/>
                <w:b/>
                <w:sz w:val="20"/>
                <w:lang w:eastAsia="fr-BE"/>
              </w:rPr>
              <w:t>IP 6d</w:t>
            </w:r>
          </w:p>
          <w:p w:rsidR="00DF4E40" w:rsidRPr="00304864" w:rsidRDefault="00DF4E40">
            <w:pPr>
              <w:jc w:val="left"/>
              <w:rPr>
                <w:rFonts w:ascii="Arial" w:hAnsi="Arial" w:cs="Arial"/>
                <w:sz w:val="20"/>
                <w:lang w:eastAsia="fr-BE"/>
              </w:rPr>
            </w:pPr>
            <w:r w:rsidRPr="00304864">
              <w:rPr>
                <w:rFonts w:ascii="Arial" w:hAnsi="Arial" w:cs="Arial"/>
                <w:sz w:val="20"/>
                <w:lang w:eastAsia="fr-BE"/>
              </w:rPr>
              <w:t>Protecting and restoring biodiversity, soil protection and restoration and promoting ecosystem services including NATURA 2000 and green infrastructures</w:t>
            </w:r>
          </w:p>
        </w:tc>
        <w:tc>
          <w:tcPr>
            <w:tcW w:w="8363" w:type="dxa"/>
          </w:tcPr>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Pressure on the biodiversity and development of invasive species</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Pressure on water quality with direct consequences on the biodiversity</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Crucial role of the environment in the attractiveness and economic development of ADRION regions</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tackle environmental vulnerability, improve risk management capacity, support the optimal use of land and resource consumption etc.</w:t>
            </w:r>
          </w:p>
        </w:tc>
      </w:tr>
      <w:tr w:rsidR="00DF4E40" w:rsidRPr="00304864" w:rsidTr="00A961B0">
        <w:trPr>
          <w:jc w:val="center"/>
        </w:trPr>
        <w:tc>
          <w:tcPr>
            <w:tcW w:w="2802" w:type="dxa"/>
          </w:tcPr>
          <w:p w:rsidR="00DF4E40" w:rsidRPr="00AA3E9A" w:rsidRDefault="00DF4E40" w:rsidP="00AA3E9A">
            <w:pPr>
              <w:jc w:val="left"/>
              <w:rPr>
                <w:rFonts w:ascii="Arial" w:hAnsi="Arial" w:cs="Arial"/>
                <w:b/>
                <w:sz w:val="20"/>
                <w:lang w:eastAsia="fr-BE"/>
              </w:rPr>
            </w:pPr>
            <w:r w:rsidRPr="00AA3E9A">
              <w:rPr>
                <w:rFonts w:ascii="Arial" w:hAnsi="Arial" w:cs="Arial"/>
                <w:b/>
                <w:sz w:val="20"/>
                <w:lang w:eastAsia="fr-BE"/>
              </w:rPr>
              <w:t>TO 7</w:t>
            </w:r>
          </w:p>
          <w:p w:rsidR="00DF4E40" w:rsidRPr="00304864" w:rsidRDefault="00DF4E40">
            <w:pPr>
              <w:jc w:val="left"/>
              <w:rPr>
                <w:rFonts w:ascii="Arial" w:hAnsi="Arial" w:cs="Arial"/>
                <w:b/>
                <w:sz w:val="20"/>
                <w:lang w:eastAsia="fr-BE"/>
              </w:rPr>
            </w:pPr>
            <w:r w:rsidRPr="00304864">
              <w:rPr>
                <w:rFonts w:ascii="Arial" w:hAnsi="Arial" w:cs="Arial"/>
                <w:sz w:val="20"/>
                <w:lang w:eastAsia="fr-BE"/>
              </w:rPr>
              <w:t>Promoting sustainable transport and removing bottlenecks in key network infrastructures</w:t>
            </w:r>
          </w:p>
        </w:tc>
        <w:tc>
          <w:tcPr>
            <w:tcW w:w="3685" w:type="dxa"/>
          </w:tcPr>
          <w:p w:rsidR="00DF4E40" w:rsidRPr="00304864" w:rsidRDefault="00DF4E40">
            <w:pPr>
              <w:jc w:val="left"/>
              <w:rPr>
                <w:rFonts w:ascii="Arial" w:hAnsi="Arial" w:cs="Arial"/>
                <w:b/>
                <w:sz w:val="20"/>
                <w:lang w:eastAsia="fr-BE"/>
              </w:rPr>
            </w:pPr>
            <w:r w:rsidRPr="00304864">
              <w:rPr>
                <w:rFonts w:ascii="Arial" w:hAnsi="Arial" w:cs="Arial"/>
                <w:b/>
                <w:sz w:val="20"/>
                <w:lang w:eastAsia="fr-BE"/>
              </w:rPr>
              <w:t>IP 7c</w:t>
            </w:r>
          </w:p>
          <w:p w:rsidR="00DF4E40" w:rsidRPr="00304864" w:rsidRDefault="00DF4E40">
            <w:pPr>
              <w:pStyle w:val="Text4"/>
              <w:ind w:left="0"/>
              <w:rPr>
                <w:rFonts w:ascii="Arial" w:hAnsi="Arial" w:cs="Arial"/>
                <w:sz w:val="20"/>
                <w:lang w:eastAsia="fr-BE"/>
              </w:rPr>
            </w:pPr>
            <w:r w:rsidRPr="00304864">
              <w:rPr>
                <w:rFonts w:ascii="Arial" w:hAnsi="Arial" w:cs="Arial"/>
                <w:sz w:val="20"/>
                <w:lang w:eastAsia="fr-BE"/>
              </w:rPr>
              <w:t>Developing and improving environment-friendly (including low-noise) and low-carbon transport systems including inland waterways and maritime transport, ports multimodal links and airport infrastructure, in order to promote sustainable regional and local mobility</w:t>
            </w:r>
          </w:p>
        </w:tc>
        <w:tc>
          <w:tcPr>
            <w:tcW w:w="8363" w:type="dxa"/>
          </w:tcPr>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 xml:space="preserve">Need to reduce the environmental impact of transport by increasing multimodality and shift to more appropriate and environmental-friendly modes of transport </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 xml:space="preserve">Need to improve the border cross point transit for all non EU borders where administrative and organization bottlenecks produce substantial delays in scheduling travel </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invest on ICT management for all freight transport activities</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enhance the water –rail intermodal platform both for maritime ports and inland waterway port</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reinforce the ICT application for making open and easier the access to info transport and implement all the intermodal opportunities for the passengers mobility</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Use of renewable energies lower than the EU average</w:t>
            </w:r>
          </w:p>
        </w:tc>
      </w:tr>
      <w:tr w:rsidR="00DF4E40" w:rsidRPr="00304864" w:rsidTr="00A961B0">
        <w:trPr>
          <w:jc w:val="center"/>
        </w:trPr>
        <w:tc>
          <w:tcPr>
            <w:tcW w:w="2802" w:type="dxa"/>
          </w:tcPr>
          <w:p w:rsidR="00DF4E40" w:rsidRPr="00AA3E9A" w:rsidRDefault="00DF4E40" w:rsidP="00AA3E9A">
            <w:pPr>
              <w:jc w:val="left"/>
              <w:rPr>
                <w:rFonts w:ascii="Arial" w:hAnsi="Arial" w:cs="Arial"/>
                <w:b/>
                <w:sz w:val="20"/>
                <w:lang w:eastAsia="fr-BE"/>
              </w:rPr>
            </w:pPr>
            <w:r w:rsidRPr="00AA3E9A">
              <w:rPr>
                <w:rFonts w:ascii="Arial" w:hAnsi="Arial" w:cs="Arial"/>
                <w:b/>
                <w:sz w:val="20"/>
                <w:lang w:eastAsia="fr-BE"/>
              </w:rPr>
              <w:t>TO 11</w:t>
            </w:r>
          </w:p>
          <w:p w:rsidR="00DF4E40" w:rsidRPr="00304864" w:rsidRDefault="00DF4E40">
            <w:pPr>
              <w:jc w:val="left"/>
              <w:rPr>
                <w:rFonts w:ascii="Arial" w:hAnsi="Arial" w:cs="Arial"/>
                <w:sz w:val="20"/>
              </w:rPr>
            </w:pPr>
            <w:r w:rsidRPr="00304864">
              <w:rPr>
                <w:rFonts w:ascii="Arial" w:hAnsi="Arial" w:cs="Arial"/>
                <w:sz w:val="20"/>
              </w:rPr>
              <w:t>Enhancing institutional capacity of public authorities and stakeholders and efficient public administration</w:t>
            </w:r>
          </w:p>
        </w:tc>
        <w:tc>
          <w:tcPr>
            <w:tcW w:w="3685" w:type="dxa"/>
          </w:tcPr>
          <w:p w:rsidR="00DF4E40" w:rsidRPr="00304864" w:rsidRDefault="00DF4E40">
            <w:pPr>
              <w:jc w:val="left"/>
              <w:rPr>
                <w:rFonts w:ascii="Arial" w:hAnsi="Arial" w:cs="Arial"/>
                <w:sz w:val="20"/>
                <w:lang w:val="de-AT"/>
              </w:rPr>
            </w:pPr>
            <w:r w:rsidRPr="00304864">
              <w:rPr>
                <w:rFonts w:ascii="Arial" w:hAnsi="Arial" w:cs="Arial"/>
                <w:b/>
                <w:sz w:val="20"/>
                <w:lang w:val="de-AT" w:eastAsia="fr-BE"/>
              </w:rPr>
              <w:t xml:space="preserve">IP11 </w:t>
            </w:r>
            <w:r w:rsidRPr="00304864">
              <w:rPr>
                <w:rFonts w:ascii="Arial" w:hAnsi="Arial" w:cs="Arial"/>
                <w:sz w:val="20"/>
                <w:lang w:val="de-AT" w:eastAsia="fr-BE"/>
              </w:rPr>
              <w:t>[art. 7 (b) Reg. (EU) 1299/2013]</w:t>
            </w:r>
          </w:p>
          <w:p w:rsidR="00DF4E40" w:rsidRPr="00304864" w:rsidRDefault="00DF4E40">
            <w:pPr>
              <w:jc w:val="left"/>
              <w:rPr>
                <w:rFonts w:ascii="Arial" w:hAnsi="Arial" w:cs="Arial"/>
                <w:sz w:val="20"/>
              </w:rPr>
            </w:pPr>
            <w:r w:rsidRPr="00304864">
              <w:rPr>
                <w:rFonts w:ascii="Arial" w:hAnsi="Arial" w:cs="Arial"/>
                <w:sz w:val="20"/>
              </w:rPr>
              <w:t>Enhancing institutional capacity of public authorities and stakeholders and efficient public administration by developing and coordinating macro-regional and sea-basin strategies</w:t>
            </w:r>
          </w:p>
        </w:tc>
        <w:tc>
          <w:tcPr>
            <w:tcW w:w="8363" w:type="dxa"/>
          </w:tcPr>
          <w:p w:rsidR="00DF4E40" w:rsidRPr="00A30AEC" w:rsidRDefault="00DF4E40" w:rsidP="00A30AEC">
            <w:pPr>
              <w:numPr>
                <w:ilvl w:val="0"/>
                <w:numId w:val="118"/>
              </w:numPr>
              <w:ind w:left="201" w:hanging="143"/>
              <w:jc w:val="left"/>
              <w:rPr>
                <w:rFonts w:ascii="Arial" w:hAnsi="Arial" w:cs="Arial"/>
                <w:sz w:val="20"/>
              </w:rPr>
            </w:pPr>
            <w:r w:rsidRPr="00A30AEC">
              <w:rPr>
                <w:rFonts w:ascii="Arial" w:hAnsi="Arial" w:cs="Arial"/>
                <w:sz w:val="20"/>
              </w:rPr>
              <w:t>Need to ensure a good governance of the EUSAIR</w:t>
            </w:r>
          </w:p>
          <w:p w:rsidR="00DF4E40" w:rsidRPr="00A30AEC" w:rsidRDefault="00DF4E40" w:rsidP="00A30AEC">
            <w:pPr>
              <w:numPr>
                <w:ilvl w:val="0"/>
                <w:numId w:val="118"/>
              </w:numPr>
              <w:ind w:left="201" w:hanging="143"/>
              <w:jc w:val="left"/>
              <w:rPr>
                <w:rFonts w:ascii="Arial" w:hAnsi="Arial" w:cs="Arial"/>
                <w:sz w:val="20"/>
              </w:rPr>
            </w:pPr>
            <w:r w:rsidRPr="00A30AEC">
              <w:rPr>
                <w:rFonts w:ascii="Arial" w:hAnsi="Arial" w:cs="Arial"/>
                <w:sz w:val="20"/>
              </w:rPr>
              <w:t xml:space="preserve">Need to put in place good and stable governance mechanisms and support to national coordinators </w:t>
            </w:r>
          </w:p>
          <w:p w:rsidR="00DF4E40" w:rsidRPr="00A30AEC" w:rsidRDefault="00DF4E40" w:rsidP="00A30AEC">
            <w:pPr>
              <w:numPr>
                <w:ilvl w:val="0"/>
                <w:numId w:val="118"/>
              </w:numPr>
              <w:ind w:left="201" w:hanging="143"/>
              <w:jc w:val="left"/>
              <w:rPr>
                <w:rFonts w:ascii="Arial" w:hAnsi="Arial" w:cs="Arial"/>
                <w:sz w:val="20"/>
              </w:rPr>
            </w:pPr>
            <w:r w:rsidRPr="00A30AEC">
              <w:rPr>
                <w:rFonts w:ascii="Arial" w:hAnsi="Arial" w:cs="Arial"/>
                <w:sz w:val="20"/>
              </w:rPr>
              <w:t xml:space="preserve">Need to ensure involvement of key stakeholders (national, regional, local) in capacity building for the strategy implementation </w:t>
            </w:r>
          </w:p>
          <w:p w:rsidR="00DF4E40" w:rsidRPr="00AA3E9A" w:rsidRDefault="00DF4E40" w:rsidP="00A30AEC">
            <w:pPr>
              <w:numPr>
                <w:ilvl w:val="0"/>
                <w:numId w:val="118"/>
              </w:numPr>
              <w:ind w:left="201" w:hanging="143"/>
              <w:jc w:val="left"/>
              <w:rPr>
                <w:rFonts w:ascii="Arial" w:hAnsi="Arial" w:cs="Arial"/>
                <w:sz w:val="20"/>
              </w:rPr>
            </w:pPr>
            <w:r w:rsidRPr="00AA3E9A">
              <w:rPr>
                <w:rFonts w:ascii="Arial" w:hAnsi="Arial" w:cs="Arial"/>
                <w:sz w:val="20"/>
              </w:rPr>
              <w:t xml:space="preserve">Need to strengthen the capacity for territorial analysis on the basis of harmonised data collection </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to support project ideas to become mature transnational projects</w:t>
            </w:r>
          </w:p>
          <w:p w:rsidR="00DF4E40" w:rsidRPr="00AA3E9A" w:rsidRDefault="00DF4E40" w:rsidP="00A30AEC">
            <w:pPr>
              <w:numPr>
                <w:ilvl w:val="0"/>
                <w:numId w:val="118"/>
              </w:numPr>
              <w:ind w:left="201" w:hanging="143"/>
              <w:jc w:val="left"/>
              <w:rPr>
                <w:rFonts w:ascii="Arial" w:hAnsi="Arial" w:cs="Arial"/>
                <w:sz w:val="20"/>
              </w:rPr>
            </w:pPr>
            <w:r w:rsidRPr="00304864">
              <w:rPr>
                <w:rFonts w:ascii="Arial" w:hAnsi="Arial" w:cs="Arial"/>
                <w:sz w:val="20"/>
              </w:rPr>
              <w:t>Need for identification and coordination of all possible funding sources</w:t>
            </w:r>
            <w:r w:rsidRPr="00A30AEC">
              <w:rPr>
                <w:rFonts w:ascii="Arial" w:hAnsi="Arial" w:cs="Arial"/>
                <w:sz w:val="20"/>
              </w:rPr>
              <w:footnoteReference w:id="5"/>
            </w:r>
            <w:r w:rsidRPr="00AA3E9A">
              <w:rPr>
                <w:rFonts w:ascii="Arial" w:hAnsi="Arial" w:cs="Arial"/>
                <w:sz w:val="20"/>
              </w:rPr>
              <w:t xml:space="preserve"> for joint projects, as the stakeholders tend to lack knowledge about different funding sources</w:t>
            </w:r>
          </w:p>
          <w:p w:rsidR="00DF4E40" w:rsidRPr="00304864" w:rsidRDefault="00DF4E40" w:rsidP="00A30AEC">
            <w:pPr>
              <w:numPr>
                <w:ilvl w:val="0"/>
                <w:numId w:val="118"/>
              </w:numPr>
              <w:ind w:left="201" w:hanging="143"/>
              <w:jc w:val="left"/>
              <w:rPr>
                <w:rFonts w:ascii="Arial" w:hAnsi="Arial" w:cs="Arial"/>
                <w:sz w:val="20"/>
              </w:rPr>
            </w:pPr>
            <w:r w:rsidRPr="00304864">
              <w:rPr>
                <w:rFonts w:ascii="Arial" w:hAnsi="Arial" w:cs="Arial"/>
                <w:sz w:val="20"/>
              </w:rPr>
              <w:t>Need for coordination with other existing and future macro regional strategies</w:t>
            </w:r>
          </w:p>
        </w:tc>
      </w:tr>
    </w:tbl>
    <w:p w:rsidR="00F92654" w:rsidRDefault="00F92654">
      <w:pPr>
        <w:rPr>
          <w:rFonts w:ascii="Arial" w:hAnsi="Arial" w:cs="Arial"/>
          <w:sz w:val="22"/>
          <w:szCs w:val="22"/>
          <w:lang w:eastAsia="fr-BE"/>
        </w:rPr>
        <w:sectPr w:rsidR="00F92654" w:rsidSect="00A961B0">
          <w:pgSz w:w="16838" w:h="11906" w:orient="landscape"/>
          <w:pgMar w:top="1417" w:right="1134" w:bottom="1134" w:left="1134" w:header="601" w:footer="680" w:gutter="0"/>
          <w:cols w:space="720"/>
          <w:titlePg/>
          <w:docGrid w:linePitch="326"/>
        </w:sectPr>
      </w:pPr>
    </w:p>
    <w:p w:rsidR="00DF4E40" w:rsidRPr="00304864" w:rsidRDefault="00DF4E40" w:rsidP="00A30AEC">
      <w:pPr>
        <w:pStyle w:val="Heading2"/>
        <w:spacing w:after="120"/>
      </w:pPr>
      <w:bookmarkStart w:id="74" w:name="_Toc365660111"/>
      <w:bookmarkStart w:id="75" w:name="_Toc366097032"/>
      <w:bookmarkStart w:id="76" w:name="_Toc377402547"/>
      <w:bookmarkStart w:id="77" w:name="_Toc420652489"/>
      <w:bookmarkStart w:id="78" w:name="_Toc421076841"/>
      <w:r w:rsidRPr="00304864">
        <w:t>Justification of the financial allocation</w:t>
      </w:r>
      <w:bookmarkEnd w:id="74"/>
      <w:bookmarkEnd w:id="75"/>
      <w:bookmarkEnd w:id="76"/>
      <w:bookmarkEnd w:id="77"/>
      <w:bookmarkEnd w:id="78"/>
    </w:p>
    <w:p w:rsidR="00F374B3" w:rsidRPr="00F374B3" w:rsidRDefault="00F374B3" w:rsidP="00F374B3">
      <w:pPr>
        <w:rPr>
          <w:rFonts w:ascii="Arial" w:hAnsi="Arial" w:cs="Arial"/>
          <w:bCs/>
          <w:color w:val="000000"/>
          <w:sz w:val="22"/>
          <w:szCs w:val="22"/>
          <w:lang w:eastAsia="es-ES"/>
        </w:rPr>
      </w:pPr>
      <w:r>
        <w:rPr>
          <w:rFonts w:ascii="Arial" w:hAnsi="Arial" w:cs="Arial"/>
          <w:sz w:val="22"/>
          <w:szCs w:val="22"/>
        </w:rPr>
        <w:t>T</w:t>
      </w:r>
      <w:r w:rsidRPr="00304864">
        <w:rPr>
          <w:rFonts w:ascii="Arial" w:hAnsi="Arial" w:cs="Arial"/>
          <w:sz w:val="22"/>
          <w:szCs w:val="22"/>
        </w:rPr>
        <w:t xml:space="preserve">he overall Programme budget amounts to EUR </w:t>
      </w:r>
      <w:r w:rsidRPr="00F374B3">
        <w:rPr>
          <w:rFonts w:ascii="Arial" w:hAnsi="Arial" w:cs="Arial"/>
          <w:bCs/>
          <w:color w:val="000000"/>
          <w:sz w:val="22"/>
          <w:szCs w:val="22"/>
          <w:lang w:eastAsia="es-ES"/>
        </w:rPr>
        <w:t>117.</w:t>
      </w:r>
      <w:r w:rsidR="00817827">
        <w:rPr>
          <w:rFonts w:ascii="Arial" w:hAnsi="Arial" w:cs="Arial"/>
          <w:bCs/>
          <w:color w:val="000000"/>
          <w:sz w:val="22"/>
          <w:szCs w:val="22"/>
          <w:lang w:eastAsia="es-ES"/>
        </w:rPr>
        <w:t>918.197</w:t>
      </w:r>
      <w:r w:rsidRPr="00304864">
        <w:rPr>
          <w:rFonts w:ascii="Arial" w:hAnsi="Arial" w:cs="Arial"/>
          <w:sz w:val="22"/>
          <w:szCs w:val="22"/>
        </w:rPr>
        <w:t>including European Regional Development Fund (ERDF) - EUR 83.467.72</w:t>
      </w:r>
      <w:r>
        <w:rPr>
          <w:rFonts w:ascii="Arial" w:hAnsi="Arial" w:cs="Arial"/>
          <w:sz w:val="22"/>
          <w:szCs w:val="22"/>
        </w:rPr>
        <w:t>9</w:t>
      </w:r>
      <w:r w:rsidRPr="00304864">
        <w:rPr>
          <w:rFonts w:ascii="Arial" w:hAnsi="Arial" w:cs="Arial"/>
          <w:sz w:val="22"/>
          <w:szCs w:val="22"/>
        </w:rPr>
        <w:t xml:space="preserve"> -, the Instrument for Pre-Accession Assistance (IPA II) - EUR 15.688.887 - and national contributions - EUR </w:t>
      </w:r>
      <w:r w:rsidR="00817827">
        <w:rPr>
          <w:rFonts w:ascii="Arial" w:hAnsi="Arial" w:cs="Arial"/>
          <w:sz w:val="22"/>
          <w:szCs w:val="22"/>
        </w:rPr>
        <w:t xml:space="preserve">18.761.581 </w:t>
      </w:r>
    </w:p>
    <w:p w:rsidR="00DF4E40" w:rsidRPr="00304864" w:rsidRDefault="00DF4E40">
      <w:pPr>
        <w:rPr>
          <w:rFonts w:ascii="Arial" w:hAnsi="Arial" w:cs="Arial"/>
          <w:sz w:val="22"/>
          <w:szCs w:val="22"/>
        </w:rPr>
      </w:pPr>
      <w:r w:rsidRPr="00304864">
        <w:rPr>
          <w:rFonts w:ascii="Arial" w:hAnsi="Arial" w:cs="Arial"/>
          <w:sz w:val="22"/>
          <w:szCs w:val="22"/>
        </w:rPr>
        <w:t xml:space="preserve">as described in Section 3. </w:t>
      </w:r>
    </w:p>
    <w:p w:rsidR="00DF4E40" w:rsidRPr="00587306" w:rsidRDefault="00DF4E40">
      <w:pPr>
        <w:pStyle w:val="mStandard"/>
        <w:spacing w:before="0" w:after="120" w:line="240" w:lineRule="auto"/>
        <w:rPr>
          <w:rFonts w:cs="Arial"/>
          <w:lang w:val="en-GB"/>
        </w:rPr>
      </w:pPr>
      <w:r w:rsidRPr="003E2F90">
        <w:rPr>
          <w:rFonts w:cs="Arial"/>
          <w:lang w:val="en-GB"/>
        </w:rPr>
        <w:t>The financial allocation to the selected TO</w:t>
      </w:r>
      <w:r w:rsidR="00415612">
        <w:rPr>
          <w:rFonts w:cs="Arial"/>
          <w:lang w:val="en-GB"/>
        </w:rPr>
        <w:t>s</w:t>
      </w:r>
      <w:r w:rsidR="00F374B3" w:rsidRPr="003E2F90">
        <w:rPr>
          <w:rFonts w:cs="Arial"/>
          <w:lang w:val="en-GB"/>
        </w:rPr>
        <w:t>reflect</w:t>
      </w:r>
      <w:r w:rsidRPr="003E2F90">
        <w:rPr>
          <w:rFonts w:cs="Arial"/>
          <w:lang w:val="en-GB"/>
        </w:rPr>
        <w:t>:</w:t>
      </w:r>
    </w:p>
    <w:p w:rsidR="00DF4E40" w:rsidRPr="009956A4" w:rsidRDefault="00DF4E40" w:rsidP="00A30AEC">
      <w:pPr>
        <w:pStyle w:val="mStandard"/>
        <w:numPr>
          <w:ilvl w:val="0"/>
          <w:numId w:val="119"/>
        </w:numPr>
        <w:spacing w:before="0" w:after="120" w:line="240" w:lineRule="auto"/>
        <w:rPr>
          <w:rFonts w:cs="Arial"/>
          <w:lang w:val="en-GB"/>
        </w:rPr>
      </w:pPr>
      <w:r w:rsidRPr="009956A4">
        <w:rPr>
          <w:rFonts w:cs="Arial"/>
          <w:lang w:val="en-GB"/>
        </w:rPr>
        <w:t xml:space="preserve">The estimated financial size of the projects foreseen in each </w:t>
      </w:r>
      <w:r w:rsidR="004A0CC2">
        <w:rPr>
          <w:rFonts w:cs="Arial"/>
          <w:lang w:val="en-GB"/>
        </w:rPr>
        <w:t>Priority Axis (PA)</w:t>
      </w:r>
      <w:r w:rsidRPr="009956A4">
        <w:rPr>
          <w:rFonts w:cs="Arial"/>
          <w:lang w:val="en-GB"/>
        </w:rPr>
        <w:t xml:space="preserve"> axis based on the experience of the 2007-2013 period;</w:t>
      </w:r>
    </w:p>
    <w:p w:rsidR="00DF4E40" w:rsidRPr="007549AE" w:rsidRDefault="00DF4E40" w:rsidP="00A30AEC">
      <w:pPr>
        <w:pStyle w:val="mStandard"/>
        <w:numPr>
          <w:ilvl w:val="0"/>
          <w:numId w:val="119"/>
        </w:numPr>
        <w:spacing w:before="0" w:after="120" w:line="240" w:lineRule="auto"/>
        <w:rPr>
          <w:rFonts w:cs="Arial"/>
          <w:lang w:val="en-GB"/>
        </w:rPr>
      </w:pPr>
      <w:r w:rsidRPr="00E30729">
        <w:rPr>
          <w:rFonts w:cs="Arial"/>
          <w:lang w:val="en-GB"/>
        </w:rPr>
        <w:t xml:space="preserve">The coherence with the needs of the </w:t>
      </w:r>
      <w:r w:rsidRPr="00CE2AC8">
        <w:rPr>
          <w:rFonts w:cs="Arial"/>
          <w:lang w:val="en-GB"/>
        </w:rPr>
        <w:t>Partner States;</w:t>
      </w:r>
    </w:p>
    <w:p w:rsidR="00DF4E40" w:rsidRPr="00A30AEC" w:rsidRDefault="00DF4E40" w:rsidP="00A30AEC">
      <w:pPr>
        <w:pStyle w:val="mStandard"/>
        <w:numPr>
          <w:ilvl w:val="0"/>
          <w:numId w:val="119"/>
        </w:numPr>
        <w:spacing w:before="0" w:after="120" w:line="240" w:lineRule="auto"/>
        <w:rPr>
          <w:rFonts w:cs="Arial"/>
          <w:lang w:val="en-GB"/>
        </w:rPr>
      </w:pPr>
      <w:r w:rsidRPr="00C71BD4">
        <w:rPr>
          <w:rFonts w:cs="Arial"/>
          <w:lang w:val="en-GB"/>
        </w:rPr>
        <w:t xml:space="preserve">The opinions expressed during the consultation rounds; and </w:t>
      </w:r>
    </w:p>
    <w:p w:rsidR="00DF4E40" w:rsidRPr="00A30AEC" w:rsidRDefault="00DF4E40" w:rsidP="00A30AEC">
      <w:pPr>
        <w:pStyle w:val="mStandard"/>
        <w:numPr>
          <w:ilvl w:val="0"/>
          <w:numId w:val="119"/>
        </w:numPr>
        <w:spacing w:before="0" w:after="120" w:line="240" w:lineRule="auto"/>
        <w:rPr>
          <w:rFonts w:cs="Arial"/>
          <w:lang w:val="en-GB"/>
        </w:rPr>
      </w:pPr>
      <w:r w:rsidRPr="00A30AEC">
        <w:rPr>
          <w:rFonts w:cs="Arial"/>
          <w:lang w:val="en-GB"/>
        </w:rPr>
        <w:t xml:space="preserve">Last, but not least, the expression of the strategic choices of the ADRION stakeholders. </w:t>
      </w:r>
    </w:p>
    <w:p w:rsidR="00DF4E40" w:rsidRPr="00A30AEC" w:rsidRDefault="00DF4E40" w:rsidP="00AA3E9A">
      <w:pPr>
        <w:pStyle w:val="mStandard"/>
        <w:spacing w:before="0" w:after="120" w:line="240" w:lineRule="auto"/>
        <w:rPr>
          <w:rFonts w:cs="Arial"/>
          <w:lang w:val="en-GB"/>
        </w:rPr>
      </w:pPr>
    </w:p>
    <w:p w:rsidR="00DF4E40" w:rsidRPr="00A30AEC" w:rsidRDefault="00DF4E40">
      <w:pPr>
        <w:pStyle w:val="mStandard"/>
        <w:spacing w:before="0" w:after="120" w:line="240" w:lineRule="auto"/>
        <w:rPr>
          <w:rFonts w:cs="Arial"/>
          <w:lang w:val="en-GB"/>
        </w:rPr>
      </w:pPr>
      <w:r w:rsidRPr="00A30AEC">
        <w:rPr>
          <w:rFonts w:cs="Arial"/>
          <w:lang w:val="en-GB"/>
        </w:rPr>
        <w:t>When estimating financial allocations per TO, an average budget of 2 MEUR per operation was assumed. The financial allocation per PA is as follows:</w:t>
      </w:r>
    </w:p>
    <w:p w:rsidR="00DF4E40" w:rsidRPr="003E2F90" w:rsidRDefault="00DF4E40" w:rsidP="00A30AEC">
      <w:pPr>
        <w:pStyle w:val="mStandard"/>
        <w:numPr>
          <w:ilvl w:val="0"/>
          <w:numId w:val="120"/>
        </w:numPr>
        <w:spacing w:before="0" w:after="120" w:line="240" w:lineRule="auto"/>
        <w:rPr>
          <w:rFonts w:cs="Arial"/>
          <w:lang w:val="en-GB"/>
        </w:rPr>
      </w:pPr>
      <w:r w:rsidRPr="00A30AEC">
        <w:rPr>
          <w:rFonts w:cs="Arial"/>
          <w:lang w:val="en-GB"/>
        </w:rPr>
        <w:t>PA 1 (TO 1): the planned budget allocation (Union funds) to PA 1 is EUR 19.691.</w:t>
      </w:r>
      <w:r w:rsidR="00F374B3" w:rsidRPr="00A30AEC">
        <w:rPr>
          <w:rFonts w:cs="Arial"/>
          <w:lang w:val="en-GB"/>
        </w:rPr>
        <w:t>65</w:t>
      </w:r>
      <w:r w:rsidR="00415612">
        <w:rPr>
          <w:rFonts w:cs="Arial"/>
          <w:lang w:val="en-GB"/>
        </w:rPr>
        <w:t>8</w:t>
      </w:r>
      <w:r w:rsidRPr="00304864">
        <w:rPr>
          <w:rFonts w:cs="Arial"/>
          <w:lang w:val="en-GB"/>
        </w:rPr>
        <w:t xml:space="preserve">corresponding to 20% of the total. The financial allocation to this Priority is in line with the emphasis placed on innovation, technology transfer and entrepreneurship by all </w:t>
      </w:r>
      <w:r w:rsidR="009956A4">
        <w:rPr>
          <w:rFonts w:cs="Arial"/>
          <w:lang w:val="en-GB"/>
        </w:rPr>
        <w:t>ERDF</w:t>
      </w:r>
      <w:r w:rsidR="009E59B0">
        <w:rPr>
          <w:rFonts w:cs="Arial"/>
          <w:lang w:val="en-GB"/>
        </w:rPr>
        <w:t xml:space="preserve"> and IPA </w:t>
      </w:r>
      <w:r w:rsidRPr="00304864">
        <w:rPr>
          <w:rFonts w:cs="Arial"/>
          <w:lang w:val="en-GB"/>
        </w:rPr>
        <w:t xml:space="preserve">Partner States, the orientation of the EUSAIR and the consultations undertaken during the programming process. </w:t>
      </w:r>
    </w:p>
    <w:p w:rsidR="00DF4E40" w:rsidRPr="00641971" w:rsidRDefault="00DF4E40" w:rsidP="00A30AEC">
      <w:pPr>
        <w:pStyle w:val="mStandard"/>
        <w:numPr>
          <w:ilvl w:val="0"/>
          <w:numId w:val="120"/>
        </w:numPr>
        <w:spacing w:before="0" w:after="120" w:line="240" w:lineRule="auto"/>
        <w:rPr>
          <w:rFonts w:cs="Arial"/>
          <w:lang w:val="en-GB"/>
        </w:rPr>
      </w:pPr>
      <w:r w:rsidRPr="00587306">
        <w:rPr>
          <w:rFonts w:cs="Arial"/>
          <w:lang w:val="en-GB"/>
        </w:rPr>
        <w:t xml:space="preserve">PA 2 (TO 6): the planned budget allocation (Union funds) to PA 2 is EUR </w:t>
      </w:r>
      <w:r w:rsidRPr="009956A4">
        <w:rPr>
          <w:rFonts w:cs="Arial"/>
          <w:lang w:val="en-GB"/>
        </w:rPr>
        <w:t>45.472.376</w:t>
      </w:r>
      <w:r w:rsidRPr="00E30729">
        <w:rPr>
          <w:rFonts w:cs="Arial"/>
          <w:lang w:val="en-GB"/>
        </w:rPr>
        <w:t>, corresponding to 46% of the total. This financial allocation reflects the expected size of act</w:t>
      </w:r>
      <w:r w:rsidRPr="0082241B">
        <w:rPr>
          <w:rFonts w:cs="Arial"/>
          <w:lang w:val="en-GB"/>
        </w:rPr>
        <w:t>ions relating to the valorisation of cultural and natural heritage and the needs for increasing awareness, harmonising management approaches, facilitating knowledge transfer and fostering shared potentials and responsibilities in the field of environmental</w:t>
      </w:r>
      <w:r w:rsidRPr="00641971">
        <w:rPr>
          <w:rFonts w:cs="Arial"/>
          <w:lang w:val="en-GB"/>
        </w:rPr>
        <w:t xml:space="preserve"> protection and risk management. </w:t>
      </w:r>
    </w:p>
    <w:p w:rsidR="00DF4E40" w:rsidRPr="00A30AEC" w:rsidRDefault="00DF4E40" w:rsidP="00A30AEC">
      <w:pPr>
        <w:pStyle w:val="mStandard"/>
        <w:numPr>
          <w:ilvl w:val="0"/>
          <w:numId w:val="120"/>
        </w:numPr>
        <w:spacing w:before="0" w:after="120" w:line="240" w:lineRule="auto"/>
        <w:rPr>
          <w:rFonts w:cs="Arial"/>
          <w:lang w:val="en-GB"/>
        </w:rPr>
      </w:pPr>
      <w:r w:rsidRPr="00CE2AC8">
        <w:rPr>
          <w:rFonts w:cs="Arial"/>
          <w:lang w:val="en-GB"/>
        </w:rPr>
        <w:t>PA 3 (TO 7): the planned budget allocation (Union funds) to P</w:t>
      </w:r>
      <w:r w:rsidR="004A0CC2">
        <w:rPr>
          <w:rFonts w:cs="Arial"/>
          <w:lang w:val="en-GB"/>
        </w:rPr>
        <w:t>A</w:t>
      </w:r>
      <w:r w:rsidRPr="009956A4">
        <w:rPr>
          <w:rFonts w:cs="Arial"/>
          <w:lang w:val="en-GB"/>
        </w:rPr>
        <w:t xml:space="preserve"> 4 is EUR </w:t>
      </w:r>
      <w:r w:rsidRPr="00A30AEC">
        <w:rPr>
          <w:rFonts w:cs="Arial"/>
          <w:lang w:val="en-GB"/>
        </w:rPr>
        <w:t>17.708.524, corresponding to 18% of the total. The financial allocation to this Priority is in line with the emphasis placed on connectivity, efficient and environmental friendly mobility and transport within all Partner States as a prerequisite for all EUSAIR pillars. It also reflects the relative low demand in this thematic orientation expressed both during the 2007-2013 period and the current programming consultations.</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PA 4 (TO 11): the planned budget allocation (Union funds) to PA 4 is EUR 9.775.995, corresponding to 10% of the total. It derives from the need to address governance challenges and development in the ADRION area by investing in multilevel and multi-country governance in the tasks, approaches, services and processes of public administrations and key stakeholders in the context of the implementation of the EUSAIR</w:t>
      </w:r>
      <w:r w:rsidRPr="00AA3E9A">
        <w:rPr>
          <w:rFonts w:cs="Arial"/>
          <w:lang w:val="en-GB"/>
        </w:rPr>
        <w:t>.</w:t>
      </w:r>
    </w:p>
    <w:p w:rsidR="00F92654" w:rsidRDefault="00F92654">
      <w:pPr>
        <w:pStyle w:val="ListBullet1"/>
        <w:ind w:left="0" w:firstLine="0"/>
        <w:rPr>
          <w:rFonts w:ascii="Arial" w:hAnsi="Arial" w:cs="Arial"/>
          <w:sz w:val="22"/>
          <w:szCs w:val="22"/>
        </w:rPr>
        <w:sectPr w:rsidR="00F92654" w:rsidSect="00A961B0">
          <w:pgSz w:w="11906" w:h="16838"/>
          <w:pgMar w:top="1417" w:right="1134" w:bottom="1134" w:left="1134" w:header="601" w:footer="680" w:gutter="0"/>
          <w:cols w:space="720"/>
          <w:titlePg/>
          <w:docGrid w:linePitch="326"/>
        </w:sectPr>
      </w:pPr>
    </w:p>
    <w:p w:rsidR="00DF4E40" w:rsidRPr="00304864" w:rsidRDefault="00DF4E40">
      <w:pPr>
        <w:pStyle w:val="Text1"/>
        <w:ind w:left="0"/>
        <w:rPr>
          <w:rFonts w:ascii="Arial" w:hAnsi="Arial" w:cs="Arial"/>
          <w:b/>
          <w:sz w:val="22"/>
          <w:szCs w:val="22"/>
        </w:rPr>
      </w:pPr>
      <w:r w:rsidRPr="00304864">
        <w:rPr>
          <w:rFonts w:ascii="Arial" w:hAnsi="Arial" w:cs="Arial"/>
          <w:b/>
          <w:sz w:val="22"/>
          <w:szCs w:val="22"/>
        </w:rPr>
        <w:t>Table 2:Overview of the investment strategy of the cooperation programme</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3"/>
        <w:gridCol w:w="1276"/>
        <w:gridCol w:w="1048"/>
        <w:gridCol w:w="1418"/>
        <w:gridCol w:w="1417"/>
        <w:gridCol w:w="2268"/>
        <w:gridCol w:w="2126"/>
        <w:gridCol w:w="2126"/>
        <w:gridCol w:w="2552"/>
      </w:tblGrid>
      <w:tr w:rsidR="00AD02BA" w:rsidRPr="0023298C" w:rsidTr="00341914">
        <w:trPr>
          <w:trHeight w:val="522"/>
          <w:jc w:val="center"/>
        </w:trPr>
        <w:tc>
          <w:tcPr>
            <w:tcW w:w="1363" w:type="dxa"/>
            <w:vMerge w:val="restart"/>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Priority axis</w:t>
            </w:r>
          </w:p>
        </w:tc>
        <w:tc>
          <w:tcPr>
            <w:tcW w:w="1276" w:type="dxa"/>
            <w:vMerge w:val="restart"/>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ERDF support (EUR)</w:t>
            </w:r>
          </w:p>
        </w:tc>
        <w:tc>
          <w:tcPr>
            <w:tcW w:w="3883" w:type="dxa"/>
            <w:gridSpan w:val="3"/>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Proportion of the total Union support to the cooperation programme (by Fund)</w:t>
            </w:r>
            <w:r w:rsidRPr="0023298C">
              <w:rPr>
                <w:rStyle w:val="FootnoteReference"/>
                <w:rFonts w:ascii="Arial" w:hAnsi="Arial" w:cs="Arial"/>
                <w:b/>
                <w:sz w:val="20"/>
                <w:vertAlign w:val="baseline"/>
              </w:rPr>
              <w:footnoteReference w:id="6"/>
            </w:r>
          </w:p>
        </w:tc>
        <w:tc>
          <w:tcPr>
            <w:tcW w:w="2268" w:type="dxa"/>
            <w:vMerge w:val="restart"/>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Thematic Objective</w:t>
            </w:r>
            <w:r w:rsidRPr="0023298C">
              <w:rPr>
                <w:rStyle w:val="FootnoteReference"/>
                <w:rFonts w:ascii="Arial" w:hAnsi="Arial" w:cs="Arial"/>
                <w:b/>
                <w:sz w:val="20"/>
              </w:rPr>
              <w:footnoteReference w:id="7"/>
            </w:r>
          </w:p>
        </w:tc>
        <w:tc>
          <w:tcPr>
            <w:tcW w:w="2126" w:type="dxa"/>
            <w:vMerge w:val="restart"/>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Investment priorities</w:t>
            </w:r>
            <w:r w:rsidRPr="0023298C">
              <w:rPr>
                <w:rStyle w:val="FootnoteReference"/>
                <w:rFonts w:ascii="Arial" w:hAnsi="Arial" w:cs="Arial"/>
                <w:b/>
                <w:sz w:val="20"/>
              </w:rPr>
              <w:footnoteReference w:id="8"/>
            </w:r>
          </w:p>
        </w:tc>
        <w:tc>
          <w:tcPr>
            <w:tcW w:w="2126" w:type="dxa"/>
            <w:vMerge w:val="restart"/>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Specific Objectives</w:t>
            </w:r>
          </w:p>
        </w:tc>
        <w:tc>
          <w:tcPr>
            <w:tcW w:w="2552" w:type="dxa"/>
            <w:vMerge w:val="restart"/>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Result indicators corresponding to the Specific Objective</w:t>
            </w:r>
          </w:p>
        </w:tc>
      </w:tr>
      <w:tr w:rsidR="00A90DA2" w:rsidRPr="0023298C" w:rsidTr="00341914">
        <w:trPr>
          <w:trHeight w:val="521"/>
          <w:jc w:val="center"/>
        </w:trPr>
        <w:tc>
          <w:tcPr>
            <w:tcW w:w="1363" w:type="dxa"/>
            <w:vMerge/>
          </w:tcPr>
          <w:p w:rsidR="00DF4E40" w:rsidRPr="0023298C" w:rsidRDefault="00DF4E40">
            <w:pPr>
              <w:pStyle w:val="Text1"/>
              <w:rPr>
                <w:rFonts w:ascii="Arial" w:hAnsi="Arial" w:cs="Arial"/>
                <w:b/>
                <w:sz w:val="20"/>
              </w:rPr>
            </w:pPr>
          </w:p>
        </w:tc>
        <w:tc>
          <w:tcPr>
            <w:tcW w:w="1276" w:type="dxa"/>
            <w:vMerge/>
          </w:tcPr>
          <w:p w:rsidR="00DF4E40" w:rsidRPr="0023298C" w:rsidRDefault="00DF4E40">
            <w:pPr>
              <w:pStyle w:val="Text1"/>
              <w:rPr>
                <w:rFonts w:ascii="Arial" w:hAnsi="Arial" w:cs="Arial"/>
                <w:sz w:val="20"/>
              </w:rPr>
            </w:pPr>
          </w:p>
        </w:tc>
        <w:tc>
          <w:tcPr>
            <w:tcW w:w="1048" w:type="dxa"/>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ERDF</w:t>
            </w:r>
          </w:p>
        </w:tc>
        <w:tc>
          <w:tcPr>
            <w:tcW w:w="1418" w:type="dxa"/>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ENI (where applicable)</w:t>
            </w:r>
          </w:p>
        </w:tc>
        <w:tc>
          <w:tcPr>
            <w:tcW w:w="1417" w:type="dxa"/>
            <w:shd w:val="clear" w:color="auto" w:fill="C6D9F1"/>
            <w:vAlign w:val="center"/>
          </w:tcPr>
          <w:p w:rsidR="00DF4E40" w:rsidRPr="0023298C" w:rsidRDefault="00DF4E40">
            <w:pPr>
              <w:pStyle w:val="Text1"/>
              <w:ind w:left="0"/>
              <w:jc w:val="center"/>
              <w:rPr>
                <w:rFonts w:ascii="Arial" w:hAnsi="Arial" w:cs="Arial"/>
                <w:b/>
                <w:sz w:val="20"/>
              </w:rPr>
            </w:pPr>
            <w:r w:rsidRPr="0023298C">
              <w:rPr>
                <w:rFonts w:ascii="Arial" w:hAnsi="Arial" w:cs="Arial"/>
                <w:b/>
                <w:sz w:val="20"/>
              </w:rPr>
              <w:t>IPA (where applicable)</w:t>
            </w:r>
          </w:p>
        </w:tc>
        <w:tc>
          <w:tcPr>
            <w:tcW w:w="2268" w:type="dxa"/>
            <w:vMerge/>
          </w:tcPr>
          <w:p w:rsidR="00DF4E40" w:rsidRPr="0023298C" w:rsidRDefault="00DF4E40">
            <w:pPr>
              <w:pStyle w:val="Text1"/>
              <w:rPr>
                <w:rFonts w:ascii="Arial" w:hAnsi="Arial" w:cs="Arial"/>
                <w:sz w:val="20"/>
              </w:rPr>
            </w:pPr>
          </w:p>
        </w:tc>
        <w:tc>
          <w:tcPr>
            <w:tcW w:w="2126" w:type="dxa"/>
            <w:vMerge/>
          </w:tcPr>
          <w:p w:rsidR="00DF4E40" w:rsidRPr="0023298C" w:rsidRDefault="00DF4E40">
            <w:pPr>
              <w:pStyle w:val="Text1"/>
              <w:rPr>
                <w:rFonts w:ascii="Arial" w:hAnsi="Arial" w:cs="Arial"/>
                <w:sz w:val="20"/>
              </w:rPr>
            </w:pPr>
          </w:p>
        </w:tc>
        <w:tc>
          <w:tcPr>
            <w:tcW w:w="2126" w:type="dxa"/>
            <w:vMerge/>
          </w:tcPr>
          <w:p w:rsidR="00DF4E40" w:rsidRPr="0023298C" w:rsidRDefault="00DF4E40">
            <w:pPr>
              <w:pStyle w:val="Text1"/>
              <w:rPr>
                <w:rFonts w:ascii="Arial" w:hAnsi="Arial" w:cs="Arial"/>
                <w:sz w:val="20"/>
              </w:rPr>
            </w:pPr>
          </w:p>
        </w:tc>
        <w:tc>
          <w:tcPr>
            <w:tcW w:w="2552" w:type="dxa"/>
            <w:vMerge/>
          </w:tcPr>
          <w:p w:rsidR="00DF4E40" w:rsidRPr="0023298C" w:rsidRDefault="00DF4E40">
            <w:pPr>
              <w:pStyle w:val="Text1"/>
              <w:rPr>
                <w:rFonts w:ascii="Arial" w:hAnsi="Arial" w:cs="Arial"/>
                <w:sz w:val="20"/>
              </w:rPr>
            </w:pPr>
          </w:p>
        </w:tc>
      </w:tr>
      <w:tr w:rsidR="00953CF5" w:rsidRPr="0023298C" w:rsidTr="00341914">
        <w:trPr>
          <w:trHeight w:val="274"/>
          <w:jc w:val="center"/>
        </w:trPr>
        <w:tc>
          <w:tcPr>
            <w:tcW w:w="1363" w:type="dxa"/>
          </w:tcPr>
          <w:p w:rsidR="00953CF5" w:rsidRPr="0023298C" w:rsidRDefault="00953CF5">
            <w:pPr>
              <w:pStyle w:val="Text1"/>
              <w:ind w:left="0"/>
              <w:jc w:val="left"/>
              <w:rPr>
                <w:rFonts w:ascii="Arial" w:hAnsi="Arial" w:cs="Arial"/>
                <w:b/>
                <w:sz w:val="20"/>
              </w:rPr>
            </w:pPr>
            <w:r w:rsidRPr="0023298C">
              <w:rPr>
                <w:rFonts w:ascii="Arial" w:hAnsi="Arial" w:cs="Arial"/>
                <w:b/>
                <w:sz w:val="20"/>
              </w:rPr>
              <w:t>1.</w:t>
            </w:r>
          </w:p>
        </w:tc>
        <w:tc>
          <w:tcPr>
            <w:tcW w:w="1276" w:type="dxa"/>
          </w:tcPr>
          <w:p w:rsidR="00953CF5" w:rsidRPr="0023298C" w:rsidRDefault="00953CF5">
            <w:pPr>
              <w:jc w:val="left"/>
              <w:rPr>
                <w:rFonts w:ascii="Arial" w:hAnsi="Arial" w:cs="Arial"/>
                <w:color w:val="000000"/>
                <w:sz w:val="20"/>
              </w:rPr>
            </w:pPr>
            <w:r>
              <w:rPr>
                <w:rFonts w:ascii="Arial" w:hAnsi="Arial" w:cs="Arial"/>
                <w:color w:val="000000"/>
                <w:sz w:val="20"/>
              </w:rPr>
              <w:t>16.693.</w:t>
            </w:r>
            <w:r w:rsidR="00F374B3">
              <w:rPr>
                <w:rFonts w:ascii="Arial" w:hAnsi="Arial" w:cs="Arial"/>
                <w:color w:val="000000"/>
                <w:sz w:val="20"/>
              </w:rPr>
              <w:t>547</w:t>
            </w:r>
          </w:p>
          <w:p w:rsidR="00953CF5" w:rsidRPr="0023298C" w:rsidRDefault="00953CF5">
            <w:pPr>
              <w:pStyle w:val="Text1"/>
              <w:ind w:left="0"/>
              <w:jc w:val="left"/>
              <w:rPr>
                <w:rFonts w:ascii="Arial" w:hAnsi="Arial" w:cs="Arial"/>
                <w:sz w:val="20"/>
              </w:rPr>
            </w:pPr>
          </w:p>
        </w:tc>
        <w:tc>
          <w:tcPr>
            <w:tcW w:w="1048" w:type="dxa"/>
          </w:tcPr>
          <w:p w:rsidR="00953CF5" w:rsidRPr="0023298C" w:rsidRDefault="00953CF5" w:rsidP="004C5DFD">
            <w:pPr>
              <w:pStyle w:val="Text1"/>
              <w:ind w:left="0"/>
              <w:jc w:val="left"/>
              <w:rPr>
                <w:rFonts w:ascii="Arial" w:hAnsi="Arial" w:cs="Arial"/>
                <w:sz w:val="20"/>
              </w:rPr>
            </w:pPr>
            <w:r w:rsidRPr="0023298C">
              <w:rPr>
                <w:rFonts w:ascii="Arial" w:hAnsi="Arial" w:cs="Arial"/>
                <w:sz w:val="20"/>
              </w:rPr>
              <w:t>20%</w:t>
            </w:r>
          </w:p>
        </w:tc>
        <w:tc>
          <w:tcPr>
            <w:tcW w:w="1418" w:type="dxa"/>
          </w:tcPr>
          <w:p w:rsidR="00953CF5" w:rsidRPr="0023298C" w:rsidRDefault="00953CF5" w:rsidP="004C5DFD">
            <w:pPr>
              <w:pStyle w:val="Text1"/>
              <w:ind w:left="0"/>
              <w:jc w:val="left"/>
              <w:rPr>
                <w:rFonts w:ascii="Arial" w:hAnsi="Arial" w:cs="Arial"/>
                <w:sz w:val="20"/>
              </w:rPr>
            </w:pPr>
          </w:p>
        </w:tc>
        <w:tc>
          <w:tcPr>
            <w:tcW w:w="1417" w:type="dxa"/>
          </w:tcPr>
          <w:p w:rsidR="00953CF5" w:rsidRPr="0023298C" w:rsidRDefault="00953CF5" w:rsidP="004C5DFD">
            <w:pPr>
              <w:pStyle w:val="Text1"/>
              <w:ind w:left="0"/>
              <w:jc w:val="left"/>
              <w:rPr>
                <w:rFonts w:ascii="Arial" w:hAnsi="Arial" w:cs="Arial"/>
                <w:sz w:val="20"/>
              </w:rPr>
            </w:pPr>
            <w:r w:rsidRPr="0023298C">
              <w:rPr>
                <w:rFonts w:ascii="Arial" w:hAnsi="Arial" w:cs="Arial"/>
                <w:sz w:val="20"/>
              </w:rPr>
              <w:t>19%</w:t>
            </w:r>
          </w:p>
        </w:tc>
        <w:tc>
          <w:tcPr>
            <w:tcW w:w="2268" w:type="dxa"/>
          </w:tcPr>
          <w:p w:rsidR="00953CF5" w:rsidRPr="0023298C" w:rsidRDefault="00953CF5">
            <w:pPr>
              <w:pStyle w:val="Text1"/>
              <w:ind w:left="0"/>
              <w:jc w:val="left"/>
              <w:rPr>
                <w:rFonts w:ascii="Arial" w:hAnsi="Arial" w:cs="Arial"/>
                <w:sz w:val="20"/>
              </w:rPr>
            </w:pPr>
            <w:r w:rsidRPr="0023298C">
              <w:rPr>
                <w:rFonts w:ascii="Arial" w:hAnsi="Arial" w:cs="Arial"/>
                <w:sz w:val="20"/>
              </w:rPr>
              <w:t>1. Strengthening research, technological development and innovation</w:t>
            </w:r>
          </w:p>
        </w:tc>
        <w:tc>
          <w:tcPr>
            <w:tcW w:w="2126" w:type="dxa"/>
          </w:tcPr>
          <w:p w:rsidR="00953CF5" w:rsidRPr="0023298C" w:rsidRDefault="00953CF5">
            <w:pPr>
              <w:jc w:val="left"/>
              <w:rPr>
                <w:rFonts w:ascii="Arial" w:hAnsi="Arial" w:cs="Arial"/>
                <w:b/>
                <w:sz w:val="20"/>
                <w:lang w:eastAsia="fr-BE"/>
              </w:rPr>
            </w:pPr>
            <w:r w:rsidRPr="0023298C">
              <w:rPr>
                <w:rFonts w:ascii="Arial" w:hAnsi="Arial" w:cs="Arial"/>
                <w:b/>
                <w:sz w:val="20"/>
                <w:lang w:eastAsia="fr-BE"/>
              </w:rPr>
              <w:t>IP 1.b</w:t>
            </w:r>
          </w:p>
          <w:p w:rsidR="00953CF5" w:rsidRPr="0023298C" w:rsidRDefault="00953CF5">
            <w:pPr>
              <w:pStyle w:val="Text1"/>
              <w:ind w:left="0"/>
              <w:jc w:val="left"/>
              <w:rPr>
                <w:rFonts w:ascii="Arial" w:hAnsi="Arial" w:cs="Arial"/>
                <w:sz w:val="20"/>
                <w:lang w:eastAsia="fr-BE"/>
              </w:rPr>
            </w:pPr>
            <w:r w:rsidRPr="0023298C">
              <w:rPr>
                <w:rFonts w:ascii="Arial" w:hAnsi="Arial" w:cs="Arial"/>
                <w:sz w:val="20"/>
                <w:lang w:eastAsia="fr-BE"/>
              </w:rPr>
              <w:t>Promoting business investment in R&amp;I, developing links and synergies between enterprises, research and development centres and the higher education (…)</w:t>
            </w:r>
          </w:p>
        </w:tc>
        <w:tc>
          <w:tcPr>
            <w:tcW w:w="2126" w:type="dxa"/>
          </w:tcPr>
          <w:p w:rsidR="00953CF5" w:rsidRPr="0023298C" w:rsidRDefault="00953CF5">
            <w:pPr>
              <w:jc w:val="left"/>
              <w:rPr>
                <w:rFonts w:ascii="Arial" w:hAnsi="Arial" w:cs="Arial"/>
                <w:sz w:val="20"/>
              </w:rPr>
            </w:pPr>
            <w:r w:rsidRPr="0023298C">
              <w:rPr>
                <w:rFonts w:ascii="Arial" w:hAnsi="Arial" w:cs="Arial"/>
                <w:sz w:val="20"/>
              </w:rPr>
              <w:t xml:space="preserve">Support the development of a regional innovation system for the Adriatic-Ionian area </w:t>
            </w:r>
          </w:p>
        </w:tc>
        <w:tc>
          <w:tcPr>
            <w:tcW w:w="2552" w:type="dxa"/>
          </w:tcPr>
          <w:p w:rsidR="00953CF5" w:rsidRPr="0023298C" w:rsidRDefault="00953CF5">
            <w:pPr>
              <w:ind w:right="425"/>
              <w:jc w:val="left"/>
              <w:rPr>
                <w:rFonts w:ascii="Arial" w:hAnsi="Arial" w:cs="Arial"/>
                <w:sz w:val="20"/>
              </w:rPr>
            </w:pPr>
            <w:r w:rsidRPr="0023298C">
              <w:rPr>
                <w:rFonts w:ascii="Arial" w:hAnsi="Arial" w:cs="Arial"/>
                <w:sz w:val="20"/>
              </w:rPr>
              <w:t xml:space="preserve">Level of capacity of key innovation actors to be effectively involved in transnational actions for the development of a regional Innovation system </w:t>
            </w:r>
          </w:p>
        </w:tc>
      </w:tr>
      <w:tr w:rsidR="00953CF5" w:rsidRPr="0023298C" w:rsidTr="00341914">
        <w:trPr>
          <w:trHeight w:val="1638"/>
          <w:jc w:val="center"/>
        </w:trPr>
        <w:tc>
          <w:tcPr>
            <w:tcW w:w="1363" w:type="dxa"/>
            <w:vMerge w:val="restart"/>
          </w:tcPr>
          <w:p w:rsidR="00953CF5" w:rsidRPr="0023298C" w:rsidRDefault="00953CF5">
            <w:pPr>
              <w:pStyle w:val="Text1"/>
              <w:ind w:left="0"/>
              <w:jc w:val="left"/>
              <w:rPr>
                <w:rFonts w:ascii="Arial" w:hAnsi="Arial" w:cs="Arial"/>
                <w:b/>
                <w:sz w:val="20"/>
              </w:rPr>
            </w:pPr>
            <w:r w:rsidRPr="0023298C">
              <w:rPr>
                <w:rFonts w:ascii="Arial" w:hAnsi="Arial" w:cs="Arial"/>
                <w:b/>
                <w:sz w:val="20"/>
              </w:rPr>
              <w:t xml:space="preserve">2. </w:t>
            </w:r>
          </w:p>
        </w:tc>
        <w:tc>
          <w:tcPr>
            <w:tcW w:w="1276" w:type="dxa"/>
            <w:vMerge w:val="restart"/>
          </w:tcPr>
          <w:p w:rsidR="00953CF5" w:rsidRPr="0023298C" w:rsidRDefault="00953CF5">
            <w:pPr>
              <w:jc w:val="left"/>
              <w:rPr>
                <w:rFonts w:ascii="Arial" w:hAnsi="Arial" w:cs="Arial"/>
                <w:color w:val="000000"/>
                <w:sz w:val="20"/>
              </w:rPr>
            </w:pPr>
            <w:r w:rsidRPr="0023298C">
              <w:rPr>
                <w:rFonts w:ascii="Arial" w:hAnsi="Arial" w:cs="Arial"/>
                <w:color w:val="000000"/>
                <w:sz w:val="20"/>
              </w:rPr>
              <w:t>38.395.155</w:t>
            </w:r>
          </w:p>
          <w:p w:rsidR="00953CF5" w:rsidRPr="0023298C" w:rsidRDefault="00953CF5">
            <w:pPr>
              <w:pStyle w:val="Text1"/>
              <w:ind w:left="0"/>
              <w:jc w:val="left"/>
              <w:rPr>
                <w:rFonts w:ascii="Arial" w:hAnsi="Arial" w:cs="Arial"/>
                <w:sz w:val="20"/>
              </w:rPr>
            </w:pPr>
          </w:p>
        </w:tc>
        <w:tc>
          <w:tcPr>
            <w:tcW w:w="1048" w:type="dxa"/>
            <w:vMerge w:val="restart"/>
          </w:tcPr>
          <w:p w:rsidR="00953CF5" w:rsidRPr="0023298C" w:rsidRDefault="00953CF5" w:rsidP="004C5DFD">
            <w:pPr>
              <w:pStyle w:val="Text1"/>
              <w:ind w:left="0"/>
              <w:jc w:val="left"/>
              <w:rPr>
                <w:rFonts w:ascii="Arial" w:hAnsi="Arial" w:cs="Arial"/>
                <w:sz w:val="20"/>
              </w:rPr>
            </w:pPr>
            <w:r w:rsidRPr="0023298C">
              <w:rPr>
                <w:rFonts w:ascii="Arial" w:hAnsi="Arial" w:cs="Arial"/>
                <w:sz w:val="20"/>
              </w:rPr>
              <w:t>46%</w:t>
            </w:r>
          </w:p>
        </w:tc>
        <w:tc>
          <w:tcPr>
            <w:tcW w:w="1418" w:type="dxa"/>
            <w:vMerge w:val="restart"/>
          </w:tcPr>
          <w:p w:rsidR="00953CF5" w:rsidRPr="0023298C" w:rsidRDefault="00953CF5" w:rsidP="004C5DFD">
            <w:pPr>
              <w:pStyle w:val="Text1"/>
              <w:ind w:left="0"/>
              <w:jc w:val="left"/>
              <w:rPr>
                <w:rFonts w:ascii="Arial" w:hAnsi="Arial" w:cs="Arial"/>
                <w:sz w:val="20"/>
              </w:rPr>
            </w:pPr>
          </w:p>
        </w:tc>
        <w:tc>
          <w:tcPr>
            <w:tcW w:w="1417" w:type="dxa"/>
            <w:vMerge w:val="restart"/>
          </w:tcPr>
          <w:p w:rsidR="00953CF5" w:rsidRPr="0023298C" w:rsidRDefault="00953CF5" w:rsidP="004C5DFD">
            <w:pPr>
              <w:pStyle w:val="Text1"/>
              <w:ind w:left="0"/>
              <w:jc w:val="left"/>
              <w:rPr>
                <w:rFonts w:ascii="Arial" w:hAnsi="Arial" w:cs="Arial"/>
                <w:sz w:val="20"/>
              </w:rPr>
            </w:pPr>
            <w:r w:rsidRPr="0023298C">
              <w:rPr>
                <w:rFonts w:ascii="Arial" w:hAnsi="Arial" w:cs="Arial"/>
                <w:sz w:val="20"/>
              </w:rPr>
              <w:t>45%</w:t>
            </w:r>
          </w:p>
        </w:tc>
        <w:tc>
          <w:tcPr>
            <w:tcW w:w="2268" w:type="dxa"/>
            <w:vMerge w:val="restart"/>
          </w:tcPr>
          <w:p w:rsidR="00953CF5" w:rsidRPr="0023298C" w:rsidRDefault="00953CF5">
            <w:pPr>
              <w:pStyle w:val="Text1"/>
              <w:ind w:left="0"/>
              <w:jc w:val="left"/>
              <w:rPr>
                <w:rFonts w:ascii="Arial" w:hAnsi="Arial" w:cs="Arial"/>
                <w:sz w:val="20"/>
              </w:rPr>
            </w:pPr>
            <w:r w:rsidRPr="0023298C">
              <w:rPr>
                <w:rFonts w:ascii="Arial" w:hAnsi="Arial" w:cs="Arial"/>
                <w:sz w:val="20"/>
              </w:rPr>
              <w:t>6. Preserving and protecting the environment and promoting resource efficiency</w:t>
            </w:r>
          </w:p>
        </w:tc>
        <w:tc>
          <w:tcPr>
            <w:tcW w:w="2126" w:type="dxa"/>
          </w:tcPr>
          <w:p w:rsidR="00953CF5" w:rsidRPr="0023298C" w:rsidRDefault="00953CF5">
            <w:pPr>
              <w:pStyle w:val="Text1"/>
              <w:ind w:left="0"/>
              <w:jc w:val="left"/>
              <w:rPr>
                <w:rFonts w:ascii="Arial" w:hAnsi="Arial" w:cs="Arial"/>
                <w:b/>
                <w:sz w:val="20"/>
              </w:rPr>
            </w:pPr>
            <w:r w:rsidRPr="0023298C">
              <w:rPr>
                <w:rFonts w:ascii="Arial" w:hAnsi="Arial" w:cs="Arial"/>
                <w:b/>
                <w:sz w:val="20"/>
                <w:lang w:eastAsia="fr-BE"/>
              </w:rPr>
              <w:t>IP</w:t>
            </w:r>
            <w:r w:rsidRPr="0023298C">
              <w:rPr>
                <w:rFonts w:ascii="Arial" w:hAnsi="Arial" w:cs="Arial"/>
                <w:b/>
                <w:sz w:val="20"/>
              </w:rPr>
              <w:t xml:space="preserve"> 6.c</w:t>
            </w:r>
          </w:p>
          <w:p w:rsidR="00953CF5" w:rsidRPr="0023298C" w:rsidRDefault="00953CF5">
            <w:pPr>
              <w:pStyle w:val="Text1"/>
              <w:ind w:left="0"/>
              <w:jc w:val="left"/>
              <w:rPr>
                <w:rFonts w:ascii="Arial" w:hAnsi="Arial" w:cs="Arial"/>
                <w:sz w:val="20"/>
              </w:rPr>
            </w:pPr>
            <w:r w:rsidRPr="0023298C">
              <w:rPr>
                <w:rFonts w:ascii="Arial" w:hAnsi="Arial" w:cs="Arial"/>
                <w:bCs/>
                <w:iCs/>
                <w:sz w:val="20"/>
              </w:rPr>
              <w:t xml:space="preserve">Conserving, </w:t>
            </w:r>
            <w:r w:rsidRPr="0023298C">
              <w:rPr>
                <w:rFonts w:ascii="Arial" w:hAnsi="Arial" w:cs="Arial"/>
                <w:sz w:val="20"/>
              </w:rPr>
              <w:t xml:space="preserve">protecting, promoting and developing </w:t>
            </w:r>
            <w:r w:rsidRPr="0023298C">
              <w:rPr>
                <w:rFonts w:ascii="Arial" w:hAnsi="Arial" w:cs="Arial"/>
                <w:bCs/>
                <w:iCs/>
                <w:sz w:val="20"/>
              </w:rPr>
              <w:t>natural and</w:t>
            </w:r>
            <w:r w:rsidRPr="0023298C">
              <w:rPr>
                <w:rFonts w:ascii="Arial" w:hAnsi="Arial" w:cs="Arial"/>
                <w:sz w:val="20"/>
              </w:rPr>
              <w:t xml:space="preserve"> cultural heritage</w:t>
            </w:r>
          </w:p>
        </w:tc>
        <w:tc>
          <w:tcPr>
            <w:tcW w:w="2126" w:type="dxa"/>
          </w:tcPr>
          <w:p w:rsidR="00953CF5" w:rsidRPr="0023298C" w:rsidRDefault="00953CF5">
            <w:pPr>
              <w:pStyle w:val="Text1"/>
              <w:ind w:left="0"/>
              <w:jc w:val="left"/>
              <w:rPr>
                <w:rFonts w:ascii="Arial" w:hAnsi="Arial" w:cs="Arial"/>
                <w:sz w:val="20"/>
              </w:rPr>
            </w:pPr>
            <w:r w:rsidRPr="0023298C">
              <w:rPr>
                <w:rFonts w:ascii="Arial" w:hAnsi="Arial" w:cs="Arial"/>
                <w:sz w:val="20"/>
              </w:rPr>
              <w:t xml:space="preserve">Promote the sustainable valorisation and preservation of natural and cultural heritage as growth assets in the Adriatic-Ionian area </w:t>
            </w:r>
          </w:p>
        </w:tc>
        <w:tc>
          <w:tcPr>
            <w:tcW w:w="2552" w:type="dxa"/>
          </w:tcPr>
          <w:p w:rsidR="00953CF5" w:rsidRPr="0023298C" w:rsidRDefault="00953CF5">
            <w:pPr>
              <w:pStyle w:val="Text1"/>
              <w:ind w:left="0"/>
              <w:jc w:val="left"/>
              <w:rPr>
                <w:rFonts w:ascii="Arial" w:hAnsi="Arial" w:cs="Arial"/>
                <w:sz w:val="20"/>
              </w:rPr>
            </w:pPr>
            <w:r w:rsidRPr="0023298C">
              <w:rPr>
                <w:rFonts w:ascii="Arial" w:hAnsi="Arial" w:cs="Arial"/>
                <w:sz w:val="20"/>
              </w:rPr>
              <w:t>Level of capacity for the stakeholders in the fields of natural and cultural heritage protection and tourism to sustainably valorise natural and cultural heritage as a growth asset.</w:t>
            </w:r>
          </w:p>
        </w:tc>
      </w:tr>
      <w:tr w:rsidR="00953CF5" w:rsidRPr="0023298C" w:rsidTr="00341914">
        <w:trPr>
          <w:jc w:val="center"/>
        </w:trPr>
        <w:tc>
          <w:tcPr>
            <w:tcW w:w="1363" w:type="dxa"/>
            <w:vMerge/>
          </w:tcPr>
          <w:p w:rsidR="00953CF5" w:rsidRPr="0023298C" w:rsidRDefault="00953CF5">
            <w:pPr>
              <w:pStyle w:val="Text1"/>
              <w:ind w:left="0"/>
              <w:jc w:val="left"/>
              <w:rPr>
                <w:rFonts w:ascii="Arial" w:hAnsi="Arial" w:cs="Arial"/>
                <w:b/>
                <w:sz w:val="20"/>
              </w:rPr>
            </w:pPr>
          </w:p>
        </w:tc>
        <w:tc>
          <w:tcPr>
            <w:tcW w:w="1276" w:type="dxa"/>
            <w:vMerge/>
          </w:tcPr>
          <w:p w:rsidR="00953CF5" w:rsidRPr="0023298C" w:rsidRDefault="00953CF5">
            <w:pPr>
              <w:pStyle w:val="Text1"/>
              <w:ind w:left="0"/>
              <w:jc w:val="left"/>
              <w:rPr>
                <w:rFonts w:ascii="Arial" w:hAnsi="Arial" w:cs="Arial"/>
                <w:sz w:val="20"/>
              </w:rPr>
            </w:pPr>
          </w:p>
        </w:tc>
        <w:tc>
          <w:tcPr>
            <w:tcW w:w="1048" w:type="dxa"/>
            <w:vMerge/>
          </w:tcPr>
          <w:p w:rsidR="00953CF5" w:rsidRPr="0023298C" w:rsidRDefault="00953CF5">
            <w:pPr>
              <w:pStyle w:val="Text1"/>
              <w:ind w:left="0"/>
              <w:jc w:val="left"/>
              <w:rPr>
                <w:rFonts w:ascii="Arial" w:hAnsi="Arial" w:cs="Arial"/>
                <w:sz w:val="20"/>
              </w:rPr>
            </w:pPr>
          </w:p>
        </w:tc>
        <w:tc>
          <w:tcPr>
            <w:tcW w:w="1418" w:type="dxa"/>
            <w:vMerge/>
          </w:tcPr>
          <w:p w:rsidR="00953CF5" w:rsidRPr="0023298C" w:rsidRDefault="00953CF5">
            <w:pPr>
              <w:pStyle w:val="Text1"/>
              <w:ind w:left="0"/>
              <w:jc w:val="left"/>
              <w:rPr>
                <w:rFonts w:ascii="Arial" w:hAnsi="Arial" w:cs="Arial"/>
                <w:sz w:val="20"/>
              </w:rPr>
            </w:pPr>
          </w:p>
        </w:tc>
        <w:tc>
          <w:tcPr>
            <w:tcW w:w="1417" w:type="dxa"/>
            <w:vMerge/>
          </w:tcPr>
          <w:p w:rsidR="00953CF5" w:rsidRPr="0023298C" w:rsidRDefault="00953CF5">
            <w:pPr>
              <w:pStyle w:val="Text1"/>
              <w:ind w:left="0"/>
              <w:jc w:val="left"/>
              <w:rPr>
                <w:rFonts w:ascii="Arial" w:hAnsi="Arial" w:cs="Arial"/>
                <w:sz w:val="20"/>
              </w:rPr>
            </w:pPr>
          </w:p>
        </w:tc>
        <w:tc>
          <w:tcPr>
            <w:tcW w:w="2268" w:type="dxa"/>
            <w:vMerge/>
          </w:tcPr>
          <w:p w:rsidR="00953CF5" w:rsidRPr="0023298C" w:rsidRDefault="00953CF5">
            <w:pPr>
              <w:pStyle w:val="Text1"/>
              <w:ind w:left="0"/>
              <w:jc w:val="left"/>
              <w:rPr>
                <w:rFonts w:ascii="Arial" w:hAnsi="Arial" w:cs="Arial"/>
                <w:sz w:val="20"/>
              </w:rPr>
            </w:pPr>
          </w:p>
        </w:tc>
        <w:tc>
          <w:tcPr>
            <w:tcW w:w="2126" w:type="dxa"/>
          </w:tcPr>
          <w:p w:rsidR="00953CF5" w:rsidRPr="0023298C" w:rsidRDefault="00953CF5">
            <w:pPr>
              <w:jc w:val="left"/>
              <w:rPr>
                <w:rFonts w:ascii="Arial" w:hAnsi="Arial" w:cs="Arial"/>
                <w:b/>
                <w:sz w:val="20"/>
                <w:lang w:eastAsia="fr-BE"/>
              </w:rPr>
            </w:pPr>
            <w:r w:rsidRPr="0023298C">
              <w:rPr>
                <w:rFonts w:ascii="Arial" w:hAnsi="Arial" w:cs="Arial"/>
                <w:b/>
                <w:sz w:val="20"/>
                <w:lang w:eastAsia="fr-BE"/>
              </w:rPr>
              <w:t>IP 6.d</w:t>
            </w:r>
          </w:p>
          <w:p w:rsidR="00953CF5" w:rsidRPr="0023298C" w:rsidRDefault="00953CF5">
            <w:pPr>
              <w:pStyle w:val="Text1"/>
              <w:ind w:left="0"/>
              <w:jc w:val="left"/>
              <w:rPr>
                <w:rFonts w:ascii="Arial" w:hAnsi="Arial" w:cs="Arial"/>
                <w:sz w:val="20"/>
              </w:rPr>
            </w:pPr>
            <w:r w:rsidRPr="0023298C">
              <w:rPr>
                <w:rFonts w:ascii="Arial" w:hAnsi="Arial" w:cs="Arial"/>
                <w:sz w:val="20"/>
                <w:lang w:eastAsia="fr-BE"/>
              </w:rPr>
              <w:t>Protecting and restoring biodiversity and soil and promoting ecosystem services through Natura2000, and green infrastructures</w:t>
            </w:r>
          </w:p>
        </w:tc>
        <w:tc>
          <w:tcPr>
            <w:tcW w:w="2126" w:type="dxa"/>
          </w:tcPr>
          <w:p w:rsidR="00953CF5" w:rsidRPr="0023298C" w:rsidRDefault="00953CF5">
            <w:pPr>
              <w:pStyle w:val="Text1"/>
              <w:ind w:left="0"/>
              <w:jc w:val="left"/>
              <w:rPr>
                <w:rFonts w:ascii="Arial" w:hAnsi="Arial" w:cs="Arial"/>
                <w:sz w:val="20"/>
              </w:rPr>
            </w:pPr>
            <w:r w:rsidRPr="0023298C">
              <w:rPr>
                <w:rFonts w:ascii="Arial" w:hAnsi="Arial" w:cs="Arial"/>
                <w:sz w:val="20"/>
              </w:rPr>
              <w:t>Enhance the capacity in transnationally tackling environmental vulnerability, fragmentation, and the safeguarding of ecosystem services in the Adriatic-Ionian area</w:t>
            </w:r>
          </w:p>
        </w:tc>
        <w:tc>
          <w:tcPr>
            <w:tcW w:w="2552" w:type="dxa"/>
          </w:tcPr>
          <w:p w:rsidR="00953CF5" w:rsidRPr="0023298C" w:rsidRDefault="00953CF5">
            <w:pPr>
              <w:pStyle w:val="Text1"/>
              <w:ind w:left="0"/>
              <w:jc w:val="left"/>
              <w:rPr>
                <w:rFonts w:ascii="Arial" w:hAnsi="Arial" w:cs="Arial"/>
                <w:sz w:val="20"/>
              </w:rPr>
            </w:pPr>
            <w:r w:rsidRPr="0023298C">
              <w:rPr>
                <w:rFonts w:ascii="Arial" w:hAnsi="Arial" w:cs="Arial"/>
                <w:sz w:val="20"/>
              </w:rPr>
              <w:t>Level of capacity of the involved organisations to operate transnational, providing service and management regarding environmental vulnerability, fragmentation, and the safeguarding of ecosystems’ services</w:t>
            </w:r>
          </w:p>
        </w:tc>
      </w:tr>
      <w:tr w:rsidR="00953CF5" w:rsidRPr="0023298C" w:rsidTr="00341914">
        <w:trPr>
          <w:jc w:val="center"/>
        </w:trPr>
        <w:tc>
          <w:tcPr>
            <w:tcW w:w="1363" w:type="dxa"/>
          </w:tcPr>
          <w:p w:rsidR="00953CF5" w:rsidRPr="0023298C" w:rsidRDefault="00953CF5">
            <w:pPr>
              <w:pStyle w:val="Text1"/>
              <w:ind w:left="0"/>
              <w:jc w:val="left"/>
              <w:rPr>
                <w:rFonts w:ascii="Arial" w:hAnsi="Arial" w:cs="Arial"/>
                <w:b/>
                <w:sz w:val="20"/>
              </w:rPr>
            </w:pPr>
            <w:r w:rsidRPr="0023298C">
              <w:rPr>
                <w:rFonts w:ascii="Arial" w:hAnsi="Arial" w:cs="Arial"/>
                <w:b/>
                <w:sz w:val="20"/>
              </w:rPr>
              <w:t>3</w:t>
            </w:r>
          </w:p>
        </w:tc>
        <w:tc>
          <w:tcPr>
            <w:tcW w:w="1276" w:type="dxa"/>
          </w:tcPr>
          <w:p w:rsidR="00953CF5" w:rsidRPr="0023298C" w:rsidRDefault="00953CF5">
            <w:pPr>
              <w:jc w:val="left"/>
              <w:rPr>
                <w:rFonts w:ascii="Arial" w:hAnsi="Arial" w:cs="Arial"/>
                <w:color w:val="000000"/>
                <w:sz w:val="20"/>
              </w:rPr>
            </w:pPr>
            <w:r w:rsidRPr="0023298C">
              <w:rPr>
                <w:rFonts w:ascii="Arial" w:hAnsi="Arial" w:cs="Arial"/>
                <w:color w:val="000000"/>
                <w:sz w:val="20"/>
              </w:rPr>
              <w:t>15.024.191</w:t>
            </w:r>
          </w:p>
          <w:p w:rsidR="00953CF5" w:rsidRPr="0023298C" w:rsidRDefault="00953CF5">
            <w:pPr>
              <w:pStyle w:val="Text1"/>
              <w:ind w:left="0"/>
              <w:jc w:val="left"/>
              <w:rPr>
                <w:rFonts w:ascii="Arial" w:hAnsi="Arial" w:cs="Arial"/>
                <w:sz w:val="20"/>
              </w:rPr>
            </w:pPr>
          </w:p>
        </w:tc>
        <w:tc>
          <w:tcPr>
            <w:tcW w:w="1048" w:type="dxa"/>
          </w:tcPr>
          <w:p w:rsidR="00953CF5" w:rsidRPr="0023298C" w:rsidRDefault="00953CF5" w:rsidP="004C5DFD">
            <w:pPr>
              <w:pStyle w:val="Text1"/>
              <w:ind w:left="0"/>
              <w:jc w:val="left"/>
              <w:rPr>
                <w:rFonts w:ascii="Arial" w:hAnsi="Arial" w:cs="Arial"/>
                <w:sz w:val="20"/>
              </w:rPr>
            </w:pPr>
            <w:r w:rsidRPr="0023298C">
              <w:rPr>
                <w:rFonts w:ascii="Arial" w:hAnsi="Arial" w:cs="Arial"/>
                <w:sz w:val="20"/>
              </w:rPr>
              <w:t>18%</w:t>
            </w:r>
          </w:p>
        </w:tc>
        <w:tc>
          <w:tcPr>
            <w:tcW w:w="1418" w:type="dxa"/>
          </w:tcPr>
          <w:p w:rsidR="00953CF5" w:rsidRPr="0023298C" w:rsidRDefault="00953CF5" w:rsidP="004C5DFD">
            <w:pPr>
              <w:pStyle w:val="Text1"/>
              <w:ind w:left="0"/>
              <w:jc w:val="left"/>
              <w:rPr>
                <w:rFonts w:ascii="Arial" w:hAnsi="Arial" w:cs="Arial"/>
                <w:sz w:val="20"/>
              </w:rPr>
            </w:pPr>
          </w:p>
        </w:tc>
        <w:tc>
          <w:tcPr>
            <w:tcW w:w="1417" w:type="dxa"/>
          </w:tcPr>
          <w:p w:rsidR="00953CF5" w:rsidRPr="0023298C" w:rsidRDefault="00953CF5" w:rsidP="004C5DFD">
            <w:pPr>
              <w:pStyle w:val="Text1"/>
              <w:ind w:left="0"/>
              <w:jc w:val="left"/>
              <w:rPr>
                <w:rFonts w:ascii="Arial" w:hAnsi="Arial" w:cs="Arial"/>
                <w:sz w:val="20"/>
              </w:rPr>
            </w:pPr>
            <w:r w:rsidRPr="0023298C">
              <w:rPr>
                <w:rFonts w:ascii="Arial" w:hAnsi="Arial" w:cs="Arial"/>
                <w:sz w:val="20"/>
              </w:rPr>
              <w:t>17%</w:t>
            </w:r>
          </w:p>
        </w:tc>
        <w:tc>
          <w:tcPr>
            <w:tcW w:w="2268" w:type="dxa"/>
          </w:tcPr>
          <w:p w:rsidR="00953CF5" w:rsidRPr="0023298C" w:rsidRDefault="00953CF5">
            <w:pPr>
              <w:pStyle w:val="Text1"/>
              <w:ind w:left="0"/>
              <w:jc w:val="left"/>
              <w:rPr>
                <w:rFonts w:ascii="Arial" w:hAnsi="Arial" w:cs="Arial"/>
                <w:sz w:val="20"/>
              </w:rPr>
            </w:pPr>
            <w:r w:rsidRPr="0023298C">
              <w:rPr>
                <w:rFonts w:ascii="Arial" w:hAnsi="Arial" w:cs="Arial"/>
                <w:sz w:val="20"/>
              </w:rPr>
              <w:t>7. Promoting sustainable transport and removing bottlenecks in key network infrastructures</w:t>
            </w:r>
          </w:p>
        </w:tc>
        <w:tc>
          <w:tcPr>
            <w:tcW w:w="2126" w:type="dxa"/>
          </w:tcPr>
          <w:p w:rsidR="00953CF5" w:rsidRPr="0023298C" w:rsidRDefault="00953CF5">
            <w:pPr>
              <w:pStyle w:val="Text1"/>
              <w:ind w:left="0"/>
              <w:jc w:val="left"/>
              <w:rPr>
                <w:rFonts w:ascii="Arial" w:hAnsi="Arial" w:cs="Arial"/>
                <w:sz w:val="20"/>
              </w:rPr>
            </w:pPr>
            <w:r w:rsidRPr="0023298C">
              <w:rPr>
                <w:rFonts w:ascii="Arial" w:hAnsi="Arial" w:cs="Arial"/>
                <w:b/>
                <w:sz w:val="20"/>
                <w:lang w:eastAsia="fr-BE"/>
              </w:rPr>
              <w:t>IP</w:t>
            </w:r>
            <w:r w:rsidRPr="0023298C">
              <w:rPr>
                <w:rFonts w:ascii="Arial" w:hAnsi="Arial" w:cs="Arial"/>
                <w:b/>
                <w:sz w:val="20"/>
              </w:rPr>
              <w:t xml:space="preserve"> 7.c</w:t>
            </w:r>
          </w:p>
          <w:p w:rsidR="00953CF5" w:rsidRPr="0023298C" w:rsidRDefault="00953CF5">
            <w:pPr>
              <w:pStyle w:val="Text1"/>
              <w:ind w:left="0"/>
              <w:jc w:val="left"/>
              <w:rPr>
                <w:rFonts w:ascii="Arial" w:hAnsi="Arial" w:cs="Arial"/>
                <w:sz w:val="20"/>
              </w:rPr>
            </w:pPr>
            <w:r w:rsidRPr="0023298C">
              <w:rPr>
                <w:rFonts w:ascii="Arial" w:hAnsi="Arial" w:cs="Arial"/>
                <w:sz w:val="20"/>
              </w:rPr>
              <w:t>Developing and improving environmentally-friendly (including low-noise) and low-carbon transport systems, including inland waterways and maritime transport, ports, multimodal links and airport infrastructure, in order to promote sustainable regional and local mobility</w:t>
            </w:r>
          </w:p>
        </w:tc>
        <w:tc>
          <w:tcPr>
            <w:tcW w:w="2126" w:type="dxa"/>
          </w:tcPr>
          <w:p w:rsidR="00953CF5" w:rsidRPr="0023298C" w:rsidRDefault="00953CF5">
            <w:pPr>
              <w:pStyle w:val="Text1"/>
              <w:ind w:left="0"/>
              <w:jc w:val="left"/>
              <w:rPr>
                <w:rFonts w:ascii="Arial" w:hAnsi="Arial" w:cs="Arial"/>
                <w:sz w:val="20"/>
              </w:rPr>
            </w:pPr>
            <w:r w:rsidRPr="0023298C">
              <w:rPr>
                <w:rFonts w:ascii="Arial" w:hAnsi="Arial" w:cs="Arial"/>
                <w:sz w:val="20"/>
              </w:rPr>
              <w:t>Enhance capacity for integrated transport and mobility services and multimodality in the Adriatic-Ionian area</w:t>
            </w:r>
          </w:p>
        </w:tc>
        <w:tc>
          <w:tcPr>
            <w:tcW w:w="2552" w:type="dxa"/>
          </w:tcPr>
          <w:p w:rsidR="00953CF5" w:rsidRPr="0023298C" w:rsidRDefault="00953CF5">
            <w:pPr>
              <w:jc w:val="left"/>
              <w:rPr>
                <w:rFonts w:ascii="Arial" w:hAnsi="Arial" w:cs="Arial"/>
                <w:bCs/>
                <w:sz w:val="20"/>
                <w:lang w:eastAsia="fr-FR"/>
              </w:rPr>
            </w:pPr>
            <w:r w:rsidRPr="0023298C">
              <w:rPr>
                <w:rFonts w:ascii="Arial" w:hAnsi="Arial" w:cs="Arial"/>
                <w:sz w:val="20"/>
              </w:rPr>
              <w:t xml:space="preserve">Level of capacity of organisations in the field of transport and mobility to transnationally plan and implement sustainable and multimodal transport and mobility solutions </w:t>
            </w:r>
          </w:p>
        </w:tc>
      </w:tr>
      <w:tr w:rsidR="00953CF5" w:rsidRPr="0023298C" w:rsidTr="00341914">
        <w:trPr>
          <w:jc w:val="center"/>
        </w:trPr>
        <w:tc>
          <w:tcPr>
            <w:tcW w:w="1363" w:type="dxa"/>
          </w:tcPr>
          <w:p w:rsidR="00953CF5" w:rsidRPr="0023298C" w:rsidRDefault="00953CF5">
            <w:pPr>
              <w:pStyle w:val="Text1"/>
              <w:ind w:left="0"/>
              <w:jc w:val="left"/>
              <w:rPr>
                <w:rFonts w:ascii="Arial" w:hAnsi="Arial" w:cs="Arial"/>
                <w:b/>
                <w:sz w:val="20"/>
              </w:rPr>
            </w:pPr>
            <w:r w:rsidRPr="0023298C">
              <w:rPr>
                <w:rFonts w:ascii="Arial" w:hAnsi="Arial" w:cs="Arial"/>
                <w:b/>
                <w:sz w:val="20"/>
              </w:rPr>
              <w:t xml:space="preserve">4. </w:t>
            </w:r>
          </w:p>
        </w:tc>
        <w:tc>
          <w:tcPr>
            <w:tcW w:w="1276" w:type="dxa"/>
          </w:tcPr>
          <w:p w:rsidR="00953CF5" w:rsidRPr="0023298C" w:rsidRDefault="00953CF5">
            <w:pPr>
              <w:jc w:val="left"/>
              <w:rPr>
                <w:rFonts w:ascii="Arial" w:hAnsi="Arial" w:cs="Arial"/>
                <w:color w:val="000000"/>
                <w:sz w:val="20"/>
              </w:rPr>
            </w:pPr>
            <w:r w:rsidRPr="0023298C">
              <w:rPr>
                <w:rFonts w:ascii="Arial" w:hAnsi="Arial" w:cs="Arial"/>
                <w:color w:val="000000"/>
                <w:sz w:val="20"/>
              </w:rPr>
              <w:t>8.346.773</w:t>
            </w:r>
          </w:p>
          <w:p w:rsidR="00953CF5" w:rsidRPr="0023298C" w:rsidRDefault="00953CF5">
            <w:pPr>
              <w:pStyle w:val="Text1"/>
              <w:ind w:left="0"/>
              <w:jc w:val="left"/>
              <w:rPr>
                <w:rFonts w:ascii="Arial" w:hAnsi="Arial" w:cs="Arial"/>
                <w:sz w:val="20"/>
              </w:rPr>
            </w:pPr>
          </w:p>
        </w:tc>
        <w:tc>
          <w:tcPr>
            <w:tcW w:w="1048" w:type="dxa"/>
          </w:tcPr>
          <w:p w:rsidR="00953CF5" w:rsidRPr="0023298C" w:rsidRDefault="00953CF5" w:rsidP="004C5DFD">
            <w:pPr>
              <w:pStyle w:val="Text1"/>
              <w:ind w:left="0"/>
              <w:jc w:val="left"/>
              <w:rPr>
                <w:rFonts w:ascii="Arial" w:hAnsi="Arial" w:cs="Arial"/>
                <w:sz w:val="20"/>
              </w:rPr>
            </w:pPr>
            <w:r w:rsidRPr="0023298C">
              <w:rPr>
                <w:rFonts w:ascii="Arial" w:hAnsi="Arial" w:cs="Arial"/>
                <w:sz w:val="20"/>
              </w:rPr>
              <w:t>10%</w:t>
            </w:r>
          </w:p>
        </w:tc>
        <w:tc>
          <w:tcPr>
            <w:tcW w:w="1418" w:type="dxa"/>
          </w:tcPr>
          <w:p w:rsidR="00953CF5" w:rsidRPr="0023298C" w:rsidRDefault="00953CF5" w:rsidP="004C5DFD">
            <w:pPr>
              <w:pStyle w:val="Text1"/>
              <w:ind w:left="0"/>
              <w:jc w:val="left"/>
              <w:rPr>
                <w:rFonts w:ascii="Arial" w:hAnsi="Arial" w:cs="Arial"/>
                <w:sz w:val="20"/>
              </w:rPr>
            </w:pPr>
          </w:p>
        </w:tc>
        <w:tc>
          <w:tcPr>
            <w:tcW w:w="1417" w:type="dxa"/>
          </w:tcPr>
          <w:p w:rsidR="00953CF5" w:rsidRPr="0023298C" w:rsidRDefault="00953CF5" w:rsidP="004C5DFD">
            <w:pPr>
              <w:pStyle w:val="Text1"/>
              <w:ind w:left="0"/>
              <w:jc w:val="left"/>
              <w:rPr>
                <w:rFonts w:ascii="Arial" w:hAnsi="Arial" w:cs="Arial"/>
                <w:sz w:val="20"/>
              </w:rPr>
            </w:pPr>
            <w:r w:rsidRPr="0023298C">
              <w:rPr>
                <w:rFonts w:ascii="Arial" w:hAnsi="Arial" w:cs="Arial"/>
                <w:sz w:val="20"/>
              </w:rPr>
              <w:t>9%</w:t>
            </w:r>
          </w:p>
        </w:tc>
        <w:tc>
          <w:tcPr>
            <w:tcW w:w="2268" w:type="dxa"/>
          </w:tcPr>
          <w:p w:rsidR="00953CF5" w:rsidRPr="0023298C" w:rsidRDefault="00953CF5">
            <w:pPr>
              <w:pStyle w:val="Text1"/>
              <w:ind w:left="0"/>
              <w:jc w:val="left"/>
              <w:rPr>
                <w:rFonts w:ascii="Arial" w:hAnsi="Arial" w:cs="Arial"/>
                <w:sz w:val="20"/>
              </w:rPr>
            </w:pPr>
            <w:r w:rsidRPr="0023298C">
              <w:rPr>
                <w:rFonts w:ascii="Arial" w:hAnsi="Arial" w:cs="Arial"/>
                <w:sz w:val="20"/>
              </w:rPr>
              <w:t>11. Enhancing institutional capacity of public authorities and stakeholders (…)</w:t>
            </w:r>
          </w:p>
        </w:tc>
        <w:tc>
          <w:tcPr>
            <w:tcW w:w="2126" w:type="dxa"/>
          </w:tcPr>
          <w:p w:rsidR="00953CF5" w:rsidRPr="0023298C" w:rsidRDefault="00953CF5">
            <w:pPr>
              <w:pStyle w:val="Text1"/>
              <w:ind w:left="0"/>
              <w:jc w:val="left"/>
              <w:rPr>
                <w:rFonts w:ascii="Arial" w:hAnsi="Arial" w:cs="Arial"/>
                <w:b/>
                <w:sz w:val="20"/>
              </w:rPr>
            </w:pPr>
            <w:r w:rsidRPr="0023298C">
              <w:rPr>
                <w:rFonts w:ascii="Arial" w:hAnsi="Arial" w:cs="Arial"/>
                <w:b/>
                <w:sz w:val="20"/>
                <w:lang w:eastAsia="fr-BE"/>
              </w:rPr>
              <w:t xml:space="preserve">IP 11 </w:t>
            </w:r>
            <w:r w:rsidRPr="0023298C">
              <w:rPr>
                <w:rFonts w:ascii="Arial" w:hAnsi="Arial" w:cs="Arial"/>
                <w:b/>
                <w:sz w:val="20"/>
              </w:rPr>
              <w:t>art. 7 (b) Reg. No 1299/2013</w:t>
            </w:r>
          </w:p>
          <w:p w:rsidR="00953CF5" w:rsidRPr="0023298C" w:rsidRDefault="00953CF5">
            <w:pPr>
              <w:pStyle w:val="Text1"/>
              <w:ind w:left="0"/>
              <w:jc w:val="left"/>
              <w:rPr>
                <w:rFonts w:ascii="Arial" w:hAnsi="Arial" w:cs="Arial"/>
                <w:sz w:val="20"/>
              </w:rPr>
            </w:pPr>
            <w:r w:rsidRPr="0023298C">
              <w:rPr>
                <w:rFonts w:ascii="Arial" w:hAnsi="Arial" w:cs="Arial"/>
                <w:sz w:val="20"/>
              </w:rPr>
              <w:t>Enhancing institutional capacity of public authorities and stakeholders and efficient public administration by developing and coordinating macro-regional and sea-basin strategies</w:t>
            </w:r>
          </w:p>
        </w:tc>
        <w:tc>
          <w:tcPr>
            <w:tcW w:w="2126" w:type="dxa"/>
          </w:tcPr>
          <w:p w:rsidR="00953CF5" w:rsidRPr="0023298C" w:rsidRDefault="00953CF5">
            <w:pPr>
              <w:pStyle w:val="Text1"/>
              <w:ind w:left="0"/>
              <w:jc w:val="left"/>
              <w:rPr>
                <w:rFonts w:ascii="Arial" w:hAnsi="Arial" w:cs="Arial"/>
                <w:sz w:val="20"/>
              </w:rPr>
            </w:pPr>
            <w:r w:rsidRPr="0023298C">
              <w:rPr>
                <w:rFonts w:ascii="Arial" w:hAnsi="Arial" w:cs="Arial"/>
                <w:sz w:val="20"/>
                <w:lang w:eastAsia="fr-BE"/>
              </w:rPr>
              <w:t xml:space="preserve">Facilitate the coordination in implementing the EUSAIR by enhancing </w:t>
            </w:r>
            <w:r w:rsidRPr="0023298C">
              <w:rPr>
                <w:rFonts w:ascii="Arial" w:hAnsi="Arial" w:cs="Arial"/>
                <w:sz w:val="20"/>
              </w:rPr>
              <w:t>institutional capacity of public administrations and key stakeholders and by assisting the progress of implementation of joint priorities</w:t>
            </w:r>
          </w:p>
        </w:tc>
        <w:tc>
          <w:tcPr>
            <w:tcW w:w="2552" w:type="dxa"/>
          </w:tcPr>
          <w:p w:rsidR="00953CF5" w:rsidRPr="0023298C" w:rsidRDefault="00953CF5">
            <w:pPr>
              <w:jc w:val="left"/>
              <w:rPr>
                <w:rFonts w:ascii="Arial" w:hAnsi="Arial" w:cs="Arial"/>
                <w:bCs/>
                <w:sz w:val="20"/>
                <w:lang w:eastAsia="fr-FR"/>
              </w:rPr>
            </w:pPr>
            <w:r w:rsidRPr="0023298C">
              <w:rPr>
                <w:rFonts w:ascii="Arial" w:hAnsi="Arial" w:cs="Arial"/>
                <w:sz w:val="20"/>
              </w:rPr>
              <w:t xml:space="preserve">The status of management capacities of EUSAIR governance structures to effectively implement the EUSAIR and its Action plan, achieving their objectives and targets </w:t>
            </w:r>
          </w:p>
        </w:tc>
      </w:tr>
      <w:tr w:rsidR="00953CF5" w:rsidRPr="0023298C" w:rsidTr="00341914">
        <w:trPr>
          <w:jc w:val="center"/>
        </w:trPr>
        <w:tc>
          <w:tcPr>
            <w:tcW w:w="1363" w:type="dxa"/>
          </w:tcPr>
          <w:p w:rsidR="00953CF5" w:rsidRPr="0023298C" w:rsidRDefault="00953CF5">
            <w:pPr>
              <w:pStyle w:val="Text1"/>
              <w:ind w:left="0"/>
              <w:jc w:val="left"/>
              <w:rPr>
                <w:rFonts w:ascii="Arial" w:hAnsi="Arial" w:cs="Arial"/>
                <w:b/>
                <w:sz w:val="20"/>
              </w:rPr>
            </w:pPr>
            <w:r w:rsidRPr="0023298C">
              <w:rPr>
                <w:rFonts w:ascii="Arial" w:hAnsi="Arial" w:cs="Arial"/>
                <w:b/>
                <w:sz w:val="20"/>
              </w:rPr>
              <w:t>Technical Assistance</w:t>
            </w:r>
          </w:p>
        </w:tc>
        <w:tc>
          <w:tcPr>
            <w:tcW w:w="1276" w:type="dxa"/>
          </w:tcPr>
          <w:p w:rsidR="00953CF5" w:rsidRPr="0023298C" w:rsidRDefault="00953CF5">
            <w:pPr>
              <w:pStyle w:val="Text1"/>
              <w:ind w:left="0"/>
              <w:jc w:val="left"/>
              <w:rPr>
                <w:rFonts w:ascii="Arial" w:hAnsi="Arial" w:cs="Arial"/>
                <w:sz w:val="20"/>
              </w:rPr>
            </w:pPr>
            <w:r w:rsidRPr="0023298C">
              <w:rPr>
                <w:rFonts w:ascii="Arial" w:hAnsi="Arial" w:cs="Arial"/>
                <w:color w:val="000000"/>
                <w:sz w:val="20"/>
                <w:lang w:eastAsia="es-ES"/>
              </w:rPr>
              <w:t>5.008.063</w:t>
            </w:r>
          </w:p>
        </w:tc>
        <w:tc>
          <w:tcPr>
            <w:tcW w:w="1048" w:type="dxa"/>
          </w:tcPr>
          <w:p w:rsidR="00953CF5" w:rsidRPr="0023298C" w:rsidRDefault="00953CF5" w:rsidP="004C5DFD">
            <w:pPr>
              <w:pStyle w:val="Text1"/>
              <w:ind w:left="0"/>
              <w:jc w:val="left"/>
              <w:rPr>
                <w:rFonts w:ascii="Arial" w:hAnsi="Arial" w:cs="Arial"/>
                <w:sz w:val="20"/>
              </w:rPr>
            </w:pPr>
            <w:r w:rsidRPr="0023298C">
              <w:rPr>
                <w:rFonts w:ascii="Arial" w:hAnsi="Arial" w:cs="Arial"/>
                <w:sz w:val="20"/>
              </w:rPr>
              <w:t>6%</w:t>
            </w:r>
          </w:p>
        </w:tc>
        <w:tc>
          <w:tcPr>
            <w:tcW w:w="1418" w:type="dxa"/>
          </w:tcPr>
          <w:p w:rsidR="00953CF5" w:rsidRPr="0023298C" w:rsidRDefault="00953CF5" w:rsidP="004C5DFD">
            <w:pPr>
              <w:pStyle w:val="Text1"/>
              <w:ind w:left="0"/>
              <w:jc w:val="left"/>
              <w:rPr>
                <w:rFonts w:ascii="Arial" w:hAnsi="Arial" w:cs="Arial"/>
                <w:sz w:val="20"/>
              </w:rPr>
            </w:pPr>
          </w:p>
        </w:tc>
        <w:tc>
          <w:tcPr>
            <w:tcW w:w="1417" w:type="dxa"/>
          </w:tcPr>
          <w:p w:rsidR="00953CF5" w:rsidRPr="0023298C" w:rsidRDefault="00953CF5" w:rsidP="004C5DFD">
            <w:pPr>
              <w:pStyle w:val="Text1"/>
              <w:ind w:left="0"/>
              <w:jc w:val="left"/>
              <w:rPr>
                <w:rFonts w:ascii="Arial" w:hAnsi="Arial" w:cs="Arial"/>
                <w:sz w:val="20"/>
              </w:rPr>
            </w:pPr>
          </w:p>
        </w:tc>
        <w:tc>
          <w:tcPr>
            <w:tcW w:w="2268" w:type="dxa"/>
          </w:tcPr>
          <w:p w:rsidR="00953CF5" w:rsidRPr="0023298C" w:rsidRDefault="00953CF5">
            <w:pPr>
              <w:pStyle w:val="Text1"/>
              <w:ind w:left="0"/>
              <w:jc w:val="left"/>
              <w:rPr>
                <w:rFonts w:ascii="Arial" w:hAnsi="Arial" w:cs="Arial"/>
                <w:sz w:val="20"/>
              </w:rPr>
            </w:pPr>
            <w:r w:rsidRPr="0023298C">
              <w:rPr>
                <w:rFonts w:ascii="Arial" w:hAnsi="Arial" w:cs="Arial"/>
                <w:sz w:val="20"/>
              </w:rPr>
              <w:t>na</w:t>
            </w:r>
          </w:p>
        </w:tc>
        <w:tc>
          <w:tcPr>
            <w:tcW w:w="2126" w:type="dxa"/>
          </w:tcPr>
          <w:p w:rsidR="00953CF5" w:rsidRPr="0023298C" w:rsidRDefault="00953CF5">
            <w:pPr>
              <w:pStyle w:val="Text1"/>
              <w:ind w:left="0"/>
              <w:jc w:val="left"/>
              <w:rPr>
                <w:rFonts w:ascii="Arial" w:hAnsi="Arial" w:cs="Arial"/>
                <w:sz w:val="20"/>
              </w:rPr>
            </w:pPr>
            <w:r w:rsidRPr="0023298C">
              <w:rPr>
                <w:rFonts w:ascii="Arial" w:hAnsi="Arial" w:cs="Arial"/>
                <w:sz w:val="20"/>
              </w:rPr>
              <w:t>na</w:t>
            </w:r>
          </w:p>
        </w:tc>
        <w:tc>
          <w:tcPr>
            <w:tcW w:w="2126" w:type="dxa"/>
          </w:tcPr>
          <w:p w:rsidR="00953CF5" w:rsidRPr="0023298C" w:rsidRDefault="00953CF5">
            <w:pPr>
              <w:pStyle w:val="Text1"/>
              <w:ind w:left="0"/>
              <w:jc w:val="left"/>
              <w:rPr>
                <w:rFonts w:ascii="Arial" w:hAnsi="Arial" w:cs="Arial"/>
                <w:sz w:val="20"/>
              </w:rPr>
            </w:pPr>
            <w:r w:rsidRPr="0023298C">
              <w:rPr>
                <w:rFonts w:ascii="Arial" w:hAnsi="Arial" w:cs="Arial"/>
                <w:sz w:val="20"/>
              </w:rPr>
              <w:t>na</w:t>
            </w:r>
          </w:p>
        </w:tc>
        <w:tc>
          <w:tcPr>
            <w:tcW w:w="2552" w:type="dxa"/>
          </w:tcPr>
          <w:p w:rsidR="00953CF5" w:rsidRPr="0023298C" w:rsidRDefault="00953CF5">
            <w:pPr>
              <w:pStyle w:val="Text1"/>
              <w:ind w:left="0"/>
              <w:jc w:val="left"/>
              <w:rPr>
                <w:rFonts w:ascii="Arial" w:hAnsi="Arial" w:cs="Arial"/>
                <w:sz w:val="20"/>
              </w:rPr>
            </w:pPr>
            <w:r w:rsidRPr="0023298C">
              <w:rPr>
                <w:rFonts w:ascii="Arial" w:hAnsi="Arial" w:cs="Arial"/>
                <w:sz w:val="20"/>
              </w:rPr>
              <w:t>na</w:t>
            </w:r>
          </w:p>
        </w:tc>
      </w:tr>
    </w:tbl>
    <w:p w:rsidR="00DF4E40" w:rsidRPr="00304864" w:rsidRDefault="00DF4E40">
      <w:pPr>
        <w:pStyle w:val="Text1"/>
        <w:rPr>
          <w:rFonts w:ascii="Arial" w:hAnsi="Arial" w:cs="Arial"/>
          <w:sz w:val="22"/>
          <w:szCs w:val="22"/>
        </w:rPr>
      </w:pPr>
    </w:p>
    <w:p w:rsidR="00F92654" w:rsidRDefault="00F92654">
      <w:pPr>
        <w:pStyle w:val="Text1"/>
        <w:rPr>
          <w:rFonts w:ascii="Arial" w:hAnsi="Arial" w:cs="Arial"/>
          <w:sz w:val="22"/>
          <w:szCs w:val="22"/>
        </w:rPr>
        <w:sectPr w:rsidR="00F92654" w:rsidSect="00A961B0">
          <w:pgSz w:w="16838" w:h="11906" w:orient="landscape"/>
          <w:pgMar w:top="1417" w:right="1134" w:bottom="1134" w:left="1134" w:header="601" w:footer="1077" w:gutter="0"/>
          <w:cols w:space="720"/>
        </w:sectPr>
      </w:pPr>
    </w:p>
    <w:p w:rsidR="00DF4E40" w:rsidRPr="00304864" w:rsidRDefault="00DF4E40">
      <w:pPr>
        <w:pStyle w:val="Heading1"/>
      </w:pPr>
      <w:bookmarkStart w:id="79" w:name="_Toc365660112"/>
      <w:bookmarkStart w:id="80" w:name="_Toc366097033"/>
      <w:bookmarkStart w:id="81" w:name="_Toc377402548"/>
      <w:bookmarkStart w:id="82" w:name="_Toc420652490"/>
      <w:bookmarkStart w:id="83" w:name="_Toc421076842"/>
      <w:r w:rsidRPr="00304864">
        <w:t xml:space="preserve">Section 2. priority </w:t>
      </w:r>
      <w:bookmarkEnd w:id="79"/>
      <w:bookmarkEnd w:id="80"/>
      <w:bookmarkEnd w:id="81"/>
      <w:r w:rsidRPr="00304864">
        <w:t>axes</w:t>
      </w:r>
      <w:bookmarkEnd w:id="82"/>
      <w:bookmarkEnd w:id="83"/>
    </w:p>
    <w:p w:rsidR="00DF4E40" w:rsidRPr="00A30AEC" w:rsidRDefault="00DF4E40">
      <w:pPr>
        <w:rPr>
          <w:rFonts w:ascii="Arial" w:hAnsi="Arial" w:cs="Arial"/>
          <w:sz w:val="22"/>
          <w:szCs w:val="22"/>
        </w:rPr>
      </w:pPr>
      <w:r w:rsidRPr="00A30AEC">
        <w:rPr>
          <w:rFonts w:ascii="Arial" w:hAnsi="Arial" w:cs="Arial"/>
          <w:b/>
          <w:bCs/>
          <w:sz w:val="22"/>
          <w:szCs w:val="22"/>
        </w:rPr>
        <w:t>(</w:t>
      </w:r>
      <w:r w:rsidRPr="00A30AEC">
        <w:rPr>
          <w:rFonts w:ascii="Arial" w:hAnsi="Arial" w:cs="Arial"/>
          <w:sz w:val="22"/>
          <w:szCs w:val="22"/>
        </w:rPr>
        <w:t>Reference: points (b) and (c) of Article 8(2) of Regulation (EU) No 1299/2013)</w:t>
      </w:r>
    </w:p>
    <w:p w:rsidR="007142EE" w:rsidRPr="00AD02BA" w:rsidRDefault="007142EE">
      <w:pPr>
        <w:rPr>
          <w:rFonts w:ascii="Arial" w:hAnsi="Arial" w:cs="Arial"/>
          <w:i/>
          <w:color w:val="244061"/>
          <w:sz w:val="22"/>
          <w:szCs w:val="22"/>
        </w:rPr>
      </w:pPr>
    </w:p>
    <w:p w:rsidR="007142EE" w:rsidRPr="00A30AEC" w:rsidRDefault="007142EE">
      <w:pPr>
        <w:rPr>
          <w:rFonts w:ascii="Arial" w:hAnsi="Arial" w:cs="Arial"/>
          <w:i/>
          <w:color w:val="244061"/>
          <w:sz w:val="22"/>
          <w:szCs w:val="22"/>
        </w:rPr>
      </w:pPr>
    </w:p>
    <w:p w:rsidR="00DF4E40" w:rsidRDefault="00DF4E40" w:rsidP="00A30AEC">
      <w:pPr>
        <w:pStyle w:val="Heading2"/>
        <w:spacing w:after="120"/>
      </w:pPr>
      <w:bookmarkStart w:id="84" w:name="_Toc420597663"/>
      <w:bookmarkStart w:id="85" w:name="_Toc420659235"/>
      <w:bookmarkStart w:id="86" w:name="_Toc365660113"/>
      <w:bookmarkStart w:id="87" w:name="_Toc366097034"/>
      <w:bookmarkStart w:id="88" w:name="_Toc377402549"/>
      <w:bookmarkStart w:id="89" w:name="_Toc420652491"/>
      <w:bookmarkStart w:id="90" w:name="_Toc421076843"/>
      <w:bookmarkEnd w:id="84"/>
      <w:bookmarkEnd w:id="85"/>
      <w:r w:rsidRPr="00304864">
        <w:t>Section 2.A.Description of the priority axes other than technical assistance</w:t>
      </w:r>
      <w:bookmarkEnd w:id="86"/>
      <w:bookmarkEnd w:id="87"/>
      <w:bookmarkEnd w:id="88"/>
      <w:bookmarkEnd w:id="89"/>
      <w:bookmarkEnd w:id="90"/>
    </w:p>
    <w:p w:rsidR="00A10A3B" w:rsidRPr="00A30AEC" w:rsidRDefault="00A10A3B">
      <w:pPr>
        <w:rPr>
          <w:rFonts w:ascii="Arial" w:hAnsi="Arial" w:cs="Arial"/>
          <w:bCs/>
          <w:sz w:val="22"/>
          <w:szCs w:val="22"/>
        </w:rPr>
      </w:pPr>
      <w:r w:rsidRPr="00A30AEC">
        <w:rPr>
          <w:rFonts w:ascii="Arial" w:hAnsi="Arial" w:cs="Arial"/>
          <w:bCs/>
          <w:sz w:val="22"/>
          <w:szCs w:val="22"/>
        </w:rPr>
        <w:t>(Reference: point (b) of Article 8(2) of the ETC Regulation)</w:t>
      </w:r>
    </w:p>
    <w:p w:rsidR="00DF4E40" w:rsidRPr="00A30AEC" w:rsidRDefault="00DF4E40" w:rsidP="00A30AEC">
      <w:pPr>
        <w:pStyle w:val="Heading3"/>
        <w:spacing w:before="0" w:after="120"/>
        <w:ind w:left="0"/>
        <w:rPr>
          <w:rFonts w:ascii="Arial" w:hAnsi="Arial" w:cs="Arial"/>
          <w:b w:val="0"/>
          <w:color w:val="002060"/>
          <w:sz w:val="22"/>
          <w:szCs w:val="22"/>
        </w:rPr>
      </w:pPr>
      <w:bookmarkStart w:id="91" w:name="_Toc420652492"/>
      <w:bookmarkStart w:id="92" w:name="_Toc421076844"/>
      <w:r w:rsidRPr="00A30AEC">
        <w:rPr>
          <w:rFonts w:ascii="Arial" w:hAnsi="Arial" w:cs="Arial"/>
          <w:b w:val="0"/>
          <w:color w:val="002060"/>
          <w:sz w:val="22"/>
          <w:szCs w:val="22"/>
        </w:rPr>
        <w:t>2.A.1. Priority Axis 1</w:t>
      </w:r>
      <w:bookmarkEnd w:id="91"/>
      <w:bookmarkEnd w:id="92"/>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8080"/>
      </w:tblGrid>
      <w:tr w:rsidR="00DA3B3A" w:rsidRPr="00AD02BA" w:rsidTr="00AD02BA">
        <w:trPr>
          <w:trHeight w:val="448"/>
        </w:trPr>
        <w:tc>
          <w:tcPr>
            <w:tcW w:w="1276"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ID</w:t>
            </w:r>
          </w:p>
        </w:tc>
        <w:tc>
          <w:tcPr>
            <w:tcW w:w="8080"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PRIORITY AXIS 1</w:t>
            </w:r>
          </w:p>
        </w:tc>
      </w:tr>
      <w:tr w:rsidR="00DF4E40" w:rsidRPr="00304864" w:rsidTr="00A961B0">
        <w:trPr>
          <w:trHeight w:val="505"/>
        </w:trPr>
        <w:tc>
          <w:tcPr>
            <w:tcW w:w="1276" w:type="dxa"/>
            <w:shd w:val="clear" w:color="auto" w:fill="FFFFFF"/>
          </w:tcPr>
          <w:p w:rsidR="00DF4E40" w:rsidRPr="00304864" w:rsidRDefault="00DF4E40">
            <w:pPr>
              <w:rPr>
                <w:rFonts w:ascii="Arial" w:hAnsi="Arial" w:cs="Arial"/>
                <w:b/>
                <w:szCs w:val="22"/>
              </w:rPr>
            </w:pPr>
            <w:r w:rsidRPr="00304864">
              <w:rPr>
                <w:rFonts w:ascii="Arial" w:hAnsi="Arial" w:cs="Arial"/>
                <w:b/>
                <w:sz w:val="22"/>
                <w:szCs w:val="22"/>
              </w:rPr>
              <w:t>Title</w:t>
            </w:r>
          </w:p>
        </w:tc>
        <w:tc>
          <w:tcPr>
            <w:tcW w:w="8080" w:type="dxa"/>
            <w:shd w:val="clear" w:color="auto" w:fill="FFFFFF"/>
          </w:tcPr>
          <w:p w:rsidR="00DF4E40" w:rsidRPr="00304864" w:rsidRDefault="00DF4E40">
            <w:pPr>
              <w:rPr>
                <w:rFonts w:ascii="Arial" w:hAnsi="Arial" w:cs="Arial"/>
                <w:b/>
                <w:szCs w:val="22"/>
              </w:rPr>
            </w:pPr>
            <w:r w:rsidRPr="00304864">
              <w:rPr>
                <w:rFonts w:ascii="Arial" w:hAnsi="Arial" w:cs="Arial"/>
                <w:b/>
                <w:sz w:val="22"/>
                <w:szCs w:val="22"/>
              </w:rPr>
              <w:t>Innovative and smart region</w:t>
            </w:r>
          </w:p>
        </w:tc>
      </w:tr>
    </w:tbl>
    <w:p w:rsidR="00DF4E40" w:rsidRPr="00304864" w:rsidRDefault="00DF4E40">
      <w:pPr>
        <w:rPr>
          <w:rFonts w:ascii="Arial" w:hAnsi="Arial" w:cs="Arial"/>
          <w:sz w:val="22"/>
          <w:szCs w:val="22"/>
        </w:rPr>
      </w:pP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bookmarkStart w:id="93" w:name="_Toc365660117"/>
      <w:r w:rsidR="00DF4E40" w:rsidRPr="00304864">
        <w:rPr>
          <w:rFonts w:ascii="Arial" w:hAnsi="Arial" w:cs="Arial"/>
          <w:sz w:val="22"/>
          <w:szCs w:val="22"/>
        </w:rPr>
        <w:t xml:space="preserve"> The entire priority axis will be implemented solely through financial instruments</w:t>
      </w:r>
      <w:bookmarkEnd w:id="93"/>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bookmarkStart w:id="94" w:name="_Toc365660118"/>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solely through financial instruments set up at Union level</w:t>
      </w:r>
      <w:bookmarkEnd w:id="94"/>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bookmarkStart w:id="95" w:name="_Toc365660119"/>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through community-led local development</w:t>
      </w:r>
      <w:bookmarkEnd w:id="95"/>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Pr>
          <w:rFonts w:ascii="Arial" w:hAnsi="Arial" w:cs="Arial"/>
          <w:b w:val="0"/>
          <w:color w:val="002060"/>
          <w:sz w:val="22"/>
          <w:szCs w:val="22"/>
        </w:rPr>
      </w:pPr>
      <w:bookmarkStart w:id="96" w:name="_Toc420652493"/>
      <w:bookmarkStart w:id="97" w:name="_Toc421076845"/>
      <w:r w:rsidRPr="00A30AEC">
        <w:rPr>
          <w:rFonts w:ascii="Arial" w:hAnsi="Arial" w:cs="Arial"/>
          <w:b w:val="0"/>
          <w:color w:val="002060"/>
          <w:sz w:val="22"/>
          <w:szCs w:val="22"/>
        </w:rPr>
        <w:t>2.A.2. Justification for the establishment of a priority axis covering more than one thematic objective</w:t>
      </w:r>
      <w:bookmarkEnd w:id="96"/>
      <w:bookmarkEnd w:id="97"/>
    </w:p>
    <w:p w:rsidR="00A10A3B" w:rsidRPr="00A30AEC" w:rsidRDefault="00A10A3B">
      <w:pPr>
        <w:rPr>
          <w:rFonts w:ascii="Arial" w:hAnsi="Arial" w:cs="Arial"/>
          <w:sz w:val="22"/>
          <w:szCs w:val="22"/>
          <w:lang w:val="en-US"/>
        </w:rPr>
      </w:pPr>
      <w:r w:rsidRPr="00A30AEC">
        <w:rPr>
          <w:rFonts w:ascii="Arial" w:hAnsi="Arial" w:cs="Arial"/>
          <w:sz w:val="22"/>
          <w:szCs w:val="22"/>
          <w:lang w:val="en-US" w:eastAsia="it-IT"/>
        </w:rPr>
        <w:t>(Reference: Article 8(1) of the ETC Regulation)</w:t>
      </w:r>
    </w:p>
    <w:p w:rsidR="00DF4E40" w:rsidRPr="00A30AEC" w:rsidRDefault="00DF4E40">
      <w:pPr>
        <w:rPr>
          <w:rFonts w:ascii="Arial" w:hAnsi="Arial" w:cs="Arial"/>
          <w:sz w:val="22"/>
          <w:szCs w:val="22"/>
        </w:rPr>
      </w:pPr>
      <w:r w:rsidRPr="00A30AEC">
        <w:rPr>
          <w:rFonts w:ascii="Arial" w:hAnsi="Arial" w:cs="Arial"/>
          <w:sz w:val="22"/>
          <w:szCs w:val="22"/>
        </w:rPr>
        <w:t>Not applicable</w:t>
      </w:r>
    </w:p>
    <w:p w:rsidR="00DF4E40" w:rsidRPr="00304864" w:rsidRDefault="00DF4E40">
      <w:pPr>
        <w:rPr>
          <w:rFonts w:ascii="Arial" w:hAnsi="Arial" w:cs="Arial"/>
          <w:i/>
          <w:sz w:val="22"/>
          <w:szCs w:val="22"/>
        </w:rPr>
      </w:pPr>
    </w:p>
    <w:p w:rsidR="00DF4E40" w:rsidRPr="00304864" w:rsidRDefault="00DF4E40">
      <w:pPr>
        <w:rPr>
          <w:rFonts w:ascii="Arial" w:hAnsi="Arial" w:cs="Arial"/>
          <w:i/>
          <w:sz w:val="22"/>
          <w:szCs w:val="22"/>
        </w:rPr>
      </w:pPr>
    </w:p>
    <w:p w:rsidR="00DF4E40" w:rsidRPr="00A30AEC" w:rsidRDefault="00DF4E40" w:rsidP="00A30AEC">
      <w:pPr>
        <w:pStyle w:val="Heading3"/>
        <w:spacing w:before="0" w:after="120"/>
        <w:ind w:left="0"/>
        <w:rPr>
          <w:rFonts w:ascii="Arial" w:hAnsi="Arial" w:cs="Arial"/>
          <w:b w:val="0"/>
          <w:color w:val="002060"/>
          <w:sz w:val="22"/>
          <w:szCs w:val="22"/>
        </w:rPr>
      </w:pPr>
      <w:bookmarkStart w:id="98" w:name="_Toc420652494"/>
      <w:bookmarkStart w:id="99" w:name="_Toc421076846"/>
      <w:r w:rsidRPr="00A30AEC">
        <w:rPr>
          <w:rFonts w:ascii="Arial" w:hAnsi="Arial" w:cs="Arial"/>
          <w:b w:val="0"/>
          <w:color w:val="002060"/>
          <w:sz w:val="22"/>
          <w:szCs w:val="22"/>
        </w:rPr>
        <w:t>2.A.3. Fund and calculation basis for the Union support</w:t>
      </w:r>
      <w:bookmarkEnd w:id="98"/>
      <w:bookmarkEnd w:id="9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528"/>
      </w:tblGrid>
      <w:tr w:rsidR="00DF4E40" w:rsidRPr="00304864" w:rsidTr="00A30AEC">
        <w:tc>
          <w:tcPr>
            <w:tcW w:w="3794" w:type="dxa"/>
            <w:vAlign w:val="center"/>
          </w:tcPr>
          <w:p w:rsidR="00DF4E40" w:rsidRPr="00304864" w:rsidRDefault="00DF4E40">
            <w:pPr>
              <w:pStyle w:val="Text3"/>
              <w:ind w:left="0"/>
              <w:rPr>
                <w:rFonts w:ascii="Arial" w:hAnsi="Arial" w:cs="Arial"/>
                <w:b/>
                <w:szCs w:val="22"/>
                <w:lang w:eastAsia="fr-BE"/>
              </w:rPr>
            </w:pPr>
            <w:r w:rsidRPr="00304864">
              <w:rPr>
                <w:rFonts w:ascii="Arial" w:hAnsi="Arial" w:cs="Arial"/>
                <w:b/>
                <w:sz w:val="22"/>
                <w:szCs w:val="22"/>
                <w:lang w:eastAsia="fr-BE"/>
              </w:rPr>
              <w:t>Fund</w:t>
            </w:r>
          </w:p>
        </w:tc>
        <w:tc>
          <w:tcPr>
            <w:tcW w:w="5528" w:type="dxa"/>
            <w:vAlign w:val="center"/>
          </w:tcPr>
          <w:p w:rsidR="00DF4E40" w:rsidRPr="00304864" w:rsidRDefault="00DF4E40">
            <w:pPr>
              <w:pStyle w:val="Text3"/>
              <w:ind w:left="-108"/>
              <w:jc w:val="center"/>
              <w:rPr>
                <w:rFonts w:ascii="Arial" w:hAnsi="Arial" w:cs="Arial"/>
                <w:b/>
                <w:szCs w:val="22"/>
                <w:lang w:eastAsia="fr-BE"/>
              </w:rPr>
            </w:pPr>
            <w:r w:rsidRPr="00304864">
              <w:rPr>
                <w:rFonts w:ascii="Arial" w:hAnsi="Arial" w:cs="Arial"/>
                <w:b/>
                <w:sz w:val="22"/>
                <w:szCs w:val="22"/>
                <w:lang w:eastAsia="fr-BE"/>
              </w:rPr>
              <w:t>ERDF+ IPA</w:t>
            </w:r>
          </w:p>
        </w:tc>
      </w:tr>
      <w:tr w:rsidR="00DF4E40" w:rsidRPr="00304864" w:rsidTr="00A30AEC">
        <w:tc>
          <w:tcPr>
            <w:tcW w:w="3794" w:type="dxa"/>
            <w:vAlign w:val="center"/>
          </w:tcPr>
          <w:p w:rsidR="00DF4E40" w:rsidRPr="00304864" w:rsidRDefault="00DF4E40">
            <w:pPr>
              <w:pStyle w:val="Text3"/>
              <w:ind w:left="0"/>
              <w:jc w:val="left"/>
              <w:rPr>
                <w:rFonts w:ascii="Arial" w:hAnsi="Arial" w:cs="Arial"/>
                <w:b/>
                <w:szCs w:val="22"/>
                <w:lang w:eastAsia="fr-BE"/>
              </w:rPr>
            </w:pPr>
            <w:r w:rsidRPr="00304864">
              <w:rPr>
                <w:rFonts w:ascii="Arial" w:hAnsi="Arial" w:cs="Arial"/>
                <w:b/>
                <w:sz w:val="22"/>
                <w:szCs w:val="22"/>
                <w:lang w:eastAsia="fr-BE"/>
              </w:rPr>
              <w:t xml:space="preserve">Calculation Basis </w:t>
            </w:r>
            <w:r w:rsidRPr="00304864">
              <w:rPr>
                <w:rFonts w:ascii="Arial" w:hAnsi="Arial" w:cs="Arial"/>
                <w:i/>
                <w:sz w:val="22"/>
                <w:szCs w:val="22"/>
                <w:lang w:eastAsia="fr-BE"/>
              </w:rPr>
              <w:t>(total eligible expenditure)</w:t>
            </w:r>
          </w:p>
        </w:tc>
        <w:tc>
          <w:tcPr>
            <w:tcW w:w="5528" w:type="dxa"/>
            <w:vAlign w:val="center"/>
          </w:tcPr>
          <w:p w:rsidR="00DF4E40" w:rsidRPr="00A30AEC" w:rsidRDefault="00DF4E40" w:rsidP="00A30AEC">
            <w:pPr>
              <w:pStyle w:val="Text3"/>
              <w:rPr>
                <w:b/>
                <w:strike/>
                <w:lang w:eastAsia="fr-BE"/>
              </w:rPr>
            </w:pPr>
            <w:r w:rsidRPr="00415612">
              <w:rPr>
                <w:rFonts w:ascii="Arial" w:hAnsi="Arial" w:cs="Arial"/>
                <w:sz w:val="22"/>
                <w:szCs w:val="22"/>
                <w:lang w:eastAsia="fr-BE"/>
              </w:rPr>
              <w:t xml:space="preserve">EUR </w:t>
            </w:r>
            <w:r w:rsidRPr="00B0751E">
              <w:rPr>
                <w:rFonts w:ascii="Arial" w:hAnsi="Arial" w:cs="Arial"/>
                <w:color w:val="000000"/>
                <w:sz w:val="22"/>
                <w:szCs w:val="22"/>
              </w:rPr>
              <w:t>19.691.65</w:t>
            </w:r>
            <w:r w:rsidR="00415612" w:rsidRPr="00C558E2">
              <w:rPr>
                <w:rFonts w:ascii="Arial" w:hAnsi="Arial" w:cs="Arial"/>
                <w:color w:val="000000"/>
                <w:sz w:val="22"/>
                <w:szCs w:val="22"/>
              </w:rPr>
              <w:t>8</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r w:rsidRPr="00304864">
        <w:rPr>
          <w:rFonts w:ascii="Arial" w:hAnsi="Arial" w:cs="Arial"/>
          <w:sz w:val="22"/>
          <w:szCs w:val="22"/>
        </w:rPr>
        <w:br w:type="page"/>
      </w:r>
    </w:p>
    <w:p w:rsidR="00DF4E40" w:rsidRPr="00A30AEC" w:rsidRDefault="00DF4E40" w:rsidP="00A30AEC">
      <w:pPr>
        <w:pStyle w:val="Heading3"/>
        <w:spacing w:before="0" w:after="120"/>
        <w:ind w:left="0"/>
        <w:rPr>
          <w:rFonts w:ascii="Arial" w:hAnsi="Arial" w:cs="Arial"/>
          <w:b w:val="0"/>
          <w:color w:val="002060"/>
          <w:sz w:val="22"/>
          <w:szCs w:val="22"/>
        </w:rPr>
      </w:pPr>
      <w:bookmarkStart w:id="100" w:name="_Toc420652495"/>
      <w:bookmarkStart w:id="101" w:name="_Toc421076847"/>
      <w:r w:rsidRPr="00A30AEC">
        <w:rPr>
          <w:rFonts w:ascii="Arial" w:hAnsi="Arial" w:cs="Arial"/>
          <w:b w:val="0"/>
          <w:color w:val="002060"/>
          <w:sz w:val="22"/>
          <w:szCs w:val="22"/>
        </w:rPr>
        <w:t>2.A.4. Investment priority 1.b</w:t>
      </w:r>
      <w:bookmarkEnd w:id="100"/>
      <w:bookmarkEnd w:id="101"/>
    </w:p>
    <w:p w:rsidR="00DF4E40" w:rsidRPr="00C71BD4" w:rsidRDefault="00DF4E40">
      <w:pPr>
        <w:pStyle w:val="Text3"/>
        <w:ind w:left="0"/>
        <w:rPr>
          <w:rFonts w:ascii="Arial" w:hAnsi="Arial" w:cs="Arial"/>
          <w:sz w:val="22"/>
          <w:szCs w:val="22"/>
          <w:lang w:eastAsia="fr-BE"/>
        </w:rPr>
      </w:pPr>
      <w:r w:rsidRPr="00A30AEC">
        <w:rPr>
          <w:rFonts w:ascii="Arial" w:hAnsi="Arial" w:cs="Arial"/>
          <w:sz w:val="22"/>
          <w:szCs w:val="22"/>
        </w:rPr>
        <w:t>(Reference: points (b)(i)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DA3B3A" w:rsidRPr="00AD02BA" w:rsidTr="00AD02BA">
        <w:tc>
          <w:tcPr>
            <w:tcW w:w="9286" w:type="dxa"/>
            <w:shd w:val="clear" w:color="auto" w:fill="C6D9F1"/>
          </w:tcPr>
          <w:p w:rsidR="00DF4E40" w:rsidRPr="00A30AEC" w:rsidRDefault="00DF4E40">
            <w:pPr>
              <w:rPr>
                <w:rFonts w:ascii="Arial" w:hAnsi="Arial" w:cs="Arial"/>
                <w:b/>
                <w:szCs w:val="22"/>
              </w:rPr>
            </w:pPr>
            <w:bookmarkStart w:id="102" w:name="_Toc377402550"/>
            <w:r w:rsidRPr="00A30AEC">
              <w:rPr>
                <w:rFonts w:ascii="Arial" w:hAnsi="Arial" w:cs="Arial"/>
                <w:b/>
                <w:sz w:val="22"/>
                <w:szCs w:val="22"/>
              </w:rPr>
              <w:t>INVESTMENT PRIORITY 1.b</w:t>
            </w:r>
            <w:bookmarkEnd w:id="102"/>
          </w:p>
        </w:tc>
      </w:tr>
      <w:tr w:rsidR="00DF4E40" w:rsidRPr="00304864" w:rsidTr="00E30640">
        <w:tc>
          <w:tcPr>
            <w:tcW w:w="9286" w:type="dxa"/>
          </w:tcPr>
          <w:p w:rsidR="00DF4E40" w:rsidRPr="00304864" w:rsidRDefault="00DF4E40">
            <w:pPr>
              <w:rPr>
                <w:rFonts w:ascii="Arial" w:hAnsi="Arial" w:cs="Arial"/>
                <w:b/>
                <w:color w:val="FFFFFF"/>
                <w:szCs w:val="22"/>
              </w:rPr>
            </w:pPr>
            <w:r w:rsidRPr="00304864">
              <w:rPr>
                <w:rFonts w:ascii="Arial" w:hAnsi="Arial" w:cs="Arial"/>
                <w:b/>
                <w:sz w:val="22"/>
                <w:szCs w:val="22"/>
              </w:rPr>
              <w:t>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tc>
      </w:tr>
    </w:tbl>
    <w:p w:rsidR="00DF4E40" w:rsidRPr="00304864" w:rsidRDefault="00DF4E40">
      <w:pPr>
        <w:pStyle w:val="Heading3"/>
        <w:spacing w:before="0" w:after="120"/>
        <w:ind w:left="0"/>
        <w:rPr>
          <w:rFonts w:ascii="Arial" w:hAnsi="Arial" w:cs="Arial"/>
          <w:noProof w:val="0"/>
          <w:color w:val="002060"/>
          <w:sz w:val="22"/>
          <w:szCs w:val="22"/>
        </w:rPr>
      </w:pPr>
      <w:bookmarkStart w:id="103" w:name="_Toc377402551"/>
    </w:p>
    <w:p w:rsidR="00DF4E40" w:rsidRPr="00304864" w:rsidRDefault="00DF4E40">
      <w:pPr>
        <w:pStyle w:val="Heading3"/>
        <w:spacing w:before="0" w:after="120"/>
        <w:ind w:left="0"/>
        <w:rPr>
          <w:rFonts w:ascii="Arial" w:hAnsi="Arial" w:cs="Arial"/>
          <w:noProof w:val="0"/>
          <w:color w:val="002060"/>
          <w:sz w:val="22"/>
          <w:szCs w:val="22"/>
        </w:rPr>
      </w:pPr>
    </w:p>
    <w:p w:rsidR="00DF4E40" w:rsidRPr="00A30AEC" w:rsidRDefault="00DF4E40" w:rsidP="00A30AEC">
      <w:pPr>
        <w:pStyle w:val="Heading3"/>
        <w:spacing w:before="0" w:after="120"/>
        <w:ind w:left="0"/>
        <w:rPr>
          <w:rFonts w:ascii="Arial" w:hAnsi="Arial" w:cs="Arial"/>
          <w:b w:val="0"/>
          <w:strike/>
          <w:color w:val="002060"/>
          <w:sz w:val="22"/>
          <w:szCs w:val="22"/>
        </w:rPr>
      </w:pPr>
      <w:bookmarkStart w:id="104" w:name="_Toc421076848"/>
      <w:bookmarkStart w:id="105" w:name="_Toc420652496"/>
      <w:r w:rsidRPr="00A30AEC">
        <w:rPr>
          <w:rFonts w:ascii="Arial" w:hAnsi="Arial" w:cs="Arial"/>
          <w:b w:val="0"/>
          <w:color w:val="002060"/>
          <w:sz w:val="22"/>
          <w:szCs w:val="22"/>
        </w:rPr>
        <w:t>2.A.5.Specific objective</w:t>
      </w:r>
      <w:bookmarkEnd w:id="103"/>
      <w:r w:rsidR="00751DA6" w:rsidRPr="00A30AEC">
        <w:rPr>
          <w:rFonts w:ascii="Arial" w:hAnsi="Arial" w:cs="Arial"/>
          <w:b w:val="0"/>
          <w:color w:val="002060"/>
          <w:sz w:val="22"/>
          <w:szCs w:val="22"/>
        </w:rPr>
        <w:t xml:space="preserve"> corresponding to the investment priority and expected results</w:t>
      </w:r>
      <w:bookmarkEnd w:id="104"/>
      <w:bookmarkEnd w:id="105"/>
    </w:p>
    <w:p w:rsidR="00DF4E40" w:rsidRPr="00C71BD4" w:rsidRDefault="00DF4E40">
      <w:pPr>
        <w:pStyle w:val="Text3"/>
        <w:ind w:left="0"/>
        <w:rPr>
          <w:rFonts w:ascii="Arial" w:hAnsi="Arial" w:cs="Arial"/>
          <w:sz w:val="22"/>
          <w:szCs w:val="22"/>
          <w:lang w:eastAsia="fr-BE"/>
        </w:rPr>
      </w:pPr>
      <w:r w:rsidRPr="00A30AEC">
        <w:rPr>
          <w:rFonts w:ascii="Arial" w:hAnsi="Arial" w:cs="Arial"/>
          <w:sz w:val="22"/>
          <w:szCs w:val="22"/>
        </w:rPr>
        <w:t>(Reference: points (b)(i) and (ii)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945"/>
      </w:tblGrid>
      <w:tr w:rsidR="00DF4E40" w:rsidRPr="00304864" w:rsidTr="00A30AEC">
        <w:tc>
          <w:tcPr>
            <w:tcW w:w="2235"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ID</w:t>
            </w:r>
          </w:p>
        </w:tc>
        <w:tc>
          <w:tcPr>
            <w:tcW w:w="6945" w:type="dxa"/>
            <w:shd w:val="clear" w:color="auto" w:fill="C6D9F1"/>
          </w:tcPr>
          <w:p w:rsidR="00DF4E40" w:rsidRPr="00304864" w:rsidRDefault="00DF4E40">
            <w:pPr>
              <w:jc w:val="left"/>
              <w:rPr>
                <w:rFonts w:ascii="Arial" w:hAnsi="Arial" w:cs="Arial"/>
                <w:b/>
                <w:i/>
                <w:szCs w:val="22"/>
              </w:rPr>
            </w:pPr>
            <w:r w:rsidRPr="00304864">
              <w:rPr>
                <w:rFonts w:ascii="Arial" w:hAnsi="Arial" w:cs="Arial"/>
                <w:b/>
                <w:sz w:val="22"/>
                <w:szCs w:val="22"/>
              </w:rPr>
              <w:t>1.1</w:t>
            </w:r>
          </w:p>
        </w:tc>
      </w:tr>
      <w:tr w:rsidR="00DF4E40" w:rsidRPr="00304864" w:rsidTr="00A961B0">
        <w:trPr>
          <w:trHeight w:val="630"/>
        </w:trPr>
        <w:tc>
          <w:tcPr>
            <w:tcW w:w="2235" w:type="dxa"/>
            <w:shd w:val="clear" w:color="auto" w:fill="FFFFFF"/>
          </w:tcPr>
          <w:p w:rsidR="00DF4E40" w:rsidRPr="00304864" w:rsidRDefault="00DF4E40">
            <w:pPr>
              <w:jc w:val="left"/>
              <w:rPr>
                <w:rFonts w:ascii="Arial" w:hAnsi="Arial" w:cs="Arial"/>
                <w:i/>
                <w:szCs w:val="22"/>
              </w:rPr>
            </w:pPr>
            <w:r w:rsidRPr="00304864">
              <w:rPr>
                <w:rFonts w:ascii="Arial" w:hAnsi="Arial" w:cs="Arial"/>
                <w:b/>
                <w:sz w:val="22"/>
                <w:szCs w:val="22"/>
              </w:rPr>
              <w:t>Specific Objective</w:t>
            </w:r>
          </w:p>
        </w:tc>
        <w:tc>
          <w:tcPr>
            <w:tcW w:w="6945" w:type="dxa"/>
          </w:tcPr>
          <w:p w:rsidR="00DF4E40" w:rsidRPr="00304864" w:rsidRDefault="00DF4E40">
            <w:pPr>
              <w:pStyle w:val="Text4"/>
              <w:ind w:left="0"/>
              <w:rPr>
                <w:rFonts w:ascii="Arial" w:hAnsi="Arial" w:cs="Arial"/>
                <w:b/>
                <w:szCs w:val="22"/>
              </w:rPr>
            </w:pPr>
            <w:r w:rsidRPr="00304864">
              <w:rPr>
                <w:rFonts w:ascii="Arial" w:hAnsi="Arial" w:cs="Arial"/>
                <w:b/>
                <w:sz w:val="22"/>
                <w:szCs w:val="22"/>
              </w:rPr>
              <w:t>Support the development of a regional Innovation system for the Adriatic-Ionian area</w:t>
            </w:r>
          </w:p>
        </w:tc>
      </w:tr>
      <w:tr w:rsidR="00DF4E40" w:rsidRPr="00304864" w:rsidTr="00E12C52">
        <w:tc>
          <w:tcPr>
            <w:tcW w:w="2235" w:type="dxa"/>
            <w:shd w:val="clear" w:color="auto" w:fill="FFFFFF"/>
          </w:tcPr>
          <w:p w:rsidR="00DF4E40" w:rsidRPr="00304864" w:rsidRDefault="00DF4E40">
            <w:pPr>
              <w:rPr>
                <w:rFonts w:ascii="Arial" w:hAnsi="Arial" w:cs="Arial"/>
                <w:b/>
                <w:szCs w:val="22"/>
              </w:rPr>
            </w:pPr>
            <w:r w:rsidRPr="00304864">
              <w:rPr>
                <w:rFonts w:ascii="Arial" w:hAnsi="Arial" w:cs="Arial"/>
                <w:b/>
                <w:sz w:val="22"/>
                <w:szCs w:val="22"/>
              </w:rPr>
              <w:t>Expected results</w:t>
            </w:r>
          </w:p>
          <w:p w:rsidR="00DF4E40" w:rsidRPr="00304864" w:rsidRDefault="00DF4E40">
            <w:pPr>
              <w:rPr>
                <w:rFonts w:ascii="Arial" w:hAnsi="Arial" w:cs="Arial"/>
                <w:szCs w:val="22"/>
              </w:rPr>
            </w:pPr>
            <w:r w:rsidRPr="00304864">
              <w:rPr>
                <w:rFonts w:ascii="Arial" w:hAnsi="Arial" w:cs="Arial"/>
                <w:i/>
                <w:sz w:val="22"/>
                <w:szCs w:val="22"/>
              </w:rPr>
              <w:t>3500 char. max</w:t>
            </w:r>
            <w:r w:rsidRPr="00304864">
              <w:rPr>
                <w:rFonts w:ascii="Arial" w:hAnsi="Arial" w:cs="Arial"/>
                <w:sz w:val="22"/>
                <w:szCs w:val="22"/>
              </w:rPr>
              <w:t>.</w:t>
            </w:r>
          </w:p>
        </w:tc>
        <w:tc>
          <w:tcPr>
            <w:tcW w:w="6945" w:type="dxa"/>
          </w:tcPr>
          <w:p w:rsidR="00DF4E40" w:rsidRPr="00304864" w:rsidRDefault="00DF4E40">
            <w:pPr>
              <w:pStyle w:val="Text4"/>
              <w:ind w:left="0"/>
              <w:rPr>
                <w:rFonts w:ascii="Arial" w:hAnsi="Arial" w:cs="Arial"/>
                <w:bCs/>
                <w:szCs w:val="22"/>
              </w:rPr>
            </w:pPr>
            <w:r w:rsidRPr="00304864">
              <w:rPr>
                <w:rFonts w:ascii="Arial" w:hAnsi="Arial" w:cs="Arial"/>
                <w:bCs/>
                <w:sz w:val="22"/>
                <w:szCs w:val="22"/>
              </w:rPr>
              <w:t xml:space="preserve">The ADRION area is characterised by low innovation performance (innovation models more based on diversification than breakthrough innovation), limited capacity of SMEs, inadequate cooperation among companies, research centres and public agencies, absence of support schemes and seed capital, obsolete technological applications, lack of focus on specific issues which can be of competitive advantage to the area (e.g. blue growth), limited sectoral/cross-sectoral specialisations, absence of high-value added services, inadequate understanding of the importance of intellectual property, etc. </w:t>
            </w:r>
          </w:p>
          <w:p w:rsidR="00DF4E40" w:rsidRPr="00304864" w:rsidRDefault="00DF4E40">
            <w:pPr>
              <w:pStyle w:val="Text4"/>
              <w:ind w:left="0"/>
              <w:rPr>
                <w:rFonts w:ascii="Arial" w:hAnsi="Arial" w:cs="Arial"/>
                <w:bCs/>
                <w:szCs w:val="22"/>
              </w:rPr>
            </w:pPr>
            <w:r w:rsidRPr="00304864">
              <w:rPr>
                <w:rFonts w:ascii="Arial" w:hAnsi="Arial" w:cs="Arial"/>
                <w:bCs/>
                <w:sz w:val="22"/>
                <w:szCs w:val="22"/>
              </w:rPr>
              <w:t xml:space="preserve">On the other hand there are a number of competitive and highly active research and innovation clusters, albeit with poor intraregional joint activities especially in the East-West Axis. A further strong point is the existence of RIS3. These offer the possibility of thematic focus on the one side and the delivery of a process blueprint on the other, especially for the </w:t>
            </w:r>
            <w:r w:rsidR="0023298C">
              <w:rPr>
                <w:rFonts w:ascii="Arial" w:hAnsi="Arial" w:cs="Arial"/>
                <w:bCs/>
                <w:sz w:val="22"/>
                <w:szCs w:val="22"/>
              </w:rPr>
              <w:t xml:space="preserve">IPA </w:t>
            </w:r>
            <w:r w:rsidR="009E59B0">
              <w:rPr>
                <w:rFonts w:ascii="Arial" w:hAnsi="Arial" w:cs="Arial"/>
                <w:sz w:val="22"/>
                <w:szCs w:val="22"/>
                <w:lang w:eastAsia="fr-BE"/>
              </w:rPr>
              <w:t>Partner States</w:t>
            </w:r>
            <w:r w:rsidRPr="00304864">
              <w:rPr>
                <w:rFonts w:ascii="Arial" w:hAnsi="Arial" w:cs="Arial"/>
                <w:bCs/>
                <w:sz w:val="22"/>
                <w:szCs w:val="22"/>
              </w:rPr>
              <w:t xml:space="preserve">. However innovation governance at transnational level remains weak. </w:t>
            </w:r>
          </w:p>
          <w:p w:rsidR="00DF4E40" w:rsidRPr="00304864" w:rsidRDefault="00DF4E40">
            <w:pPr>
              <w:pStyle w:val="Text4"/>
              <w:ind w:left="0"/>
              <w:rPr>
                <w:rFonts w:ascii="Arial" w:hAnsi="Arial" w:cs="Arial"/>
                <w:bCs/>
                <w:szCs w:val="22"/>
              </w:rPr>
            </w:pPr>
            <w:r w:rsidRPr="00304864">
              <w:rPr>
                <w:rFonts w:ascii="Arial" w:hAnsi="Arial" w:cs="Arial"/>
                <w:bCs/>
                <w:sz w:val="22"/>
                <w:szCs w:val="22"/>
              </w:rPr>
              <w:t>In the context of the above, the region has a series of common fields of interest, where transnational cooperation can focus on, in order to develop a critical mass. Indicative areas are:</w:t>
            </w:r>
          </w:p>
          <w:p w:rsidR="00DF4E40" w:rsidRPr="00304864" w:rsidRDefault="00DF4E40" w:rsidP="00A30AEC">
            <w:pPr>
              <w:pStyle w:val="Text4"/>
              <w:numPr>
                <w:ilvl w:val="0"/>
                <w:numId w:val="129"/>
              </w:numPr>
              <w:ind w:left="459"/>
              <w:rPr>
                <w:rFonts w:ascii="Arial" w:hAnsi="Arial" w:cs="Arial"/>
                <w:bCs/>
                <w:szCs w:val="22"/>
              </w:rPr>
            </w:pPr>
            <w:r w:rsidRPr="00304864">
              <w:rPr>
                <w:rFonts w:ascii="Arial" w:hAnsi="Arial" w:cs="Arial"/>
                <w:bCs/>
                <w:sz w:val="22"/>
                <w:szCs w:val="22"/>
              </w:rPr>
              <w:t>Traditional sectors, such as vessel construction, logistics and fisheries;</w:t>
            </w:r>
          </w:p>
          <w:p w:rsidR="00DF4E40" w:rsidRPr="00304864" w:rsidRDefault="00DF4E40" w:rsidP="00A30AEC">
            <w:pPr>
              <w:pStyle w:val="Text4"/>
              <w:numPr>
                <w:ilvl w:val="0"/>
                <w:numId w:val="129"/>
              </w:numPr>
              <w:ind w:left="459"/>
              <w:rPr>
                <w:rFonts w:ascii="Arial" w:hAnsi="Arial" w:cs="Arial"/>
                <w:bCs/>
                <w:szCs w:val="22"/>
              </w:rPr>
            </w:pPr>
            <w:r w:rsidRPr="00304864">
              <w:rPr>
                <w:rFonts w:ascii="Arial" w:hAnsi="Arial" w:cs="Arial"/>
                <w:bCs/>
                <w:sz w:val="22"/>
                <w:szCs w:val="22"/>
              </w:rPr>
              <w:t>Emerging sectors, such as blue technologies including maritime biotechnology and aquaculture, robotics, materials, monitoring of the sea, on green sea mobility, deep sea resources, biosecurity and bio-technologies etc.;</w:t>
            </w:r>
          </w:p>
          <w:p w:rsidR="00DF4E40" w:rsidRPr="00304864" w:rsidRDefault="00DF4E40" w:rsidP="00A30AEC">
            <w:pPr>
              <w:pStyle w:val="Text4"/>
              <w:numPr>
                <w:ilvl w:val="0"/>
                <w:numId w:val="129"/>
              </w:numPr>
              <w:ind w:left="459"/>
              <w:rPr>
                <w:rFonts w:ascii="Arial" w:hAnsi="Arial" w:cs="Arial"/>
                <w:bCs/>
                <w:szCs w:val="22"/>
              </w:rPr>
            </w:pPr>
            <w:r w:rsidRPr="00304864">
              <w:rPr>
                <w:rFonts w:ascii="Arial" w:hAnsi="Arial" w:cs="Arial"/>
                <w:bCs/>
                <w:sz w:val="22"/>
                <w:szCs w:val="22"/>
              </w:rPr>
              <w:t>Environmental and energy technologies (“clean-tech” and “environ-tech”, RES, e-services);</w:t>
            </w:r>
          </w:p>
          <w:p w:rsidR="00DF4E40" w:rsidRPr="00304864" w:rsidRDefault="00DF4E40" w:rsidP="00A30AEC">
            <w:pPr>
              <w:pStyle w:val="Text4"/>
              <w:numPr>
                <w:ilvl w:val="0"/>
                <w:numId w:val="129"/>
              </w:numPr>
              <w:ind w:left="459"/>
              <w:rPr>
                <w:rFonts w:ascii="Arial" w:hAnsi="Arial" w:cs="Arial"/>
                <w:bCs/>
                <w:szCs w:val="22"/>
              </w:rPr>
            </w:pPr>
            <w:r w:rsidRPr="00304864">
              <w:rPr>
                <w:rFonts w:ascii="Arial" w:hAnsi="Arial" w:cs="Arial"/>
                <w:bCs/>
                <w:sz w:val="22"/>
                <w:szCs w:val="22"/>
              </w:rPr>
              <w:t>Tourism, nature and cultural heritage (product and process innovations, sustainable tourist flow management, applications for potential and current visitors, creative industries, social innovation, traditional knowledge in skills);</w:t>
            </w:r>
          </w:p>
          <w:p w:rsidR="00DF4E40" w:rsidRPr="00304864" w:rsidRDefault="00DF4E40" w:rsidP="00A30AEC">
            <w:pPr>
              <w:pStyle w:val="Text4"/>
              <w:numPr>
                <w:ilvl w:val="0"/>
                <w:numId w:val="129"/>
              </w:numPr>
              <w:ind w:left="459"/>
              <w:rPr>
                <w:rFonts w:ascii="Arial" w:hAnsi="Arial" w:cs="Arial"/>
                <w:bCs/>
                <w:szCs w:val="22"/>
              </w:rPr>
            </w:pPr>
            <w:r w:rsidRPr="00304864">
              <w:rPr>
                <w:rFonts w:ascii="Arial" w:hAnsi="Arial" w:cs="Arial"/>
                <w:bCs/>
                <w:sz w:val="22"/>
                <w:szCs w:val="22"/>
              </w:rPr>
              <w:t>E-governance and e-tools for management, procurement and services to the citizens.</w:t>
            </w:r>
          </w:p>
          <w:p w:rsidR="00DF4E40" w:rsidRPr="00304864" w:rsidRDefault="00DF4E40">
            <w:pPr>
              <w:autoSpaceDE w:val="0"/>
              <w:autoSpaceDN w:val="0"/>
              <w:adjustRightInd w:val="0"/>
              <w:jc w:val="left"/>
              <w:rPr>
                <w:rFonts w:ascii="Arial" w:hAnsi="Arial" w:cs="Arial"/>
                <w:color w:val="000000"/>
                <w:szCs w:val="22"/>
                <w:lang w:eastAsia="it-IT"/>
              </w:rPr>
            </w:pPr>
          </w:p>
          <w:p w:rsidR="00DF4E40" w:rsidRPr="00304864" w:rsidRDefault="00DF4E40">
            <w:pPr>
              <w:pStyle w:val="Text4"/>
              <w:ind w:left="0"/>
              <w:rPr>
                <w:rFonts w:ascii="Arial" w:hAnsi="Arial" w:cs="Arial"/>
                <w:b/>
                <w:bCs/>
                <w:szCs w:val="22"/>
              </w:rPr>
            </w:pPr>
            <w:r w:rsidRPr="00304864">
              <w:rPr>
                <w:rFonts w:ascii="Arial" w:hAnsi="Arial" w:cs="Arial"/>
                <w:b/>
                <w:bCs/>
                <w:sz w:val="22"/>
                <w:szCs w:val="22"/>
              </w:rPr>
              <w:t>The expected results can be seen in:</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 xml:space="preserve">Common understanding among ADRION </w:t>
            </w:r>
            <w:r w:rsidRPr="00A30AEC">
              <w:rPr>
                <w:rFonts w:ascii="Arial" w:hAnsi="Arial" w:cs="Arial"/>
                <w:bCs/>
                <w:sz w:val="22"/>
                <w:szCs w:val="22"/>
              </w:rPr>
              <w:t>Partner States on the potential fields of transnational innovation actions and fostering diffusion and uptake of innovation;</w:t>
            </w:r>
          </w:p>
          <w:p w:rsidR="00DF4E40" w:rsidRPr="00A30AEC" w:rsidRDefault="00DF4E40" w:rsidP="00A30AEC">
            <w:pPr>
              <w:pStyle w:val="Text4"/>
              <w:numPr>
                <w:ilvl w:val="0"/>
                <w:numId w:val="129"/>
              </w:numPr>
              <w:ind w:left="459"/>
              <w:rPr>
                <w:rFonts w:ascii="Arial" w:hAnsi="Arial" w:cs="Arial"/>
                <w:bCs/>
                <w:sz w:val="22"/>
                <w:szCs w:val="22"/>
              </w:rPr>
            </w:pPr>
            <w:r w:rsidRPr="00304864">
              <w:rPr>
                <w:rFonts w:ascii="Arial" w:hAnsi="Arial" w:cs="Arial"/>
                <w:bCs/>
                <w:sz w:val="22"/>
                <w:szCs w:val="22"/>
              </w:rPr>
              <w:t>Enhancement of the competencies/skills of the stakeholders and involved parties;</w:t>
            </w:r>
          </w:p>
          <w:p w:rsidR="00DF4E40" w:rsidRPr="00A30AEC" w:rsidRDefault="00DF4E40" w:rsidP="00A30AEC">
            <w:pPr>
              <w:pStyle w:val="Text4"/>
              <w:numPr>
                <w:ilvl w:val="0"/>
                <w:numId w:val="129"/>
              </w:numPr>
              <w:ind w:left="459"/>
              <w:rPr>
                <w:rFonts w:ascii="Arial" w:hAnsi="Arial" w:cs="Arial"/>
                <w:bCs/>
                <w:sz w:val="22"/>
                <w:szCs w:val="22"/>
              </w:rPr>
            </w:pPr>
            <w:r w:rsidRPr="00304864">
              <w:rPr>
                <w:rFonts w:ascii="Arial" w:hAnsi="Arial" w:cs="Arial"/>
                <w:bCs/>
                <w:sz w:val="22"/>
                <w:szCs w:val="22"/>
              </w:rPr>
              <w:t>Improvement of the framework conditions (awareness and foresight, legal, economic aspects, innovation governance, organisational issues, policy solutions, technology impact assessments);</w:t>
            </w:r>
          </w:p>
          <w:p w:rsidR="00DF4E40" w:rsidRPr="00A30AEC" w:rsidRDefault="00DF4E40" w:rsidP="00A30AEC">
            <w:pPr>
              <w:pStyle w:val="Text4"/>
              <w:numPr>
                <w:ilvl w:val="0"/>
                <w:numId w:val="129"/>
              </w:numPr>
              <w:ind w:left="459"/>
              <w:rPr>
                <w:rFonts w:ascii="Arial" w:hAnsi="Arial" w:cs="Arial"/>
                <w:bCs/>
                <w:sz w:val="22"/>
                <w:szCs w:val="22"/>
              </w:rPr>
            </w:pPr>
            <w:r w:rsidRPr="00304864">
              <w:rPr>
                <w:rFonts w:ascii="Arial" w:hAnsi="Arial" w:cs="Arial"/>
                <w:bCs/>
                <w:sz w:val="22"/>
                <w:szCs w:val="22"/>
              </w:rPr>
              <w:t>Mobilisation of stakeholders in the fields of research, innovation and utilisation in order to increase knowledge transfer between business, users, academia and administration actors (quadruple helix approach);</w:t>
            </w:r>
          </w:p>
          <w:p w:rsidR="00DF4E40" w:rsidRPr="00A30AEC" w:rsidRDefault="00DF4E40" w:rsidP="00A30AEC">
            <w:pPr>
              <w:pStyle w:val="Text4"/>
              <w:numPr>
                <w:ilvl w:val="0"/>
                <w:numId w:val="129"/>
              </w:numPr>
              <w:ind w:left="459"/>
              <w:rPr>
                <w:rFonts w:ascii="Arial" w:hAnsi="Arial" w:cs="Arial"/>
                <w:bCs/>
                <w:sz w:val="22"/>
                <w:szCs w:val="22"/>
              </w:rPr>
            </w:pPr>
            <w:r w:rsidRPr="00304864">
              <w:rPr>
                <w:rFonts w:ascii="Arial" w:hAnsi="Arial" w:cs="Arial"/>
                <w:bCs/>
                <w:sz w:val="22"/>
                <w:szCs w:val="22"/>
              </w:rPr>
              <w:t xml:space="preserve">Identification of emerging market opportunities in relation to the programme area competitive advantages, the fields of the EUSAIR and the smart specialisation strategies of the regions in order to develop an ADRION </w:t>
            </w:r>
            <w:r w:rsidR="00BE6768">
              <w:rPr>
                <w:rFonts w:ascii="Arial" w:hAnsi="Arial" w:cs="Arial"/>
                <w:bCs/>
                <w:sz w:val="22"/>
                <w:szCs w:val="22"/>
              </w:rPr>
              <w:t>“</w:t>
            </w:r>
            <w:r w:rsidRPr="00304864">
              <w:rPr>
                <w:rFonts w:ascii="Arial" w:hAnsi="Arial" w:cs="Arial"/>
                <w:bCs/>
                <w:sz w:val="22"/>
                <w:szCs w:val="22"/>
              </w:rPr>
              <w:t>critical mass”;</w:t>
            </w:r>
          </w:p>
          <w:p w:rsidR="00DF4E40" w:rsidRPr="00304864" w:rsidRDefault="00DF4E40" w:rsidP="00A30AEC">
            <w:pPr>
              <w:pStyle w:val="Text4"/>
              <w:numPr>
                <w:ilvl w:val="0"/>
                <w:numId w:val="129"/>
              </w:numPr>
              <w:ind w:left="459"/>
              <w:rPr>
                <w:rFonts w:ascii="Arial" w:hAnsi="Arial" w:cs="Arial"/>
                <w:szCs w:val="22"/>
              </w:rPr>
            </w:pPr>
            <w:r w:rsidRPr="00304864">
              <w:rPr>
                <w:rFonts w:ascii="Arial" w:hAnsi="Arial" w:cs="Arial"/>
                <w:bCs/>
                <w:sz w:val="22"/>
                <w:szCs w:val="22"/>
              </w:rPr>
              <w:t>Better coordinated innovation policies and strategies e.g. at the RIS level.</w:t>
            </w:r>
          </w:p>
        </w:tc>
      </w:tr>
    </w:tbl>
    <w:p w:rsidR="00DF4E40" w:rsidRPr="00304864" w:rsidRDefault="00DF4E40">
      <w:pPr>
        <w:rPr>
          <w:rFonts w:ascii="Arial" w:hAnsi="Arial" w:cs="Arial"/>
          <w:sz w:val="22"/>
          <w:szCs w:val="22"/>
        </w:rPr>
      </w:pPr>
    </w:p>
    <w:p w:rsidR="00F92654" w:rsidRDefault="00F92654">
      <w:pPr>
        <w:pStyle w:val="ListBullet"/>
        <w:rPr>
          <w:rFonts w:ascii="Arial" w:hAnsi="Arial" w:cs="Arial"/>
          <w:sz w:val="22"/>
          <w:szCs w:val="22"/>
        </w:rPr>
        <w:sectPr w:rsidR="00F92654" w:rsidSect="00A961B0">
          <w:pgSz w:w="11906" w:h="16838"/>
          <w:pgMar w:top="1417" w:right="1134" w:bottom="1134" w:left="1134" w:header="601" w:footer="1077" w:gutter="0"/>
          <w:cols w:space="720"/>
          <w:docGrid w:linePitch="326"/>
        </w:sectPr>
      </w:pPr>
    </w:p>
    <w:p w:rsidR="00DF4E40" w:rsidRPr="00304864" w:rsidRDefault="00DF4E40">
      <w:pPr>
        <w:rPr>
          <w:rFonts w:ascii="Arial" w:hAnsi="Arial" w:cs="Arial"/>
          <w:i/>
          <w:sz w:val="22"/>
          <w:szCs w:val="22"/>
        </w:rPr>
      </w:pPr>
      <w:r w:rsidRPr="00304864">
        <w:rPr>
          <w:rFonts w:ascii="Arial" w:hAnsi="Arial" w:cs="Arial"/>
          <w:b/>
          <w:sz w:val="22"/>
          <w:szCs w:val="22"/>
        </w:rPr>
        <w:t xml:space="preserve">Table3: Programme specific result indicators </w:t>
      </w:r>
      <w:r w:rsidRPr="00304864">
        <w:rPr>
          <w:rFonts w:ascii="Arial" w:hAnsi="Arial" w:cs="Arial"/>
          <w:i/>
          <w:sz w:val="22"/>
          <w:szCs w:val="22"/>
        </w:rPr>
        <w:t>(by specific objective)</w:t>
      </w:r>
    </w:p>
    <w:p w:rsidR="00DF4E40" w:rsidRPr="00A30AEC" w:rsidRDefault="00DF4E40">
      <w:pPr>
        <w:rPr>
          <w:rFonts w:ascii="Arial" w:hAnsi="Arial" w:cs="Arial"/>
          <w:sz w:val="22"/>
          <w:szCs w:val="22"/>
        </w:rPr>
      </w:pPr>
      <w:r w:rsidRPr="00A30AEC">
        <w:rPr>
          <w:rFonts w:ascii="Arial" w:hAnsi="Arial" w:cs="Arial"/>
          <w:sz w:val="22"/>
          <w:szCs w:val="22"/>
        </w:rPr>
        <w:t>(Reference: point (b)(ii) of Article 8(2) of Regulation (EU) No 1299/2013)</w:t>
      </w:r>
    </w:p>
    <w:p w:rsidR="00DF4E40" w:rsidRPr="00304864" w:rsidRDefault="00DF4E40">
      <w:pPr>
        <w:rPr>
          <w:rFonts w:ascii="Arial" w:hAnsi="Arial" w:cs="Arial"/>
          <w:i/>
          <w:sz w:val="22"/>
          <w:szCs w:val="22"/>
        </w:rPr>
      </w:pPr>
      <w:r w:rsidRPr="00304864">
        <w:rPr>
          <w:rFonts w:ascii="Arial" w:hAnsi="Arial" w:cs="Arial"/>
          <w:i/>
          <w:sz w:val="22"/>
          <w:szCs w:val="22"/>
        </w:rPr>
        <w:t>One (if possible) and no more than two result indicators should be used for each specific objective.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6"/>
        <w:gridCol w:w="3464"/>
        <w:gridCol w:w="2394"/>
        <w:gridCol w:w="1365"/>
        <w:gridCol w:w="1226"/>
        <w:gridCol w:w="1401"/>
        <w:gridCol w:w="1785"/>
        <w:gridCol w:w="1885"/>
      </w:tblGrid>
      <w:tr w:rsidR="00AD02BA" w:rsidRPr="00304864" w:rsidTr="00AD02BA">
        <w:trPr>
          <w:trHeight w:val="1943"/>
          <w:jc w:val="center"/>
        </w:trPr>
        <w:tc>
          <w:tcPr>
            <w:tcW w:w="434"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117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Result Indicator</w:t>
            </w:r>
          </w:p>
        </w:tc>
        <w:tc>
          <w:tcPr>
            <w:tcW w:w="815"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46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Value</w:t>
            </w:r>
          </w:p>
        </w:tc>
        <w:tc>
          <w:tcPr>
            <w:tcW w:w="420"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Year</w:t>
            </w:r>
          </w:p>
        </w:tc>
        <w:tc>
          <w:tcPr>
            <w:tcW w:w="435"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w:t>
            </w:r>
            <w:r w:rsidRPr="00304864">
              <w:rPr>
                <w:rStyle w:val="FootnoteReference"/>
                <w:rFonts w:ascii="Arial" w:hAnsi="Arial" w:cs="Arial"/>
                <w:b/>
                <w:sz w:val="20"/>
              </w:rPr>
              <w:footnoteReference w:id="9"/>
            </w:r>
            <w:r w:rsidRPr="00304864">
              <w:rPr>
                <w:rFonts w:ascii="Arial" w:hAnsi="Arial" w:cs="Arial"/>
                <w:b/>
                <w:sz w:val="20"/>
              </w:rPr>
              <w:t>(2023)</w:t>
            </w:r>
          </w:p>
          <w:p w:rsidR="00DF4E40" w:rsidRPr="00304864" w:rsidRDefault="00DF4E40">
            <w:pPr>
              <w:jc w:val="center"/>
              <w:rPr>
                <w:rFonts w:ascii="Arial" w:hAnsi="Arial" w:cs="Arial"/>
                <w:i/>
                <w:sz w:val="20"/>
              </w:rPr>
            </w:pPr>
            <w:r w:rsidRPr="00304864">
              <w:rPr>
                <w:rFonts w:ascii="Arial" w:hAnsi="Arial" w:cs="Arial"/>
                <w:i/>
                <w:sz w:val="20"/>
              </w:rPr>
              <w:t>100 char. Max</w:t>
            </w:r>
          </w:p>
        </w:tc>
        <w:tc>
          <w:tcPr>
            <w:tcW w:w="609"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rsidP="00A30AEC">
            <w:pPr>
              <w:jc w:val="center"/>
              <w:rPr>
                <w:rFonts w:ascii="Arial" w:hAnsi="Arial" w:cs="Arial"/>
                <w:i/>
                <w:sz w:val="20"/>
              </w:rPr>
            </w:pPr>
            <w:r w:rsidRPr="00304864">
              <w:rPr>
                <w:rFonts w:ascii="Arial" w:hAnsi="Arial" w:cs="Arial"/>
                <w:i/>
                <w:sz w:val="20"/>
              </w:rPr>
              <w:t>200 char. max</w:t>
            </w:r>
          </w:p>
        </w:tc>
        <w:tc>
          <w:tcPr>
            <w:tcW w:w="643"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rsidP="00A30AEC">
            <w:pPr>
              <w:jc w:val="center"/>
              <w:rPr>
                <w:rFonts w:ascii="Arial" w:hAnsi="Arial" w:cs="Arial"/>
                <w:i/>
                <w:sz w:val="20"/>
              </w:rPr>
            </w:pPr>
            <w:r w:rsidRPr="00304864">
              <w:rPr>
                <w:rFonts w:ascii="Arial" w:hAnsi="Arial" w:cs="Arial"/>
                <w:i/>
                <w:sz w:val="20"/>
              </w:rPr>
              <w:t>100 char. max</w:t>
            </w:r>
          </w:p>
        </w:tc>
      </w:tr>
      <w:tr w:rsidR="00DF4E40" w:rsidRPr="00304864" w:rsidTr="00C779B8">
        <w:trPr>
          <w:trHeight w:val="548"/>
          <w:jc w:val="center"/>
        </w:trPr>
        <w:tc>
          <w:tcPr>
            <w:tcW w:w="434" w:type="pct"/>
            <w:shd w:val="clear" w:color="auto" w:fill="C6D9F1" w:themeFill="text2" w:themeFillTint="33"/>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1b.1</w:t>
            </w:r>
          </w:p>
        </w:tc>
        <w:tc>
          <w:tcPr>
            <w:tcW w:w="1177" w:type="pct"/>
            <w:vAlign w:val="center"/>
          </w:tcPr>
          <w:p w:rsidR="00DF4E40" w:rsidRPr="00304864" w:rsidRDefault="00DF4E40" w:rsidP="00A30AEC">
            <w:pPr>
              <w:jc w:val="center"/>
              <w:rPr>
                <w:rFonts w:ascii="Arial" w:hAnsi="Arial" w:cs="Arial"/>
                <w:color w:val="000000"/>
                <w:sz w:val="20"/>
                <w:lang w:eastAsia="de-DE"/>
              </w:rPr>
            </w:pPr>
            <w:r w:rsidRPr="00304864">
              <w:rPr>
                <w:rFonts w:ascii="Arial" w:hAnsi="Arial" w:cs="Arial"/>
                <w:color w:val="000000"/>
                <w:sz w:val="20"/>
              </w:rPr>
              <w:t>Level of capacity of key innovation actors to be effectively involved in transnational actions for the development of a regional Innovation system</w:t>
            </w:r>
          </w:p>
        </w:tc>
        <w:tc>
          <w:tcPr>
            <w:tcW w:w="815" w:type="pct"/>
            <w:vAlign w:val="center"/>
          </w:tcPr>
          <w:p w:rsidR="00DF4E40" w:rsidRPr="00304864" w:rsidRDefault="00DF4E40" w:rsidP="00A30AEC">
            <w:pPr>
              <w:jc w:val="center"/>
              <w:rPr>
                <w:rFonts w:ascii="Arial" w:hAnsi="Arial" w:cs="Arial"/>
                <w:color w:val="000000"/>
                <w:sz w:val="20"/>
                <w:lang w:eastAsia="de-DE"/>
              </w:rPr>
            </w:pPr>
            <w:r w:rsidRPr="00304864">
              <w:rPr>
                <w:rFonts w:ascii="Arial" w:hAnsi="Arial" w:cs="Arial"/>
                <w:color w:val="000000"/>
                <w:sz w:val="20"/>
              </w:rPr>
              <w:t>%</w:t>
            </w:r>
          </w:p>
        </w:tc>
        <w:tc>
          <w:tcPr>
            <w:tcW w:w="467"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60,19%</w:t>
            </w:r>
          </w:p>
        </w:tc>
        <w:tc>
          <w:tcPr>
            <w:tcW w:w="420"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2014</w:t>
            </w:r>
          </w:p>
        </w:tc>
        <w:tc>
          <w:tcPr>
            <w:tcW w:w="435"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Increase</w:t>
            </w:r>
          </w:p>
        </w:tc>
        <w:tc>
          <w:tcPr>
            <w:tcW w:w="609"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Survey</w:t>
            </w:r>
          </w:p>
        </w:tc>
        <w:tc>
          <w:tcPr>
            <w:tcW w:w="643"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2018</w:t>
            </w:r>
          </w:p>
          <w:p w:rsidR="00DF4E40" w:rsidRPr="00304864" w:rsidRDefault="00DF4E40">
            <w:pPr>
              <w:jc w:val="center"/>
              <w:rPr>
                <w:rFonts w:ascii="Arial" w:hAnsi="Arial" w:cs="Arial"/>
                <w:color w:val="000000"/>
                <w:sz w:val="20"/>
              </w:rPr>
            </w:pPr>
            <w:r w:rsidRPr="00304864">
              <w:rPr>
                <w:rFonts w:ascii="Arial" w:hAnsi="Arial" w:cs="Arial"/>
                <w:color w:val="000000"/>
                <w:sz w:val="20"/>
              </w:rPr>
              <w:t>2020</w:t>
            </w:r>
          </w:p>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2023</w:t>
            </w:r>
          </w:p>
        </w:tc>
      </w:tr>
    </w:tbl>
    <w:p w:rsidR="00F92654" w:rsidRDefault="00F92654">
      <w:pPr>
        <w:pStyle w:val="Text3"/>
        <w:rPr>
          <w:rFonts w:ascii="Arial" w:hAnsi="Arial" w:cs="Arial"/>
          <w:sz w:val="22"/>
          <w:szCs w:val="22"/>
          <w:lang w:eastAsia="fr-BE"/>
        </w:rPr>
        <w:sectPr w:rsidR="00F92654" w:rsidSect="00A961B0">
          <w:pgSz w:w="16838" w:h="11906" w:orient="landscape"/>
          <w:pgMar w:top="1417" w:right="1134" w:bottom="1134" w:left="1134" w:header="601" w:footer="1077" w:gutter="0"/>
          <w:cols w:space="720"/>
          <w:docGrid w:linePitch="326"/>
        </w:sectPr>
      </w:pPr>
    </w:p>
    <w:p w:rsidR="00DF4E40" w:rsidRPr="00A30AEC" w:rsidRDefault="00DF4E40" w:rsidP="00A30AEC">
      <w:pPr>
        <w:pStyle w:val="Heading3"/>
        <w:spacing w:before="0" w:after="120"/>
        <w:ind w:left="0"/>
        <w:rPr>
          <w:rFonts w:ascii="Arial" w:hAnsi="Arial" w:cs="Arial"/>
          <w:b w:val="0"/>
          <w:color w:val="002060"/>
          <w:sz w:val="22"/>
          <w:szCs w:val="22"/>
        </w:rPr>
      </w:pPr>
      <w:bookmarkStart w:id="106" w:name="_Toc365660123"/>
      <w:bookmarkStart w:id="107" w:name="_Toc366097038"/>
      <w:bookmarkStart w:id="108" w:name="_Toc377402552"/>
      <w:bookmarkStart w:id="109" w:name="_Toc420652497"/>
      <w:bookmarkStart w:id="110" w:name="_Toc421076849"/>
      <w:r w:rsidRPr="00A30AEC">
        <w:rPr>
          <w:rFonts w:ascii="Arial" w:hAnsi="Arial" w:cs="Arial"/>
          <w:b w:val="0"/>
          <w:color w:val="002060"/>
          <w:sz w:val="22"/>
          <w:szCs w:val="22"/>
        </w:rPr>
        <w:t>2.A.6.Actions to be supported under the investment priority</w:t>
      </w:r>
      <w:bookmarkEnd w:id="106"/>
      <w:bookmarkEnd w:id="107"/>
      <w:bookmarkEnd w:id="108"/>
      <w:bookmarkEnd w:id="109"/>
      <w:bookmarkEnd w:id="110"/>
    </w:p>
    <w:p w:rsidR="007142EE" w:rsidRDefault="007142EE" w:rsidP="00A30AEC">
      <w:pPr>
        <w:pStyle w:val="Text3"/>
        <w:ind w:left="0"/>
        <w:rPr>
          <w:lang w:eastAsia="sv-SE"/>
        </w:rPr>
      </w:pPr>
    </w:p>
    <w:p w:rsidR="007142EE" w:rsidRPr="00A30AEC" w:rsidRDefault="007142EE" w:rsidP="00A30AEC">
      <w:pPr>
        <w:pStyle w:val="Text3"/>
        <w:ind w:left="0"/>
        <w:rPr>
          <w:lang w:eastAsia="sv-SE"/>
        </w:rPr>
      </w:pPr>
    </w:p>
    <w:p w:rsidR="00DF4E40" w:rsidRPr="00A30AEC" w:rsidRDefault="00DF4E40" w:rsidP="00A30AEC">
      <w:pPr>
        <w:pStyle w:val="Heading2"/>
        <w:spacing w:after="120"/>
        <w:rPr>
          <w:color w:val="17365D"/>
        </w:rPr>
      </w:pPr>
      <w:bookmarkStart w:id="111" w:name="_Toc421076850"/>
      <w:bookmarkStart w:id="112" w:name="_Toc365660124"/>
      <w:bookmarkStart w:id="113" w:name="_Toc420652498"/>
      <w:r w:rsidRPr="00A30AEC">
        <w:rPr>
          <w:color w:val="17365D"/>
        </w:rPr>
        <w:t xml:space="preserve">2.A.6.1 </w:t>
      </w:r>
      <w:r w:rsidR="00751DA6" w:rsidRPr="00587306">
        <w:rPr>
          <w:color w:val="17365D"/>
        </w:rPr>
        <w:tab/>
      </w:r>
      <w:r w:rsidRPr="00A30AEC">
        <w:rPr>
          <w:color w:val="17365D"/>
        </w:rPr>
        <w:t xml:space="preserve">A description of the </w:t>
      </w:r>
      <w:r w:rsidRPr="00587306">
        <w:t xml:space="preserve">type </w:t>
      </w:r>
      <w:r w:rsidR="00C64070" w:rsidRPr="00A30AEC">
        <w:t>and examples of actions  to be supported and theirexpected contribution to the specific objectives, including, where appropriate,identification of the main target groups, specific territories targeted and types ofbeneficiaries</w:t>
      </w:r>
      <w:bookmarkEnd w:id="111"/>
      <w:bookmarkEnd w:id="112"/>
      <w:bookmarkEnd w:id="113"/>
    </w:p>
    <w:p w:rsidR="00DF4E40" w:rsidRPr="00A30AEC" w:rsidRDefault="00DF4E40">
      <w:pPr>
        <w:rPr>
          <w:rFonts w:ascii="Arial" w:hAnsi="Arial" w:cs="Arial"/>
          <w:sz w:val="22"/>
          <w:szCs w:val="22"/>
        </w:rPr>
      </w:pPr>
      <w:r w:rsidRPr="00A30AEC">
        <w:rPr>
          <w:rFonts w:ascii="Arial" w:hAnsi="Arial" w:cs="Arial"/>
          <w:sz w:val="22"/>
          <w:szCs w:val="22"/>
        </w:rPr>
        <w:t>Reference: point (b)(iii) of Article 8(2) of Regulation (EU) No 1299/2013)</w:t>
      </w:r>
    </w:p>
    <w:p w:rsidR="000C7309" w:rsidRPr="00304864" w:rsidRDefault="000C7309">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Priority1.b</w:t>
            </w:r>
          </w:p>
        </w:tc>
        <w:tc>
          <w:tcPr>
            <w:tcW w:w="6484"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 xml:space="preserve">Promoting business investment in R&amp;I, developing links and synergies between enterprises, research and development centres and the higher education sector </w:t>
            </w:r>
            <w:r w:rsidRPr="00304864">
              <w:rPr>
                <w:rFonts w:ascii="Arial" w:hAnsi="Arial" w:cs="Arial"/>
                <w:b/>
                <w:bCs/>
                <w:sz w:val="22"/>
                <w:szCs w:val="22"/>
              </w:rPr>
              <w:t>(…)</w:t>
            </w:r>
          </w:p>
        </w:tc>
      </w:tr>
      <w:tr w:rsidR="00DF4E40" w:rsidRPr="00304864" w:rsidTr="00272857">
        <w:tc>
          <w:tcPr>
            <w:tcW w:w="9286" w:type="dxa"/>
            <w:gridSpan w:val="2"/>
          </w:tcPr>
          <w:p w:rsidR="00DF4E40" w:rsidRPr="00304864" w:rsidRDefault="00DF4E40">
            <w:pPr>
              <w:pStyle w:val="ListParagraph"/>
              <w:ind w:left="0"/>
              <w:rPr>
                <w:rFonts w:ascii="Arial" w:hAnsi="Arial" w:cs="Arial"/>
                <w:b/>
                <w:szCs w:val="22"/>
                <w:lang w:val="en-GB"/>
              </w:rPr>
            </w:pPr>
            <w:r w:rsidRPr="00304864">
              <w:rPr>
                <w:rFonts w:ascii="Arial" w:hAnsi="Arial" w:cs="Arial"/>
                <w:b/>
                <w:sz w:val="22"/>
                <w:szCs w:val="22"/>
                <w:lang w:val="en-GB"/>
              </w:rPr>
              <w:t>Indicative actions to be supported are:</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Establishment of transnational innovation networks in order to visualise possible options for cooperation in the ADRION area, identify relevant sectors of common interest, map existing research and innovation resources, and secure coordination with the EUSAIR, regional and national RIS3 strategies, innovation governance initiatives and competence networks;</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Analysis of the framework conditions for innovation (legal, financial, administrative, technical, social, cultural and environmental) in order to define the “feasible domain” for innovation in the ADRION area;</w:t>
            </w:r>
          </w:p>
          <w:p w:rsidR="00DF4E40" w:rsidRPr="00304864" w:rsidRDefault="00DF4E40" w:rsidP="00A30AEC">
            <w:pPr>
              <w:pStyle w:val="ListParagraph"/>
              <w:numPr>
                <w:ilvl w:val="0"/>
                <w:numId w:val="121"/>
              </w:numPr>
              <w:ind w:left="284" w:hanging="284"/>
              <w:rPr>
                <w:rFonts w:ascii="Arial" w:hAnsi="Arial" w:cs="Arial"/>
                <w:szCs w:val="22"/>
                <w:lang w:val="en-GB"/>
              </w:rPr>
            </w:pPr>
            <w:r w:rsidRPr="00304864">
              <w:rPr>
                <w:rFonts w:ascii="Arial" w:hAnsi="Arial" w:cs="Arial"/>
                <w:bCs/>
                <w:sz w:val="22"/>
                <w:szCs w:val="22"/>
                <w:lang w:val="en-GB"/>
              </w:rPr>
              <w:t>Development of framework structures related to the consultation on legal, intellectual property, technical and financial issues and provision of related services especially for SMEs (including start-ups, spin-offs, collaborations), such as the support for</w:t>
            </w:r>
            <w:r w:rsidRPr="00304864">
              <w:rPr>
                <w:rFonts w:ascii="Arial" w:hAnsi="Arial" w:cs="Arial"/>
                <w:sz w:val="22"/>
                <w:szCs w:val="22"/>
                <w:lang w:val="en-GB"/>
              </w:rPr>
              <w:t xml:space="preserve"> Identifying access schemes to financial engineering for proof of concept mechanisms for start-ups;</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Development of actions for raising competencies/skills of the stakeholders specially focusing on the involvement of partners from candidate and potential candidate countries including education and training concepts for the uptake and diffusion of innovation and circular knowledge management</w:t>
            </w:r>
            <w:r w:rsidRPr="00304864">
              <w:rPr>
                <w:rFonts w:ascii="Arial" w:hAnsi="Arial" w:cs="Arial"/>
                <w:sz w:val="22"/>
                <w:szCs w:val="22"/>
              </w:rPr>
              <w:t xml:space="preserve"> promoting the mobility of Researchers and PhD candidates in the ADRION region;</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Development of platforms for knowledge sharing (knowledge innovative communities, data clouds) and creation of functional networks of joint distributed research facilities;</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Development of transnational “quadruple helix” clusters in common interest fields addressing all stages of the innovation cycle, including idea generation, conception and prototyping, transfer, patenting, commercialization, etc.</w:t>
            </w:r>
            <w:r w:rsidR="00BE6768">
              <w:rPr>
                <w:rFonts w:ascii="Arial" w:hAnsi="Arial" w:cs="Arial"/>
                <w:bCs/>
                <w:sz w:val="22"/>
                <w:szCs w:val="22"/>
              </w:rPr>
              <w:t>;</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Development of transnational models for the design, testing, up-scaling, comparison and evaluation of innovations (policies, tools, processes, actors, organisations and interfaces);</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Development of transnationally designed products, services, investment models and funding support instruments of business support centres, chambers of commerce, public administration and financing institutions;</w:t>
            </w:r>
          </w:p>
          <w:p w:rsidR="00DF4E40" w:rsidRPr="00304864" w:rsidRDefault="00DF4E40" w:rsidP="00A30AEC">
            <w:pPr>
              <w:pStyle w:val="Text4"/>
              <w:numPr>
                <w:ilvl w:val="0"/>
                <w:numId w:val="121"/>
              </w:numPr>
              <w:ind w:left="284" w:hanging="284"/>
              <w:rPr>
                <w:rFonts w:ascii="Arial" w:hAnsi="Arial" w:cs="Arial"/>
                <w:bCs/>
                <w:szCs w:val="22"/>
              </w:rPr>
            </w:pPr>
            <w:r w:rsidRPr="00304864">
              <w:rPr>
                <w:rFonts w:ascii="Arial" w:hAnsi="Arial" w:cs="Arial"/>
                <w:bCs/>
                <w:sz w:val="22"/>
                <w:szCs w:val="22"/>
              </w:rPr>
              <w:t>Development of strategies, schemes and tools for improving creativity and innovative approaches in the whole spectrum of the society including education, social services health, volunteer organisations and social enterprises;</w:t>
            </w:r>
          </w:p>
          <w:p w:rsidR="00DF4E40" w:rsidRPr="00304864" w:rsidRDefault="00DF4E40" w:rsidP="00A30AEC">
            <w:pPr>
              <w:pStyle w:val="ListParagraph"/>
              <w:numPr>
                <w:ilvl w:val="0"/>
                <w:numId w:val="121"/>
              </w:numPr>
              <w:ind w:left="284" w:hanging="284"/>
              <w:rPr>
                <w:rFonts w:ascii="Arial" w:hAnsi="Arial" w:cs="Arial"/>
                <w:color w:val="000000"/>
                <w:szCs w:val="22"/>
                <w:lang w:val="en-GB" w:eastAsia="it-IT"/>
              </w:rPr>
            </w:pPr>
            <w:r w:rsidRPr="00304864">
              <w:rPr>
                <w:rFonts w:ascii="Arial" w:hAnsi="Arial" w:cs="Arial"/>
                <w:sz w:val="22"/>
                <w:szCs w:val="22"/>
                <w:lang w:val="en-GB"/>
              </w:rPr>
              <w:t>Building up transnational networks for the transfer of knowledge among public administration on technological solutions;</w:t>
            </w:r>
          </w:p>
          <w:p w:rsidR="00DF4E40" w:rsidRPr="00304864" w:rsidRDefault="00DF4E40" w:rsidP="00A30AEC">
            <w:pPr>
              <w:pStyle w:val="ListParagraph"/>
              <w:numPr>
                <w:ilvl w:val="0"/>
                <w:numId w:val="121"/>
              </w:numPr>
              <w:ind w:left="284" w:hanging="284"/>
              <w:rPr>
                <w:rFonts w:ascii="Arial" w:hAnsi="Arial" w:cs="Arial"/>
                <w:color w:val="000000"/>
                <w:szCs w:val="22"/>
                <w:lang w:val="en-GB" w:eastAsia="it-IT"/>
              </w:rPr>
            </w:pPr>
            <w:r w:rsidRPr="00304864">
              <w:rPr>
                <w:rFonts w:ascii="Arial" w:hAnsi="Arial" w:cs="Arial"/>
                <w:color w:val="000000"/>
                <w:sz w:val="22"/>
                <w:szCs w:val="22"/>
                <w:lang w:val="en-GB" w:eastAsia="it-IT"/>
              </w:rPr>
              <w:t>Facilitating policy learning by integrating also results generated through previous EU initiatives related to innovation and cluster support, for instance the Regions of Knowledge (FP7) that promoted Europe-wide cooperation between public and private research centres, enterprises and authorities and supported regional research-driven clusters;</w:t>
            </w:r>
          </w:p>
          <w:p w:rsidR="00DF4E40" w:rsidRPr="00304864" w:rsidRDefault="00DF4E40" w:rsidP="00A30AEC">
            <w:pPr>
              <w:pStyle w:val="ListParagraph"/>
              <w:numPr>
                <w:ilvl w:val="0"/>
                <w:numId w:val="121"/>
              </w:numPr>
              <w:ind w:left="284" w:hanging="284"/>
              <w:rPr>
                <w:rFonts w:ascii="Arial" w:hAnsi="Arial" w:cs="Arial"/>
                <w:color w:val="000000"/>
                <w:szCs w:val="22"/>
                <w:lang w:val="en-GB" w:eastAsia="it-IT"/>
              </w:rPr>
            </w:pPr>
            <w:r w:rsidRPr="00304864">
              <w:rPr>
                <w:rFonts w:ascii="Arial" w:hAnsi="Arial" w:cs="Arial"/>
                <w:color w:val="000000"/>
                <w:sz w:val="22"/>
                <w:szCs w:val="22"/>
                <w:lang w:val="en-GB" w:eastAsia="it-IT"/>
              </w:rPr>
              <w:t>Promoting the development of eco-innovation technologies related to air quality and emission control (e.g. cleaner domestic combustion installations, fuel switching emission abatement technologies or power supply from the shore for vessels for sustainable ports.</w:t>
            </w:r>
          </w:p>
          <w:p w:rsidR="00DF4E40" w:rsidRPr="00304864" w:rsidRDefault="00DF4E40">
            <w:pPr>
              <w:pStyle w:val="Text4"/>
              <w:ind w:left="360"/>
              <w:rPr>
                <w:rFonts w:ascii="Arial" w:hAnsi="Arial" w:cs="Arial"/>
                <w:bCs/>
                <w:szCs w:val="22"/>
              </w:rPr>
            </w:pPr>
          </w:p>
          <w:p w:rsidR="00DF4E40" w:rsidRPr="00304864" w:rsidRDefault="00DF4E40">
            <w:pPr>
              <w:pStyle w:val="Text4"/>
              <w:ind w:left="0"/>
              <w:rPr>
                <w:rFonts w:ascii="Arial" w:hAnsi="Arial" w:cs="Arial"/>
                <w:b/>
                <w:bCs/>
                <w:szCs w:val="22"/>
              </w:rPr>
            </w:pPr>
            <w:r w:rsidRPr="00304864">
              <w:rPr>
                <w:rFonts w:ascii="Arial" w:hAnsi="Arial" w:cs="Arial"/>
                <w:b/>
                <w:bCs/>
                <w:sz w:val="22"/>
                <w:szCs w:val="22"/>
              </w:rPr>
              <w:t>Target groups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General public;</w:t>
            </w:r>
          </w:p>
          <w:p w:rsidR="00DF4E40" w:rsidRPr="00A30AEC" w:rsidRDefault="00DF4E40" w:rsidP="00A30AEC">
            <w:pPr>
              <w:pStyle w:val="ListParagraph"/>
              <w:numPr>
                <w:ilvl w:val="0"/>
                <w:numId w:val="130"/>
              </w:numPr>
              <w:ind w:left="426"/>
              <w:rPr>
                <w:rFonts w:ascii="Arial" w:hAnsi="Arial" w:cs="Arial"/>
                <w:color w:val="000000"/>
                <w:sz w:val="22"/>
                <w:szCs w:val="22"/>
                <w:lang w:val="en-US" w:eastAsia="it-IT"/>
              </w:rPr>
            </w:pPr>
            <w:r w:rsidRPr="00A30AEC">
              <w:rPr>
                <w:rFonts w:ascii="Arial" w:hAnsi="Arial" w:cs="Arial"/>
                <w:color w:val="000000"/>
                <w:sz w:val="22"/>
                <w:szCs w:val="22"/>
                <w:lang w:val="en-GB" w:eastAsia="it-IT"/>
              </w:rPr>
              <w:t>Those groups listed below under the caption “Indicative types of beneficiaries”;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Financial Institutions, Banks;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Enterprises, including SME.</w:t>
            </w:r>
          </w:p>
          <w:p w:rsidR="00DF4E40" w:rsidRPr="00304864" w:rsidRDefault="00DF4E40">
            <w:pPr>
              <w:pStyle w:val="Text4"/>
              <w:ind w:left="360"/>
              <w:rPr>
                <w:rFonts w:ascii="Arial" w:hAnsi="Arial" w:cs="Arial"/>
                <w:bCs/>
                <w:szCs w:val="22"/>
              </w:rPr>
            </w:pPr>
          </w:p>
          <w:p w:rsidR="00DF4E40" w:rsidRPr="00304864" w:rsidRDefault="00DF4E40">
            <w:pPr>
              <w:pStyle w:val="Text4"/>
              <w:ind w:left="0"/>
              <w:rPr>
                <w:rFonts w:ascii="Arial" w:hAnsi="Arial" w:cs="Arial"/>
                <w:b/>
                <w:bCs/>
                <w:szCs w:val="22"/>
              </w:rPr>
            </w:pPr>
            <w:r w:rsidRPr="00304864">
              <w:rPr>
                <w:rFonts w:ascii="Arial" w:hAnsi="Arial" w:cs="Arial"/>
                <w:b/>
                <w:bCs/>
                <w:sz w:val="22"/>
                <w:szCs w:val="22"/>
              </w:rPr>
              <w:t>Indicative types of beneficiaries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Local public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Regional public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National public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Agencies;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International Organisations</w:t>
            </w:r>
            <w:r w:rsidR="00BE6768">
              <w:rPr>
                <w:rFonts w:ascii="Arial" w:hAnsi="Arial" w:cs="Arial"/>
                <w:color w:val="000000"/>
                <w:sz w:val="22"/>
                <w:szCs w:val="22"/>
                <w:lang w:val="en-GB" w:eastAsia="it-IT"/>
              </w:rPr>
              <w:t>;</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Research organisations;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(Public) service providers;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Higher education institutions;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Education/training centres;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Business support organisations;</w:t>
            </w:r>
          </w:p>
          <w:p w:rsidR="00DF4E40" w:rsidRPr="00A30AEC" w:rsidRDefault="00DF4E40" w:rsidP="00A30AEC">
            <w:pPr>
              <w:pStyle w:val="ListParagraph"/>
              <w:numPr>
                <w:ilvl w:val="0"/>
                <w:numId w:val="130"/>
              </w:numPr>
              <w:ind w:left="426"/>
              <w:rPr>
                <w:rFonts w:ascii="Arial" w:hAnsi="Arial" w:cs="Arial"/>
                <w:bCs/>
                <w:szCs w:val="22"/>
                <w:lang w:val="en-US"/>
              </w:rPr>
            </w:pPr>
            <w:r w:rsidRPr="00A30AEC">
              <w:rPr>
                <w:rFonts w:ascii="Arial" w:hAnsi="Arial" w:cs="Arial"/>
                <w:color w:val="000000"/>
                <w:sz w:val="22"/>
                <w:szCs w:val="22"/>
                <w:lang w:val="en-GB" w:eastAsia="it-IT"/>
              </w:rPr>
              <w:t>Interest groups including NGOs and cultural/citizen organisations.</w:t>
            </w:r>
          </w:p>
        </w:tc>
      </w:tr>
    </w:tbl>
    <w:p w:rsidR="00DF4E40" w:rsidRPr="00304864" w:rsidRDefault="00DF4E40">
      <w:pPr>
        <w:rPr>
          <w:rFonts w:ascii="Arial" w:hAnsi="Arial" w:cs="Arial"/>
          <w:sz w:val="22"/>
          <w:szCs w:val="22"/>
        </w:rPr>
      </w:pPr>
      <w:bookmarkStart w:id="114" w:name="_Toc365660125"/>
    </w:p>
    <w:p w:rsidR="00DF4E40" w:rsidRPr="00304864" w:rsidRDefault="00DF4E40">
      <w:pPr>
        <w:rPr>
          <w:rFonts w:ascii="Arial" w:hAnsi="Arial" w:cs="Arial"/>
          <w:sz w:val="22"/>
          <w:szCs w:val="22"/>
        </w:rPr>
      </w:pPr>
    </w:p>
    <w:p w:rsidR="00DF4E40" w:rsidRPr="007D005F" w:rsidRDefault="00DF4E40" w:rsidP="00A30AEC">
      <w:pPr>
        <w:pStyle w:val="Heading2"/>
        <w:spacing w:after="120"/>
      </w:pPr>
      <w:bookmarkStart w:id="115" w:name="_Toc420652499"/>
      <w:bookmarkStart w:id="116" w:name="_Toc421076851"/>
      <w:r w:rsidRPr="007D005F">
        <w:t>2.A.6.2.</w:t>
      </w:r>
      <w:r w:rsidR="00C64070" w:rsidRPr="00A30AEC">
        <w:tab/>
        <w:t>G</w:t>
      </w:r>
      <w:r w:rsidRPr="007D005F">
        <w:t>uiding principles for the selection of operations</w:t>
      </w:r>
      <w:bookmarkEnd w:id="114"/>
      <w:bookmarkEnd w:id="115"/>
      <w:bookmarkEnd w:id="116"/>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 1.b</w:t>
            </w:r>
          </w:p>
        </w:tc>
        <w:tc>
          <w:tcPr>
            <w:tcW w:w="6484"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 xml:space="preserve">Promoting business investment in R&amp;I, developing links and synergies between enterprises, research and development centres and the higher education sector </w:t>
            </w:r>
            <w:r w:rsidRPr="00304864">
              <w:rPr>
                <w:rFonts w:ascii="Arial" w:hAnsi="Arial" w:cs="Arial"/>
                <w:b/>
                <w:bCs/>
                <w:sz w:val="22"/>
                <w:szCs w:val="22"/>
              </w:rPr>
              <w:t>(…)</w:t>
            </w:r>
          </w:p>
        </w:tc>
      </w:tr>
      <w:tr w:rsidR="00DF4E40" w:rsidRPr="00304864" w:rsidTr="00272857">
        <w:tc>
          <w:tcPr>
            <w:tcW w:w="9286" w:type="dxa"/>
            <w:gridSpan w:val="2"/>
          </w:tcPr>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 selection of projects will be carried out in accordance with Article 12 of the ETC regulation, following a standardised assessment procedure, the objectives of which include: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Assessment of the relevance of a project proposal;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Assessment of the feasibility of the proposed approach;</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Definition of a transparent and objective basis for decision making on proposal rejection or approval;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Provision of a base for communication and improvement among Programme bodies and applicants. </w:t>
            </w:r>
          </w:p>
          <w:p w:rsidR="00DF4E40" w:rsidRPr="00304864" w:rsidRDefault="00DF4E40">
            <w:pPr>
              <w:pStyle w:val="tablelinks"/>
              <w:spacing w:before="0" w:after="120" w:line="240" w:lineRule="auto"/>
              <w:rPr>
                <w:color w:val="auto"/>
                <w:sz w:val="22"/>
                <w:szCs w:val="22"/>
              </w:rPr>
            </w:pPr>
            <w:r w:rsidRPr="00304864">
              <w:rPr>
                <w:color w:val="auto"/>
                <w:sz w:val="22"/>
                <w:szCs w:val="22"/>
              </w:rPr>
              <w:t>The assessment will be conducted using the following sets of criteria:</w:t>
            </w:r>
          </w:p>
          <w:p w:rsidR="00DF4E40" w:rsidRPr="00304864" w:rsidRDefault="00DF4E40">
            <w:pPr>
              <w:pStyle w:val="tablelinks"/>
              <w:spacing w:before="0" w:after="120" w:line="240" w:lineRule="auto"/>
              <w:rPr>
                <w:b/>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 xml:space="preserve">Strategic Assessment Criteria </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coherence and contribution of each project proposal to the ADRION Programme Objectives and especially the relevant SO addressed;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contribution to the envisaged results per IP;</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soundness of the concept and demonstration of the need for the proposed intervention in its thematic and territorial context;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added value of transnational cooperation;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proposed partnership relevance to the above;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the EUSAIR strategy and the contribution to the achievement of its objectives;</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other relevant EU strategies and or policies.</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Operational Assessment Criteria</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adequacy of the management provisions in terms of structures, procedures and competences;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quality and effectiveness of communication provisions;</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quality of the Work Plan in relation to clarity and coherence of the operational objectives, activities and means, feasibility, efficiency of the project and its results, potential for uptake and embedment into operative procedures of the partners involved;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adequacy of the budget provisions to guarantee the project implementation and generate value for money. </w:t>
            </w:r>
          </w:p>
          <w:p w:rsidR="00DF4E40" w:rsidRPr="00304864" w:rsidRDefault="00DF4E40">
            <w:pPr>
              <w:pStyle w:val="tablelinks"/>
              <w:spacing w:before="0" w:after="120" w:line="240" w:lineRule="auto"/>
              <w:rPr>
                <w:b/>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Coherence to Horizontal Principles Criteria</w:t>
            </w:r>
          </w:p>
          <w:p w:rsidR="00DF4E40" w:rsidRPr="00304864" w:rsidRDefault="00DF4E40">
            <w:pPr>
              <w:pStyle w:val="tablelinks"/>
              <w:spacing w:before="0" w:after="120" w:line="240" w:lineRule="auto"/>
              <w:rPr>
                <w:color w:val="auto"/>
                <w:sz w:val="22"/>
                <w:szCs w:val="22"/>
              </w:rPr>
            </w:pPr>
            <w:r w:rsidRPr="00304864">
              <w:rPr>
                <w:color w:val="auto"/>
                <w:sz w:val="22"/>
                <w:szCs w:val="22"/>
              </w:rPr>
              <w:t>These criteria shall examine the extent to which projects have integrated within their intervention logic:</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PA1 Horizontal principles such as promotion of energy, resource efficiency, consideration of the principles of open innovation;</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ADRION cross-cutting dimensions as defined in Section 1; equal opportunities and non-discrimination, equality between men and women, social cohesion and social innovation, data and knowledge management, use of ICT, territorial and eco-systemic approach</w:t>
            </w:r>
            <w:r w:rsidR="00983CB8">
              <w:rPr>
                <w:rFonts w:ascii="Arial" w:hAnsi="Arial" w:cs="Arial"/>
                <w:color w:val="000000"/>
                <w:sz w:val="22"/>
                <w:szCs w:val="22"/>
                <w:lang w:val="en-GB" w:eastAsia="it-IT"/>
              </w:rPr>
              <w:t>.</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 above elements should not be considered as a “check list”, but should rather encourage projects to proactively develop their project ideas within the logic of the Programme. </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These three criteria are presented in the order of importance for the project. The Strategic Assessment Criteria examine the relevance of the project proposal; hence they retain absolute primacy over the other two criteria. The Operational Assessment Criteria ensure the successful delivery of results; hence they have more weight than the Coherence and Horizontal Principles Criteria, which are basically oriented towards integration of a “relevant and feasible” proposal into the ADRION logic. </w:t>
            </w:r>
          </w:p>
          <w:p w:rsidR="00DF4E40" w:rsidRPr="00304864" w:rsidRDefault="00DF4E40">
            <w:pPr>
              <w:rPr>
                <w:rFonts w:ascii="Arial" w:hAnsi="Arial" w:cs="Arial"/>
                <w:szCs w:val="22"/>
              </w:rPr>
            </w:pPr>
            <w:r w:rsidRPr="00304864">
              <w:rPr>
                <w:rFonts w:ascii="Arial" w:hAnsi="Arial" w:cs="Arial"/>
                <w:sz w:val="22"/>
                <w:szCs w:val="22"/>
              </w:rPr>
              <w:t>The detailed assessment criteria will be laid down and made available to potential applicants in the programme related manual.</w:t>
            </w:r>
          </w:p>
          <w:p w:rsidR="00DF4E40" w:rsidRPr="00304864" w:rsidRDefault="00DF4E40">
            <w:pPr>
              <w:rPr>
                <w:rFonts w:ascii="Arial" w:hAnsi="Arial" w:cs="Arial"/>
                <w:szCs w:val="22"/>
              </w:rPr>
            </w:pPr>
            <w:r w:rsidRPr="00304864">
              <w:rPr>
                <w:rFonts w:ascii="Arial" w:hAnsi="Arial" w:cs="Arial"/>
                <w:sz w:val="22"/>
                <w:szCs w:val="22"/>
              </w:rPr>
              <w:t>Preparatory costs will be eligible under the PA 1 funds.</w:t>
            </w:r>
          </w:p>
        </w:tc>
      </w:tr>
    </w:tbl>
    <w:p w:rsidR="00DF4E40" w:rsidRPr="00304864" w:rsidRDefault="00DF4E40">
      <w:pPr>
        <w:rPr>
          <w:rFonts w:ascii="Arial" w:hAnsi="Arial" w:cs="Arial"/>
          <w:sz w:val="22"/>
          <w:szCs w:val="22"/>
        </w:rPr>
      </w:pPr>
      <w:bookmarkStart w:id="117" w:name="_Toc365660126"/>
    </w:p>
    <w:p w:rsidR="00DF4E40" w:rsidRPr="00304864" w:rsidRDefault="00DF4E40">
      <w:pPr>
        <w:rPr>
          <w:rFonts w:ascii="Arial" w:hAnsi="Arial" w:cs="Arial"/>
          <w:sz w:val="22"/>
          <w:szCs w:val="22"/>
        </w:rPr>
      </w:pPr>
    </w:p>
    <w:p w:rsidR="00DF4E40" w:rsidRPr="007D005F" w:rsidRDefault="00DF4E40" w:rsidP="00A30AEC">
      <w:pPr>
        <w:pStyle w:val="Heading2"/>
        <w:spacing w:after="120"/>
      </w:pPr>
      <w:bookmarkStart w:id="118" w:name="_Toc420652500"/>
      <w:bookmarkStart w:id="119" w:name="_Toc421076852"/>
      <w:r w:rsidRPr="007D005F">
        <w:t xml:space="preserve">2.A.6.3. </w:t>
      </w:r>
      <w:r w:rsidR="00183B21">
        <w:t>P</w:t>
      </w:r>
      <w:r w:rsidRPr="007D005F">
        <w:t>lanned use of financial instruments</w:t>
      </w:r>
      <w:bookmarkEnd w:id="117"/>
      <w:bookmarkEnd w:id="118"/>
      <w:bookmarkEnd w:id="119"/>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 1.b</w:t>
            </w:r>
          </w:p>
        </w:tc>
        <w:tc>
          <w:tcPr>
            <w:tcW w:w="6484"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 xml:space="preserve">Promoting business investment in R&amp;I, developing links and synergies between enterprises, research and development centres and the higher education sector </w:t>
            </w:r>
            <w:r w:rsidRPr="00304864">
              <w:rPr>
                <w:rFonts w:ascii="Arial" w:hAnsi="Arial" w:cs="Arial"/>
                <w:b/>
                <w:bCs/>
                <w:sz w:val="22"/>
                <w:szCs w:val="22"/>
              </w:rPr>
              <w:t>(…)</w:t>
            </w:r>
          </w:p>
        </w:tc>
      </w:tr>
      <w:tr w:rsidR="00DF4E40" w:rsidRPr="00304864" w:rsidTr="00DD5829">
        <w:tc>
          <w:tcPr>
            <w:tcW w:w="2802" w:type="dxa"/>
          </w:tcPr>
          <w:p w:rsidR="00DF4E40" w:rsidRPr="00304864" w:rsidRDefault="00DF4E40">
            <w:pPr>
              <w:rPr>
                <w:rFonts w:ascii="Arial" w:hAnsi="Arial" w:cs="Arial"/>
                <w:szCs w:val="22"/>
              </w:rPr>
            </w:pPr>
            <w:r w:rsidRPr="00304864">
              <w:rPr>
                <w:rFonts w:ascii="Arial" w:hAnsi="Arial" w:cs="Arial"/>
                <w:sz w:val="22"/>
                <w:szCs w:val="22"/>
              </w:rPr>
              <w:t>Planned use of financial instruments</w:t>
            </w:r>
          </w:p>
        </w:tc>
        <w:tc>
          <w:tcPr>
            <w:tcW w:w="6484" w:type="dxa"/>
          </w:tcPr>
          <w:p w:rsidR="00DF4E40" w:rsidRPr="00304864" w:rsidRDefault="00DF4E40">
            <w:pPr>
              <w:rPr>
                <w:rFonts w:ascii="Arial" w:hAnsi="Arial" w:cs="Arial"/>
                <w:szCs w:val="22"/>
              </w:rPr>
            </w:pPr>
          </w:p>
        </w:tc>
      </w:tr>
      <w:tr w:rsidR="00DF4E40" w:rsidRPr="00304864" w:rsidTr="00DD5829">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The opportunity of the elaboration and implementation of financial instruments will be discussed during the implementation of the programme</w:t>
            </w:r>
          </w:p>
        </w:tc>
      </w:tr>
    </w:tbl>
    <w:p w:rsidR="00DF4E40" w:rsidRPr="00A30AEC" w:rsidRDefault="00DF4E40">
      <w:pPr>
        <w:rPr>
          <w:rFonts w:ascii="Arial" w:hAnsi="Arial" w:cs="Arial"/>
        </w:rPr>
      </w:pPr>
      <w:bookmarkStart w:id="120" w:name="_Toc365660128"/>
    </w:p>
    <w:p w:rsidR="00DF4E40" w:rsidRPr="00A30AEC" w:rsidRDefault="00DF4E40">
      <w:pPr>
        <w:rPr>
          <w:rFonts w:ascii="Arial" w:hAnsi="Arial" w:cs="Arial"/>
        </w:rPr>
      </w:pPr>
    </w:p>
    <w:p w:rsidR="00DF4E40" w:rsidRPr="007D005F" w:rsidRDefault="00DF4E40" w:rsidP="00A30AEC">
      <w:pPr>
        <w:pStyle w:val="Heading2"/>
        <w:spacing w:after="120"/>
      </w:pPr>
      <w:bookmarkStart w:id="121" w:name="_Toc420652501"/>
      <w:bookmarkStart w:id="122" w:name="_Toc421076853"/>
      <w:r w:rsidRPr="007D005F">
        <w:t>2.A.6.4. Planned use of major projects</w:t>
      </w:r>
      <w:bookmarkEnd w:id="121"/>
      <w:bookmarkEnd w:id="122"/>
    </w:p>
    <w:p w:rsidR="007875FA" w:rsidRPr="00A30AEC" w:rsidRDefault="007875FA">
      <w:pPr>
        <w:rPr>
          <w:rFonts w:ascii="Arial" w:hAnsi="Arial" w:cs="Arial"/>
          <w:sz w:val="22"/>
          <w:szCs w:val="22"/>
        </w:rPr>
      </w:pPr>
      <w:r w:rsidRPr="00A30AEC">
        <w:rPr>
          <w:rFonts w:ascii="Arial" w:hAnsi="Arial" w:cs="Arial"/>
          <w:sz w:val="22"/>
          <w:szCs w:val="22"/>
        </w:rPr>
        <w:t>(Reference: point (b)(iii) of Article 8(2) of the ETC Regulation)</w:t>
      </w:r>
    </w:p>
    <w:p w:rsidR="00DF4E40" w:rsidRPr="00A30AEC" w:rsidRDefault="00DF4E40">
      <w:pPr>
        <w:rPr>
          <w:rFonts w:ascii="Arial" w:hAnsi="Arial" w:cs="Arial"/>
          <w:sz w:val="22"/>
          <w:szCs w:val="22"/>
        </w:rPr>
      </w:pPr>
      <w:r w:rsidRPr="00A30AEC">
        <w:rPr>
          <w:rFonts w:ascii="Arial" w:hAnsi="Arial" w:cs="Arial"/>
          <w:sz w:val="22"/>
          <w:szCs w:val="22"/>
        </w:rPr>
        <w:t>Not applicable</w:t>
      </w:r>
    </w:p>
    <w:p w:rsidR="00DF4E40" w:rsidRPr="00304864" w:rsidRDefault="00DF4E40" w:rsidP="00A30AEC">
      <w:pPr>
        <w:pStyle w:val="Heading2"/>
        <w:spacing w:after="120"/>
      </w:pPr>
      <w:r w:rsidRPr="00304864">
        <w:br w:type="page"/>
      </w:r>
      <w:bookmarkStart w:id="123" w:name="_Toc420652502"/>
      <w:bookmarkStart w:id="124" w:name="_Toc421076854"/>
      <w:r w:rsidRPr="007D005F">
        <w:t>2.A.6.5. Output indicators</w:t>
      </w:r>
      <w:bookmarkEnd w:id="120"/>
      <w:bookmarkEnd w:id="123"/>
      <w:bookmarkEnd w:id="124"/>
    </w:p>
    <w:p w:rsidR="00DF4E40" w:rsidRPr="00A30AEC" w:rsidRDefault="00DF4E40">
      <w:pPr>
        <w:rPr>
          <w:rFonts w:ascii="Arial" w:hAnsi="Arial" w:cs="Arial"/>
          <w:sz w:val="22"/>
          <w:szCs w:val="22"/>
        </w:rPr>
      </w:pPr>
      <w:r w:rsidRPr="00A30AEC">
        <w:rPr>
          <w:rFonts w:ascii="Arial" w:hAnsi="Arial" w:cs="Arial"/>
          <w:sz w:val="22"/>
          <w:szCs w:val="22"/>
        </w:rPr>
        <w:t>(Reference: point (b)(iv) of Article 8(2) of Regulation (EU) No 1299/2013)</w:t>
      </w:r>
    </w:p>
    <w:p w:rsidR="00DF4E40" w:rsidRPr="00304864" w:rsidRDefault="00DF4E40">
      <w:pPr>
        <w:jc w:val="left"/>
        <w:rPr>
          <w:rFonts w:ascii="Arial" w:hAnsi="Arial" w:cs="Arial"/>
          <w:i/>
          <w:sz w:val="22"/>
          <w:szCs w:val="22"/>
        </w:rPr>
      </w:pPr>
      <w:r w:rsidRPr="00304864">
        <w:rPr>
          <w:rFonts w:ascii="Arial" w:hAnsi="Arial" w:cs="Arial"/>
          <w:b/>
          <w:sz w:val="22"/>
          <w:szCs w:val="22"/>
        </w:rPr>
        <w:t>Table 4: Common and programme specific output indicators</w:t>
      </w:r>
      <w:r w:rsidRPr="00304864">
        <w:rPr>
          <w:rFonts w:ascii="Arial" w:hAnsi="Arial" w:cs="Arial"/>
          <w:i/>
          <w:sz w:val="22"/>
          <w:szCs w:val="22"/>
        </w:rPr>
        <w:t>(by investment priority)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62"/>
        <w:gridCol w:w="2026"/>
        <w:gridCol w:w="1764"/>
        <w:gridCol w:w="1501"/>
        <w:gridCol w:w="1828"/>
        <w:gridCol w:w="1310"/>
      </w:tblGrid>
      <w:tr w:rsidR="00DF4E40" w:rsidRPr="00304864" w:rsidTr="00A30AEC">
        <w:trPr>
          <w:trHeight w:val="700"/>
          <w:jc w:val="center"/>
        </w:trPr>
        <w:tc>
          <w:tcPr>
            <w:tcW w:w="1111"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2026"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Output Indicator</w:t>
            </w:r>
          </w:p>
        </w:tc>
        <w:tc>
          <w:tcPr>
            <w:tcW w:w="1764"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1501"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w:t>
            </w:r>
          </w:p>
          <w:p w:rsidR="00DF4E40" w:rsidRPr="00304864" w:rsidRDefault="00DF4E40">
            <w:pPr>
              <w:jc w:val="center"/>
              <w:rPr>
                <w:rFonts w:ascii="Arial" w:hAnsi="Arial" w:cs="Arial"/>
                <w:b/>
                <w:sz w:val="20"/>
              </w:rPr>
            </w:pPr>
            <w:r w:rsidRPr="00304864">
              <w:rPr>
                <w:rFonts w:ascii="Arial" w:hAnsi="Arial" w:cs="Arial"/>
                <w:b/>
                <w:sz w:val="20"/>
              </w:rPr>
              <w:t>(2023)</w:t>
            </w:r>
          </w:p>
        </w:tc>
        <w:tc>
          <w:tcPr>
            <w:tcW w:w="1750"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pPr>
              <w:jc w:val="center"/>
              <w:rPr>
                <w:rFonts w:ascii="Arial" w:hAnsi="Arial" w:cs="Arial"/>
                <w:b/>
                <w:sz w:val="20"/>
              </w:rPr>
            </w:pPr>
            <w:r w:rsidRPr="00304864">
              <w:rPr>
                <w:rFonts w:ascii="Arial" w:hAnsi="Arial" w:cs="Arial"/>
                <w:i/>
                <w:sz w:val="20"/>
              </w:rPr>
              <w:t>200 char. Max.</w:t>
            </w:r>
          </w:p>
        </w:tc>
        <w:tc>
          <w:tcPr>
            <w:tcW w:w="1310"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b/>
                <w:sz w:val="20"/>
              </w:rPr>
            </w:pPr>
            <w:r w:rsidRPr="00304864">
              <w:rPr>
                <w:rFonts w:ascii="Arial" w:hAnsi="Arial" w:cs="Arial"/>
                <w:i/>
                <w:sz w:val="20"/>
              </w:rPr>
              <w:t>100 char. Max.</w:t>
            </w:r>
          </w:p>
        </w:tc>
      </w:tr>
      <w:tr w:rsidR="00DF4E40" w:rsidRPr="00304864" w:rsidTr="00C779B8">
        <w:trPr>
          <w:trHeight w:val="1265"/>
          <w:jc w:val="center"/>
        </w:trPr>
        <w:tc>
          <w:tcPr>
            <w:tcW w:w="1111" w:type="dxa"/>
            <w:shd w:val="clear" w:color="auto" w:fill="C6D9F1" w:themeFill="text2" w:themeFillTint="33"/>
            <w:vAlign w:val="center"/>
          </w:tcPr>
          <w:p w:rsidR="00DF4E40" w:rsidRPr="00304864" w:rsidRDefault="00DF4E40" w:rsidP="00A30AEC">
            <w:pPr>
              <w:snapToGrid w:val="0"/>
              <w:jc w:val="center"/>
              <w:rPr>
                <w:rFonts w:ascii="Arial" w:hAnsi="Arial" w:cs="Arial"/>
                <w:b/>
                <w:sz w:val="20"/>
                <w:lang w:eastAsia="de-DE"/>
              </w:rPr>
            </w:pPr>
            <w:r w:rsidRPr="00304864">
              <w:rPr>
                <w:rFonts w:ascii="Arial" w:hAnsi="Arial" w:cs="Arial"/>
                <w:b/>
                <w:sz w:val="20"/>
              </w:rPr>
              <w:t>COI_1</w:t>
            </w:r>
          </w:p>
        </w:tc>
        <w:tc>
          <w:tcPr>
            <w:tcW w:w="2026"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Number of enterprises cooperating with research institutions</w:t>
            </w:r>
          </w:p>
        </w:tc>
        <w:tc>
          <w:tcPr>
            <w:tcW w:w="1764"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Enterprises (Number)</w:t>
            </w:r>
          </w:p>
        </w:tc>
        <w:tc>
          <w:tcPr>
            <w:tcW w:w="1501"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1000</w:t>
            </w:r>
          </w:p>
        </w:tc>
        <w:tc>
          <w:tcPr>
            <w:tcW w:w="1750"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Monitoring</w:t>
            </w:r>
          </w:p>
        </w:tc>
        <w:tc>
          <w:tcPr>
            <w:tcW w:w="1310" w:type="dxa"/>
            <w:vAlign w:val="center"/>
          </w:tcPr>
          <w:p w:rsidR="00DF4E40" w:rsidRPr="00304864" w:rsidRDefault="00DF4E40" w:rsidP="00A30AEC">
            <w:pPr>
              <w:jc w:val="center"/>
              <w:rPr>
                <w:rFonts w:ascii="Arial" w:hAnsi="Arial" w:cs="Arial"/>
                <w:sz w:val="20"/>
                <w:lang w:eastAsia="de-DE"/>
              </w:rPr>
            </w:pPr>
            <w:r w:rsidRPr="00304864">
              <w:rPr>
                <w:rFonts w:ascii="Arial" w:hAnsi="Arial" w:cs="Arial"/>
                <w:sz w:val="20"/>
              </w:rPr>
              <w:t>Annually</w:t>
            </w:r>
          </w:p>
        </w:tc>
      </w:tr>
      <w:tr w:rsidR="00DF4E40" w:rsidRPr="00304864" w:rsidTr="00C779B8">
        <w:trPr>
          <w:trHeight w:val="700"/>
          <w:jc w:val="center"/>
        </w:trPr>
        <w:tc>
          <w:tcPr>
            <w:tcW w:w="1111" w:type="dxa"/>
            <w:shd w:val="clear" w:color="auto" w:fill="C6D9F1" w:themeFill="text2" w:themeFillTint="33"/>
            <w:vAlign w:val="center"/>
          </w:tcPr>
          <w:p w:rsidR="00DF4E40" w:rsidRPr="00304864" w:rsidRDefault="00DF4E40" w:rsidP="00A30AEC">
            <w:pPr>
              <w:jc w:val="center"/>
              <w:rPr>
                <w:rFonts w:ascii="Arial" w:hAnsi="Arial" w:cs="Arial"/>
                <w:b/>
                <w:sz w:val="20"/>
              </w:rPr>
            </w:pPr>
            <w:r w:rsidRPr="00304864">
              <w:rPr>
                <w:rFonts w:ascii="Arial" w:hAnsi="Arial" w:cs="Arial"/>
                <w:b/>
                <w:sz w:val="20"/>
              </w:rPr>
              <w:t>OI_1b.1_1</w:t>
            </w:r>
          </w:p>
        </w:tc>
        <w:tc>
          <w:tcPr>
            <w:tcW w:w="2026" w:type="dxa"/>
            <w:vAlign w:val="center"/>
          </w:tcPr>
          <w:p w:rsidR="00DF4E40" w:rsidRPr="00304864" w:rsidRDefault="00DF4E40" w:rsidP="00A30AEC">
            <w:pPr>
              <w:snapToGrid w:val="0"/>
              <w:jc w:val="center"/>
              <w:rPr>
                <w:rFonts w:ascii="Arial" w:hAnsi="Arial" w:cs="Arial"/>
                <w:sz w:val="20"/>
              </w:rPr>
            </w:pPr>
            <w:r w:rsidRPr="00304864">
              <w:rPr>
                <w:rFonts w:ascii="Arial" w:hAnsi="Arial" w:cs="Arial"/>
                <w:sz w:val="20"/>
              </w:rPr>
              <w:t>Number of supported transnational cooperation networks and clusters</w:t>
            </w:r>
          </w:p>
        </w:tc>
        <w:tc>
          <w:tcPr>
            <w:tcW w:w="1764" w:type="dxa"/>
            <w:vAlign w:val="center"/>
          </w:tcPr>
          <w:p w:rsidR="00DF4E40" w:rsidRPr="00304864" w:rsidRDefault="00DF4E40" w:rsidP="00A30AEC">
            <w:pPr>
              <w:jc w:val="center"/>
              <w:rPr>
                <w:rFonts w:ascii="Arial" w:hAnsi="Arial" w:cs="Arial"/>
                <w:sz w:val="20"/>
              </w:rPr>
            </w:pPr>
            <w:r w:rsidRPr="00304864">
              <w:rPr>
                <w:rFonts w:ascii="Arial" w:hAnsi="Arial" w:cs="Arial"/>
                <w:sz w:val="20"/>
              </w:rPr>
              <w:t>Number</w:t>
            </w:r>
          </w:p>
        </w:tc>
        <w:tc>
          <w:tcPr>
            <w:tcW w:w="1501" w:type="dxa"/>
            <w:vAlign w:val="center"/>
          </w:tcPr>
          <w:p w:rsidR="00DF4E40" w:rsidRPr="00304864" w:rsidRDefault="00DF4E40" w:rsidP="00A30AEC">
            <w:pPr>
              <w:jc w:val="center"/>
              <w:rPr>
                <w:rFonts w:ascii="Arial" w:hAnsi="Arial" w:cs="Arial"/>
                <w:sz w:val="20"/>
              </w:rPr>
            </w:pPr>
            <w:r w:rsidRPr="00304864">
              <w:rPr>
                <w:rFonts w:ascii="Arial" w:hAnsi="Arial" w:cs="Arial"/>
                <w:sz w:val="20"/>
              </w:rPr>
              <w:t>8</w:t>
            </w:r>
          </w:p>
        </w:tc>
        <w:tc>
          <w:tcPr>
            <w:tcW w:w="1750" w:type="dxa"/>
            <w:vAlign w:val="center"/>
          </w:tcPr>
          <w:p w:rsidR="00DF4E40" w:rsidRPr="00304864" w:rsidRDefault="00DF4E40" w:rsidP="00A30AEC">
            <w:pPr>
              <w:jc w:val="center"/>
              <w:rPr>
                <w:rFonts w:ascii="Arial" w:hAnsi="Arial" w:cs="Arial"/>
                <w:sz w:val="20"/>
              </w:rPr>
            </w:pPr>
            <w:r w:rsidRPr="00304864">
              <w:rPr>
                <w:rFonts w:ascii="Arial" w:hAnsi="Arial" w:cs="Arial"/>
                <w:sz w:val="20"/>
              </w:rPr>
              <w:t>Monitoring/Project progress reports</w:t>
            </w:r>
          </w:p>
        </w:tc>
        <w:tc>
          <w:tcPr>
            <w:tcW w:w="1310" w:type="dxa"/>
            <w:vAlign w:val="center"/>
          </w:tcPr>
          <w:p w:rsidR="00DF4E40" w:rsidRPr="00304864" w:rsidRDefault="00DF4E40" w:rsidP="00A30AEC">
            <w:pPr>
              <w:jc w:val="center"/>
              <w:rPr>
                <w:rFonts w:ascii="Arial" w:hAnsi="Arial" w:cs="Arial"/>
                <w:sz w:val="20"/>
              </w:rPr>
            </w:pPr>
            <w:r w:rsidRPr="00304864">
              <w:rPr>
                <w:rFonts w:ascii="Arial" w:hAnsi="Arial" w:cs="Arial"/>
                <w:sz w:val="20"/>
              </w:rPr>
              <w:t>Annually</w:t>
            </w:r>
          </w:p>
        </w:tc>
      </w:tr>
      <w:tr w:rsidR="00DF4E40" w:rsidRPr="00304864" w:rsidTr="00C779B8">
        <w:trPr>
          <w:trHeight w:val="1922"/>
          <w:jc w:val="center"/>
        </w:trPr>
        <w:tc>
          <w:tcPr>
            <w:tcW w:w="1111" w:type="dxa"/>
            <w:shd w:val="clear" w:color="auto" w:fill="C6D9F1" w:themeFill="text2" w:themeFillTint="33"/>
            <w:vAlign w:val="center"/>
          </w:tcPr>
          <w:p w:rsidR="00DF4E40" w:rsidRPr="00304864" w:rsidRDefault="00DF4E40" w:rsidP="00A30AEC">
            <w:pPr>
              <w:snapToGrid w:val="0"/>
              <w:jc w:val="center"/>
              <w:rPr>
                <w:rFonts w:ascii="Arial" w:hAnsi="Arial" w:cs="Arial"/>
                <w:b/>
                <w:sz w:val="20"/>
                <w:lang w:eastAsia="de-DE"/>
              </w:rPr>
            </w:pPr>
            <w:r w:rsidRPr="00304864">
              <w:rPr>
                <w:rFonts w:ascii="Arial" w:hAnsi="Arial" w:cs="Arial"/>
                <w:b/>
                <w:sz w:val="20"/>
              </w:rPr>
              <w:t>OI_1b.1_2</w:t>
            </w:r>
          </w:p>
        </w:tc>
        <w:tc>
          <w:tcPr>
            <w:tcW w:w="2026" w:type="dxa"/>
            <w:vAlign w:val="center"/>
          </w:tcPr>
          <w:p w:rsidR="00DF4E40" w:rsidRPr="00304864" w:rsidRDefault="00DF4E40" w:rsidP="00A30AEC">
            <w:pPr>
              <w:ind w:left="-45"/>
              <w:jc w:val="center"/>
              <w:rPr>
                <w:rFonts w:ascii="Arial" w:hAnsi="Arial" w:cs="Arial"/>
                <w:sz w:val="20"/>
              </w:rPr>
            </w:pPr>
            <w:r w:rsidRPr="00304864">
              <w:rPr>
                <w:rFonts w:ascii="Arial" w:hAnsi="Arial" w:cs="Arial"/>
                <w:sz w:val="20"/>
              </w:rPr>
              <w:t>Number of strategies and action plans developed by transnational innovation networks and clusters</w:t>
            </w:r>
          </w:p>
        </w:tc>
        <w:tc>
          <w:tcPr>
            <w:tcW w:w="1764" w:type="dxa"/>
            <w:vAlign w:val="center"/>
          </w:tcPr>
          <w:p w:rsidR="00DF4E40" w:rsidRPr="00304864" w:rsidRDefault="00DF4E40" w:rsidP="00A30AEC">
            <w:pPr>
              <w:jc w:val="center"/>
              <w:rPr>
                <w:rFonts w:ascii="Arial" w:hAnsi="Arial" w:cs="Arial"/>
                <w:sz w:val="20"/>
              </w:rPr>
            </w:pPr>
            <w:r w:rsidRPr="00304864">
              <w:rPr>
                <w:rFonts w:ascii="Arial" w:hAnsi="Arial" w:cs="Arial"/>
                <w:sz w:val="20"/>
              </w:rPr>
              <w:t>Number</w:t>
            </w:r>
          </w:p>
        </w:tc>
        <w:tc>
          <w:tcPr>
            <w:tcW w:w="1501" w:type="dxa"/>
            <w:vAlign w:val="center"/>
          </w:tcPr>
          <w:p w:rsidR="00DF4E40" w:rsidRPr="00304864" w:rsidRDefault="00DF4E40" w:rsidP="00A30AEC">
            <w:pPr>
              <w:jc w:val="center"/>
              <w:rPr>
                <w:rFonts w:ascii="Arial" w:hAnsi="Arial" w:cs="Arial"/>
                <w:sz w:val="20"/>
              </w:rPr>
            </w:pPr>
            <w:r w:rsidRPr="00304864">
              <w:rPr>
                <w:rFonts w:ascii="Arial" w:hAnsi="Arial" w:cs="Arial"/>
                <w:sz w:val="20"/>
              </w:rPr>
              <w:t>12</w:t>
            </w:r>
          </w:p>
        </w:tc>
        <w:tc>
          <w:tcPr>
            <w:tcW w:w="1750" w:type="dxa"/>
            <w:vAlign w:val="center"/>
          </w:tcPr>
          <w:p w:rsidR="00DF4E40" w:rsidRPr="00304864" w:rsidRDefault="00DF4E40" w:rsidP="00A30AEC">
            <w:pPr>
              <w:jc w:val="center"/>
              <w:rPr>
                <w:rFonts w:ascii="Arial" w:hAnsi="Arial" w:cs="Arial"/>
                <w:sz w:val="20"/>
              </w:rPr>
            </w:pPr>
            <w:r w:rsidRPr="00304864">
              <w:rPr>
                <w:rFonts w:ascii="Arial" w:hAnsi="Arial" w:cs="Arial"/>
                <w:sz w:val="20"/>
              </w:rPr>
              <w:t>Monitoring/Project progress reports</w:t>
            </w:r>
          </w:p>
        </w:tc>
        <w:tc>
          <w:tcPr>
            <w:tcW w:w="1310" w:type="dxa"/>
            <w:vAlign w:val="center"/>
          </w:tcPr>
          <w:p w:rsidR="00DF4E40" w:rsidRPr="00304864" w:rsidRDefault="00DF4E40" w:rsidP="00A30AEC">
            <w:pPr>
              <w:jc w:val="center"/>
              <w:rPr>
                <w:rFonts w:ascii="Arial" w:hAnsi="Arial" w:cs="Arial"/>
                <w:sz w:val="20"/>
              </w:rPr>
            </w:pPr>
            <w:r w:rsidRPr="00304864">
              <w:rPr>
                <w:rFonts w:ascii="Arial" w:hAnsi="Arial" w:cs="Arial"/>
                <w:sz w:val="20"/>
              </w:rPr>
              <w:t>Annually</w:t>
            </w:r>
          </w:p>
        </w:tc>
      </w:tr>
    </w:tbl>
    <w:p w:rsidR="00DF4E40" w:rsidRPr="00304864" w:rsidRDefault="00DF4E40">
      <w:pPr>
        <w:rPr>
          <w:rFonts w:ascii="Arial" w:hAnsi="Arial" w:cs="Arial"/>
          <w:sz w:val="22"/>
          <w:szCs w:val="22"/>
        </w:rPr>
      </w:pPr>
    </w:p>
    <w:p w:rsidR="004A0CC2" w:rsidRDefault="004A0CC2">
      <w:pPr>
        <w:pStyle w:val="Heading2"/>
        <w:sectPr w:rsidR="004A0CC2" w:rsidSect="00A961B0">
          <w:pgSz w:w="11906" w:h="16838"/>
          <w:pgMar w:top="1417" w:right="1134" w:bottom="1134" w:left="1134" w:header="601" w:footer="1077" w:gutter="0"/>
          <w:cols w:space="720"/>
          <w:docGrid w:linePitch="326"/>
        </w:sectPr>
      </w:pPr>
    </w:p>
    <w:p w:rsidR="00DF4E40" w:rsidRPr="00A30AEC" w:rsidRDefault="00DF4E40" w:rsidP="00A30AEC">
      <w:pPr>
        <w:pStyle w:val="Heading2"/>
        <w:spacing w:after="120"/>
        <w:rPr>
          <w:noProof/>
        </w:rPr>
      </w:pPr>
      <w:bookmarkStart w:id="125" w:name="_Toc420659248"/>
      <w:bookmarkStart w:id="126" w:name="_Toc420652503"/>
      <w:bookmarkStart w:id="127" w:name="_Toc421076855"/>
      <w:bookmarkEnd w:id="125"/>
      <w:r w:rsidRPr="00A30AEC">
        <w:rPr>
          <w:noProof/>
        </w:rPr>
        <w:t>2.A.7. Performance framework</w:t>
      </w:r>
      <w:bookmarkEnd w:id="126"/>
      <w:bookmarkEnd w:id="127"/>
    </w:p>
    <w:p w:rsidR="007875FA" w:rsidRPr="00A30AEC" w:rsidRDefault="007875FA">
      <w:pPr>
        <w:pStyle w:val="mStandard"/>
        <w:spacing w:before="0" w:after="120" w:line="240" w:lineRule="auto"/>
        <w:rPr>
          <w:rFonts w:cs="Arial"/>
          <w:b/>
          <w:lang w:val="en-US"/>
        </w:rPr>
      </w:pPr>
      <w:bookmarkStart w:id="128" w:name="_Toc384895370"/>
      <w:r w:rsidRPr="00A30AEC">
        <w:rPr>
          <w:szCs w:val="24"/>
          <w:lang w:val="en-US" w:eastAsia="it-IT"/>
        </w:rPr>
        <w:t>(Reference: point (b)(v) of Article 8(2) of the ETC Regulation and Annex II of the CPR)</w:t>
      </w:r>
    </w:p>
    <w:p w:rsidR="00DF4E40" w:rsidRPr="00587306" w:rsidRDefault="00DF4E40">
      <w:pPr>
        <w:pStyle w:val="mStandard"/>
        <w:spacing w:before="0" w:after="120" w:line="240" w:lineRule="auto"/>
        <w:rPr>
          <w:rFonts w:cs="Arial"/>
          <w:b/>
          <w:lang w:val="en-GB"/>
        </w:rPr>
      </w:pPr>
      <w:r w:rsidRPr="003E2F90">
        <w:rPr>
          <w:rFonts w:cs="Arial"/>
          <w:b/>
          <w:lang w:val="en-GB"/>
        </w:rPr>
        <w:t>Table 5: Performance framework of the priority axis</w:t>
      </w:r>
      <w:bookmarkEnd w:id="128"/>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8"/>
        <w:gridCol w:w="2135"/>
        <w:gridCol w:w="1357"/>
        <w:gridCol w:w="2405"/>
        <w:gridCol w:w="1770"/>
        <w:gridCol w:w="1452"/>
        <w:gridCol w:w="1244"/>
        <w:gridCol w:w="1440"/>
        <w:gridCol w:w="1784"/>
      </w:tblGrid>
      <w:tr w:rsidR="00AD02BA" w:rsidRPr="00304864" w:rsidTr="00C558E2">
        <w:trPr>
          <w:trHeight w:val="1758"/>
          <w:jc w:val="center"/>
        </w:trPr>
        <w:tc>
          <w:tcPr>
            <w:tcW w:w="424"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Priority axis</w:t>
            </w:r>
          </w:p>
        </w:tc>
        <w:tc>
          <w:tcPr>
            <w:tcW w:w="719"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Indicator Type (key implementation step, financial, output or, where appropriate, result indicator)</w:t>
            </w:r>
          </w:p>
        </w:tc>
        <w:tc>
          <w:tcPr>
            <w:tcW w:w="457"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ID</w:t>
            </w:r>
          </w:p>
        </w:tc>
        <w:tc>
          <w:tcPr>
            <w:tcW w:w="810"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Indicator or key implementation step</w:t>
            </w:r>
          </w:p>
        </w:tc>
        <w:tc>
          <w:tcPr>
            <w:tcW w:w="596"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Measurement unit, where appropriate</w:t>
            </w:r>
          </w:p>
        </w:tc>
        <w:tc>
          <w:tcPr>
            <w:tcW w:w="489"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Milestone for 2018</w:t>
            </w:r>
          </w:p>
        </w:tc>
        <w:tc>
          <w:tcPr>
            <w:tcW w:w="419"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Final target (2023)</w:t>
            </w:r>
          </w:p>
        </w:tc>
        <w:tc>
          <w:tcPr>
            <w:tcW w:w="485"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Source of data</w:t>
            </w:r>
          </w:p>
        </w:tc>
        <w:tc>
          <w:tcPr>
            <w:tcW w:w="601" w:type="pct"/>
            <w:shd w:val="clear" w:color="auto" w:fill="C6D9F1"/>
            <w:vAlign w:val="center"/>
          </w:tcPr>
          <w:p w:rsidR="00DF4E40" w:rsidRPr="00304864" w:rsidRDefault="00DF4E40">
            <w:pPr>
              <w:jc w:val="center"/>
              <w:rPr>
                <w:rFonts w:ascii="Arial" w:hAnsi="Arial" w:cs="Arial"/>
                <w:b/>
                <w:sz w:val="20"/>
                <w:lang w:eastAsia="de-DE"/>
              </w:rPr>
            </w:pPr>
            <w:r w:rsidRPr="00304864">
              <w:rPr>
                <w:rFonts w:ascii="Arial" w:hAnsi="Arial" w:cs="Arial"/>
                <w:b/>
                <w:sz w:val="20"/>
              </w:rPr>
              <w:t>Explanation of the relevance of the indicator, where appropriate</w:t>
            </w:r>
          </w:p>
        </w:tc>
      </w:tr>
      <w:tr w:rsidR="00DF4E40" w:rsidRPr="00304864" w:rsidTr="00C558E2">
        <w:trPr>
          <w:trHeight w:val="64"/>
          <w:jc w:val="center"/>
        </w:trPr>
        <w:tc>
          <w:tcPr>
            <w:tcW w:w="424"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1</w:t>
            </w:r>
          </w:p>
        </w:tc>
        <w:tc>
          <w:tcPr>
            <w:tcW w:w="719" w:type="pct"/>
            <w:vAlign w:val="center"/>
          </w:tcPr>
          <w:p w:rsidR="00DF4E40" w:rsidRPr="00304864" w:rsidRDefault="00DF4E40" w:rsidP="00A30AEC">
            <w:pPr>
              <w:pStyle w:val="Text1"/>
              <w:ind w:left="0"/>
              <w:jc w:val="center"/>
              <w:rPr>
                <w:rFonts w:ascii="Arial" w:hAnsi="Arial" w:cs="Arial"/>
                <w:i/>
                <w:sz w:val="20"/>
                <w:lang w:eastAsia="de-DE"/>
              </w:rPr>
            </w:pPr>
            <w:r w:rsidRPr="00304864">
              <w:rPr>
                <w:rFonts w:ascii="Arial" w:hAnsi="Arial" w:cs="Arial"/>
                <w:sz w:val="20"/>
              </w:rPr>
              <w:t>Financial</w:t>
            </w:r>
          </w:p>
        </w:tc>
        <w:tc>
          <w:tcPr>
            <w:tcW w:w="457" w:type="pct"/>
            <w:vAlign w:val="center"/>
          </w:tcPr>
          <w:p w:rsidR="00DF4E40" w:rsidRPr="00304864" w:rsidRDefault="00DF4E40" w:rsidP="00A30AEC">
            <w:pPr>
              <w:pStyle w:val="Text1"/>
              <w:ind w:left="0"/>
              <w:jc w:val="center"/>
              <w:rPr>
                <w:rFonts w:ascii="Arial" w:hAnsi="Arial" w:cs="Arial"/>
                <w:sz w:val="20"/>
                <w:lang w:eastAsia="de-DE"/>
              </w:rPr>
            </w:pPr>
          </w:p>
        </w:tc>
        <w:tc>
          <w:tcPr>
            <w:tcW w:w="810"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Financial</w:t>
            </w:r>
          </w:p>
        </w:tc>
        <w:tc>
          <w:tcPr>
            <w:tcW w:w="596"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EUR</w:t>
            </w:r>
          </w:p>
        </w:tc>
        <w:tc>
          <w:tcPr>
            <w:tcW w:w="489" w:type="pct"/>
            <w:vAlign w:val="center"/>
          </w:tcPr>
          <w:p w:rsidR="00DF4E40" w:rsidRPr="00C558E2" w:rsidRDefault="00B0751E" w:rsidP="00F374B3">
            <w:pPr>
              <w:jc w:val="center"/>
              <w:rPr>
                <w:sz w:val="20"/>
              </w:rPr>
            </w:pPr>
            <w:r w:rsidRPr="00A47C14">
              <w:rPr>
                <w:rFonts w:ascii="Arial" w:hAnsi="Arial" w:cs="Arial"/>
                <w:sz w:val="20"/>
              </w:rPr>
              <w:t>1</w:t>
            </w:r>
            <w:r w:rsidR="00C558E2">
              <w:rPr>
                <w:rFonts w:ascii="Arial" w:hAnsi="Arial" w:cs="Arial"/>
                <w:sz w:val="20"/>
              </w:rPr>
              <w:t>.</w:t>
            </w:r>
            <w:r w:rsidRPr="00A47C14">
              <w:rPr>
                <w:rFonts w:ascii="Arial" w:hAnsi="Arial" w:cs="Arial"/>
                <w:sz w:val="20"/>
              </w:rPr>
              <w:t>969.16</w:t>
            </w:r>
            <w:r w:rsidR="00A2720B" w:rsidRPr="00A47C14">
              <w:rPr>
                <w:rFonts w:ascii="Arial" w:hAnsi="Arial" w:cs="Arial"/>
                <w:sz w:val="20"/>
              </w:rPr>
              <w:t>6</w:t>
            </w:r>
          </w:p>
        </w:tc>
        <w:tc>
          <w:tcPr>
            <w:tcW w:w="419" w:type="pct"/>
            <w:vAlign w:val="center"/>
          </w:tcPr>
          <w:p w:rsidR="00DF4E40" w:rsidRPr="00A47C14" w:rsidRDefault="00F374B3" w:rsidP="00A30AEC">
            <w:pPr>
              <w:pStyle w:val="Text1"/>
              <w:ind w:left="0"/>
              <w:jc w:val="center"/>
              <w:rPr>
                <w:rFonts w:ascii="Arial" w:hAnsi="Arial" w:cs="Arial"/>
                <w:sz w:val="20"/>
                <w:lang w:eastAsia="de-DE"/>
              </w:rPr>
            </w:pPr>
            <w:r w:rsidRPr="00C558E2">
              <w:rPr>
                <w:rFonts w:ascii="Arial" w:hAnsi="Arial" w:cs="Arial"/>
                <w:color w:val="000000"/>
                <w:sz w:val="20"/>
              </w:rPr>
              <w:t>19.691.65</w:t>
            </w:r>
            <w:r w:rsidR="00415612" w:rsidRPr="00C558E2">
              <w:rPr>
                <w:rFonts w:ascii="Arial" w:hAnsi="Arial" w:cs="Arial"/>
                <w:color w:val="000000"/>
                <w:sz w:val="20"/>
              </w:rPr>
              <w:t>8</w:t>
            </w:r>
          </w:p>
        </w:tc>
        <w:tc>
          <w:tcPr>
            <w:tcW w:w="48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Monitoring</w:t>
            </w:r>
          </w:p>
        </w:tc>
        <w:tc>
          <w:tcPr>
            <w:tcW w:w="601" w:type="pct"/>
            <w:vAlign w:val="center"/>
          </w:tcPr>
          <w:p w:rsidR="00DF4E40" w:rsidRPr="00304864" w:rsidRDefault="00DF4E40" w:rsidP="00A30AEC">
            <w:pPr>
              <w:jc w:val="center"/>
              <w:rPr>
                <w:rFonts w:ascii="Arial" w:hAnsi="Arial" w:cs="Arial"/>
                <w:sz w:val="20"/>
                <w:lang w:eastAsia="de-DE"/>
              </w:rPr>
            </w:pPr>
          </w:p>
        </w:tc>
      </w:tr>
      <w:tr w:rsidR="00DF4E40" w:rsidRPr="00304864" w:rsidTr="008F7B62">
        <w:trPr>
          <w:trHeight w:val="320"/>
          <w:jc w:val="center"/>
        </w:trPr>
        <w:tc>
          <w:tcPr>
            <w:tcW w:w="424"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1</w:t>
            </w:r>
          </w:p>
        </w:tc>
        <w:tc>
          <w:tcPr>
            <w:tcW w:w="719"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Output</w:t>
            </w:r>
          </w:p>
        </w:tc>
        <w:tc>
          <w:tcPr>
            <w:tcW w:w="457"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OI_1b.1_2</w:t>
            </w:r>
          </w:p>
        </w:tc>
        <w:tc>
          <w:tcPr>
            <w:tcW w:w="810" w:type="pct"/>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Number of strategies and action plans developed by transnational innovation networks and clusters</w:t>
            </w:r>
          </w:p>
        </w:tc>
        <w:tc>
          <w:tcPr>
            <w:tcW w:w="596"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Number</w:t>
            </w:r>
          </w:p>
        </w:tc>
        <w:tc>
          <w:tcPr>
            <w:tcW w:w="489"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lang w:eastAsia="de-DE"/>
              </w:rPr>
              <w:t>2</w:t>
            </w:r>
          </w:p>
        </w:tc>
        <w:tc>
          <w:tcPr>
            <w:tcW w:w="419"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lang w:eastAsia="de-DE"/>
              </w:rPr>
              <w:t>12</w:t>
            </w:r>
          </w:p>
        </w:tc>
        <w:tc>
          <w:tcPr>
            <w:tcW w:w="48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Monitoring/Project progress reports</w:t>
            </w:r>
          </w:p>
        </w:tc>
        <w:tc>
          <w:tcPr>
            <w:tcW w:w="601" w:type="pct"/>
            <w:vAlign w:val="center"/>
          </w:tcPr>
          <w:p w:rsidR="00DF4E40" w:rsidRPr="00304864" w:rsidRDefault="00DF4E40" w:rsidP="00A30AEC">
            <w:pPr>
              <w:pStyle w:val="Text1"/>
              <w:ind w:left="0"/>
              <w:jc w:val="center"/>
              <w:rPr>
                <w:rFonts w:ascii="Arial" w:hAnsi="Arial" w:cs="Arial"/>
                <w:sz w:val="20"/>
                <w:lang w:eastAsia="de-DE"/>
              </w:rPr>
            </w:pPr>
          </w:p>
        </w:tc>
      </w:tr>
    </w:tbl>
    <w:p w:rsidR="00DF4E40" w:rsidRPr="00304864" w:rsidRDefault="00DF4E40">
      <w:pPr>
        <w:rPr>
          <w:rFonts w:ascii="Arial" w:hAnsi="Arial" w:cs="Arial"/>
          <w:sz w:val="22"/>
          <w:szCs w:val="22"/>
          <w:lang w:eastAsia="de-DE"/>
        </w:rPr>
      </w:pPr>
    </w:p>
    <w:p w:rsidR="00F92654" w:rsidRDefault="00F92654">
      <w:pPr>
        <w:rPr>
          <w:rFonts w:ascii="Arial" w:hAnsi="Arial" w:cs="Arial"/>
          <w:sz w:val="22"/>
          <w:szCs w:val="22"/>
        </w:rPr>
        <w:sectPr w:rsidR="00F92654" w:rsidSect="00A961B0">
          <w:pgSz w:w="16838" w:h="11906" w:orient="landscape"/>
          <w:pgMar w:top="1417" w:right="1134" w:bottom="1134" w:left="1134" w:header="601" w:footer="1077" w:gutter="0"/>
          <w:cols w:space="720"/>
          <w:docGrid w:linePitch="326"/>
        </w:sectPr>
      </w:pPr>
    </w:p>
    <w:p w:rsidR="00DF4E40" w:rsidRPr="00A30AEC" w:rsidRDefault="00DF4E40">
      <w:pPr>
        <w:pStyle w:val="Heading3"/>
        <w:spacing w:before="0" w:after="120"/>
        <w:ind w:left="0"/>
        <w:rPr>
          <w:rFonts w:ascii="Arial" w:hAnsi="Arial" w:cs="Arial"/>
          <w:b w:val="0"/>
          <w:color w:val="002060"/>
          <w:sz w:val="22"/>
          <w:szCs w:val="22"/>
        </w:rPr>
      </w:pPr>
      <w:bookmarkStart w:id="129" w:name="_Toc420652504"/>
      <w:bookmarkStart w:id="130" w:name="_Toc421076856"/>
      <w:r w:rsidRPr="00A30AEC">
        <w:rPr>
          <w:rFonts w:ascii="Arial" w:hAnsi="Arial" w:cs="Arial"/>
          <w:b w:val="0"/>
          <w:color w:val="002060"/>
          <w:sz w:val="22"/>
          <w:szCs w:val="22"/>
        </w:rPr>
        <w:t>2.A.1. Priority Axis 2</w:t>
      </w:r>
      <w:bookmarkEnd w:id="129"/>
      <w:bookmarkEnd w:id="130"/>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8221"/>
      </w:tblGrid>
      <w:tr w:rsidR="00DA3B3A" w:rsidRPr="00DA3B3A" w:rsidTr="00AD02BA">
        <w:trPr>
          <w:trHeight w:val="408"/>
        </w:trPr>
        <w:tc>
          <w:tcPr>
            <w:tcW w:w="1135"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ID</w:t>
            </w:r>
          </w:p>
        </w:tc>
        <w:tc>
          <w:tcPr>
            <w:tcW w:w="8221"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PRIORITY AXIS 2</w:t>
            </w:r>
          </w:p>
        </w:tc>
      </w:tr>
      <w:tr w:rsidR="00DF4E40" w:rsidRPr="00304864" w:rsidTr="00E30640">
        <w:tc>
          <w:tcPr>
            <w:tcW w:w="1135" w:type="dxa"/>
            <w:shd w:val="clear" w:color="auto" w:fill="FFFFFF"/>
          </w:tcPr>
          <w:p w:rsidR="00DF4E40" w:rsidRPr="00304864" w:rsidRDefault="00DF4E40">
            <w:pPr>
              <w:rPr>
                <w:rFonts w:ascii="Arial" w:hAnsi="Arial" w:cs="Arial"/>
                <w:b/>
                <w:szCs w:val="22"/>
              </w:rPr>
            </w:pPr>
            <w:r w:rsidRPr="00304864">
              <w:rPr>
                <w:rFonts w:ascii="Arial" w:hAnsi="Arial" w:cs="Arial"/>
                <w:b/>
                <w:sz w:val="22"/>
                <w:szCs w:val="22"/>
              </w:rPr>
              <w:t>Title</w:t>
            </w:r>
          </w:p>
        </w:tc>
        <w:tc>
          <w:tcPr>
            <w:tcW w:w="8221" w:type="dxa"/>
            <w:shd w:val="clear" w:color="auto" w:fill="FFFFFF"/>
          </w:tcPr>
          <w:p w:rsidR="00DF4E40" w:rsidRPr="00304864" w:rsidRDefault="00DF4E40">
            <w:pPr>
              <w:rPr>
                <w:rFonts w:ascii="Arial" w:hAnsi="Arial" w:cs="Arial"/>
                <w:b/>
                <w:szCs w:val="22"/>
              </w:rPr>
            </w:pPr>
            <w:r w:rsidRPr="00304864">
              <w:rPr>
                <w:rFonts w:ascii="Arial" w:hAnsi="Arial" w:cs="Arial"/>
                <w:b/>
                <w:sz w:val="22"/>
                <w:szCs w:val="22"/>
              </w:rPr>
              <w:t>Sustainable Region</w:t>
            </w:r>
          </w:p>
        </w:tc>
      </w:tr>
    </w:tbl>
    <w:p w:rsidR="00DF4E40" w:rsidRPr="00304864" w:rsidRDefault="00DF4E40">
      <w:pPr>
        <w:rPr>
          <w:rFonts w:ascii="Arial" w:hAnsi="Arial" w:cs="Arial"/>
          <w:sz w:val="22"/>
          <w:szCs w:val="22"/>
        </w:rPr>
      </w:pP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solely through financial instruments</w:t>
      </w: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solely through financial instruments set up at Union level</w:t>
      </w: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through community-led local development</w:t>
      </w:r>
    </w:p>
    <w:p w:rsidR="00DF4E40" w:rsidRPr="00304864" w:rsidRDefault="00DF4E40">
      <w:pPr>
        <w:pStyle w:val="Text3"/>
        <w:ind w:left="0"/>
        <w:rPr>
          <w:rFonts w:ascii="Arial" w:hAnsi="Arial" w:cs="Arial"/>
          <w:sz w:val="22"/>
          <w:szCs w:val="22"/>
          <w:lang w:eastAsia="fr-BE"/>
        </w:rPr>
      </w:pPr>
    </w:p>
    <w:p w:rsidR="00DF4E40" w:rsidRPr="00304864" w:rsidRDefault="00DF4E40">
      <w:pPr>
        <w:pStyle w:val="Text3"/>
        <w:ind w:left="0"/>
        <w:rPr>
          <w:rFonts w:ascii="Arial" w:hAnsi="Arial" w:cs="Arial"/>
          <w:sz w:val="22"/>
          <w:szCs w:val="22"/>
          <w:lang w:eastAsia="fr-BE"/>
        </w:rPr>
      </w:pPr>
    </w:p>
    <w:p w:rsidR="00DF4E40" w:rsidRPr="00A30AEC" w:rsidRDefault="00DF4E40">
      <w:pPr>
        <w:pStyle w:val="Heading3"/>
        <w:spacing w:before="0" w:after="120"/>
        <w:ind w:left="0"/>
        <w:rPr>
          <w:rFonts w:ascii="Arial" w:hAnsi="Arial" w:cs="Arial"/>
          <w:b w:val="0"/>
          <w:color w:val="002060"/>
          <w:sz w:val="22"/>
          <w:szCs w:val="22"/>
        </w:rPr>
      </w:pPr>
      <w:bookmarkStart w:id="131" w:name="_Toc420652505"/>
      <w:bookmarkStart w:id="132" w:name="_Toc421076857"/>
      <w:r w:rsidRPr="00A30AEC">
        <w:rPr>
          <w:rFonts w:ascii="Arial" w:hAnsi="Arial" w:cs="Arial"/>
          <w:b w:val="0"/>
          <w:color w:val="002060"/>
          <w:sz w:val="22"/>
          <w:szCs w:val="22"/>
        </w:rPr>
        <w:t>2.A.2. Justification for the establishment of a priority axis covering more than one thematic objective</w:t>
      </w:r>
      <w:bookmarkEnd w:id="131"/>
      <w:bookmarkEnd w:id="132"/>
    </w:p>
    <w:p w:rsidR="007875FA" w:rsidRPr="00A30AEC" w:rsidRDefault="007875FA">
      <w:pPr>
        <w:rPr>
          <w:rFonts w:ascii="Arial" w:hAnsi="Arial" w:cs="Arial"/>
          <w:sz w:val="22"/>
          <w:szCs w:val="22"/>
          <w:lang w:val="en-US"/>
        </w:rPr>
      </w:pPr>
      <w:r w:rsidRPr="00A30AEC">
        <w:rPr>
          <w:rFonts w:ascii="Arial" w:hAnsi="Arial" w:cs="Arial"/>
          <w:sz w:val="22"/>
          <w:szCs w:val="22"/>
          <w:lang w:val="en-US" w:eastAsia="it-IT"/>
        </w:rPr>
        <w:t>(Reference: Article 8(1) of the ETC Regulation)</w:t>
      </w:r>
    </w:p>
    <w:p w:rsidR="00DF4E40" w:rsidRPr="00304864" w:rsidRDefault="00DF4E40">
      <w:pPr>
        <w:pStyle w:val="Text3"/>
        <w:ind w:left="0"/>
        <w:rPr>
          <w:rFonts w:ascii="Arial" w:hAnsi="Arial" w:cs="Arial"/>
          <w:i/>
          <w:sz w:val="22"/>
          <w:szCs w:val="22"/>
          <w:lang w:eastAsia="fr-BE"/>
        </w:rPr>
      </w:pPr>
      <w:r w:rsidRPr="00304864">
        <w:rPr>
          <w:rFonts w:ascii="Arial" w:hAnsi="Arial" w:cs="Arial"/>
          <w:i/>
          <w:sz w:val="22"/>
          <w:szCs w:val="22"/>
          <w:lang w:eastAsia="fr-BE"/>
        </w:rPr>
        <w:t>Not applicable</w:t>
      </w:r>
    </w:p>
    <w:p w:rsidR="00DF4E40" w:rsidRPr="00304864" w:rsidRDefault="00DF4E40">
      <w:pPr>
        <w:pStyle w:val="Text3"/>
        <w:ind w:left="0"/>
        <w:rPr>
          <w:rFonts w:ascii="Arial" w:hAnsi="Arial" w:cs="Arial"/>
          <w:sz w:val="22"/>
          <w:szCs w:val="22"/>
          <w:lang w:eastAsia="fr-BE"/>
        </w:rPr>
      </w:pPr>
    </w:p>
    <w:p w:rsidR="00DF4E40" w:rsidRPr="00304864" w:rsidRDefault="00DF4E40">
      <w:pPr>
        <w:pStyle w:val="Text3"/>
        <w:ind w:left="0"/>
        <w:rPr>
          <w:rFonts w:ascii="Arial" w:hAnsi="Arial" w:cs="Arial"/>
          <w:sz w:val="22"/>
          <w:szCs w:val="22"/>
          <w:lang w:eastAsia="fr-BE"/>
        </w:rPr>
      </w:pPr>
    </w:p>
    <w:p w:rsidR="00DF4E40" w:rsidRPr="00A30AEC" w:rsidRDefault="00DF4E40">
      <w:pPr>
        <w:pStyle w:val="Heading3"/>
        <w:spacing w:before="0" w:after="120"/>
        <w:ind w:left="0"/>
        <w:rPr>
          <w:rFonts w:ascii="Arial" w:hAnsi="Arial" w:cs="Arial"/>
          <w:b w:val="0"/>
          <w:color w:val="002060"/>
          <w:sz w:val="22"/>
          <w:szCs w:val="22"/>
        </w:rPr>
      </w:pPr>
      <w:bookmarkStart w:id="133" w:name="_Toc420652506"/>
      <w:bookmarkStart w:id="134" w:name="_Toc421076858"/>
      <w:r w:rsidRPr="00A30AEC">
        <w:rPr>
          <w:rFonts w:ascii="Arial" w:hAnsi="Arial" w:cs="Arial"/>
          <w:b w:val="0"/>
          <w:color w:val="002060"/>
          <w:sz w:val="22"/>
          <w:szCs w:val="22"/>
        </w:rPr>
        <w:t>2.A.3. Fund and calculation basis for the Union support</w:t>
      </w:r>
      <w:bookmarkEnd w:id="133"/>
      <w:bookmarkEnd w:id="13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379"/>
      </w:tblGrid>
      <w:tr w:rsidR="00DF4E40" w:rsidRPr="00304864" w:rsidTr="00A30AEC">
        <w:tc>
          <w:tcPr>
            <w:tcW w:w="2943" w:type="dxa"/>
            <w:vAlign w:val="center"/>
          </w:tcPr>
          <w:p w:rsidR="00DF4E40" w:rsidRPr="00304864" w:rsidRDefault="00DF4E40">
            <w:pPr>
              <w:pStyle w:val="Text3"/>
              <w:ind w:left="0"/>
              <w:rPr>
                <w:rFonts w:ascii="Arial" w:hAnsi="Arial" w:cs="Arial"/>
                <w:b/>
                <w:szCs w:val="22"/>
                <w:lang w:eastAsia="fr-BE"/>
              </w:rPr>
            </w:pPr>
            <w:r w:rsidRPr="00304864">
              <w:rPr>
                <w:rFonts w:ascii="Arial" w:hAnsi="Arial" w:cs="Arial"/>
                <w:b/>
                <w:sz w:val="22"/>
                <w:szCs w:val="22"/>
                <w:lang w:eastAsia="fr-BE"/>
              </w:rPr>
              <w:t>Fund</w:t>
            </w:r>
          </w:p>
        </w:tc>
        <w:tc>
          <w:tcPr>
            <w:tcW w:w="6379" w:type="dxa"/>
            <w:vAlign w:val="center"/>
          </w:tcPr>
          <w:p w:rsidR="00DF4E40" w:rsidRPr="00304864" w:rsidRDefault="00DF4E40">
            <w:pPr>
              <w:pStyle w:val="Text3"/>
              <w:ind w:left="0"/>
              <w:jc w:val="center"/>
              <w:rPr>
                <w:rFonts w:ascii="Arial" w:hAnsi="Arial" w:cs="Arial"/>
                <w:b/>
                <w:szCs w:val="22"/>
                <w:lang w:eastAsia="fr-BE"/>
              </w:rPr>
            </w:pPr>
            <w:r w:rsidRPr="00304864">
              <w:rPr>
                <w:rFonts w:ascii="Arial" w:hAnsi="Arial" w:cs="Arial"/>
                <w:b/>
                <w:sz w:val="22"/>
                <w:szCs w:val="22"/>
                <w:lang w:eastAsia="fr-BE"/>
              </w:rPr>
              <w:t xml:space="preserve">ERDF+ IPA </w:t>
            </w:r>
          </w:p>
        </w:tc>
      </w:tr>
      <w:tr w:rsidR="00DF4E40" w:rsidRPr="00304864" w:rsidTr="00A30AEC">
        <w:tc>
          <w:tcPr>
            <w:tcW w:w="2943" w:type="dxa"/>
            <w:vAlign w:val="center"/>
          </w:tcPr>
          <w:p w:rsidR="00DF4E40" w:rsidRPr="00304864" w:rsidRDefault="00DF4E40">
            <w:pPr>
              <w:pStyle w:val="Text3"/>
              <w:ind w:left="0"/>
              <w:jc w:val="left"/>
              <w:rPr>
                <w:rFonts w:ascii="Arial" w:hAnsi="Arial" w:cs="Arial"/>
                <w:b/>
                <w:szCs w:val="22"/>
                <w:lang w:eastAsia="fr-BE"/>
              </w:rPr>
            </w:pPr>
            <w:r w:rsidRPr="00304864">
              <w:rPr>
                <w:rFonts w:ascii="Arial" w:hAnsi="Arial" w:cs="Arial"/>
                <w:b/>
                <w:sz w:val="22"/>
                <w:szCs w:val="22"/>
                <w:lang w:eastAsia="fr-BE"/>
              </w:rPr>
              <w:t xml:space="preserve">Calculation Basis </w:t>
            </w:r>
            <w:r w:rsidRPr="00304864">
              <w:rPr>
                <w:rFonts w:ascii="Arial" w:hAnsi="Arial" w:cs="Arial"/>
                <w:i/>
                <w:sz w:val="22"/>
                <w:szCs w:val="22"/>
                <w:lang w:eastAsia="fr-BE"/>
              </w:rPr>
              <w:t>(total eligible expenditure)</w:t>
            </w:r>
          </w:p>
        </w:tc>
        <w:tc>
          <w:tcPr>
            <w:tcW w:w="6379" w:type="dxa"/>
            <w:vAlign w:val="center"/>
          </w:tcPr>
          <w:p w:rsidR="00DF4E40" w:rsidRPr="00A30AEC" w:rsidRDefault="00DF4E40" w:rsidP="00A30AEC">
            <w:pPr>
              <w:jc w:val="center"/>
              <w:rPr>
                <w:i/>
                <w:lang w:eastAsia="fr-BE"/>
              </w:rPr>
            </w:pPr>
            <w:r w:rsidRPr="00A30AEC">
              <w:rPr>
                <w:rFonts w:ascii="Arial" w:hAnsi="Arial" w:cs="Arial"/>
                <w:color w:val="000000"/>
                <w:sz w:val="22"/>
                <w:szCs w:val="22"/>
              </w:rPr>
              <w:t>EUR 45.472.376</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Default="00914540">
      <w:pPr>
        <w:pStyle w:val="Heading3"/>
        <w:spacing w:before="0" w:after="120"/>
        <w:ind w:left="0"/>
        <w:rPr>
          <w:rFonts w:ascii="Arial" w:hAnsi="Arial" w:cs="Arial"/>
          <w:b w:val="0"/>
          <w:color w:val="002060"/>
          <w:sz w:val="22"/>
          <w:szCs w:val="22"/>
        </w:rPr>
      </w:pPr>
      <w:bookmarkStart w:id="135" w:name="_Toc420652507"/>
      <w:bookmarkStart w:id="136" w:name="_Toc421076859"/>
      <w:r>
        <w:rPr>
          <w:rFonts w:ascii="Arial" w:hAnsi="Arial" w:cs="Arial"/>
          <w:b w:val="0"/>
          <w:color w:val="002060"/>
          <w:sz w:val="22"/>
          <w:szCs w:val="22"/>
        </w:rPr>
        <w:t>2.A.4. Investment Priority 6</w:t>
      </w:r>
      <w:r w:rsidR="00DF4E40" w:rsidRPr="00A30AEC">
        <w:rPr>
          <w:rFonts w:ascii="Arial" w:hAnsi="Arial" w:cs="Arial"/>
          <w:b w:val="0"/>
          <w:color w:val="002060"/>
          <w:sz w:val="22"/>
          <w:szCs w:val="22"/>
        </w:rPr>
        <w:t>c</w:t>
      </w:r>
      <w:bookmarkEnd w:id="135"/>
      <w:bookmarkEnd w:id="136"/>
    </w:p>
    <w:p w:rsidR="007875FA" w:rsidRPr="00C71BD4" w:rsidRDefault="007875FA">
      <w:pPr>
        <w:pStyle w:val="Text3"/>
        <w:ind w:left="0"/>
        <w:rPr>
          <w:rFonts w:ascii="Arial" w:hAnsi="Arial" w:cs="Arial"/>
          <w:sz w:val="22"/>
          <w:szCs w:val="22"/>
          <w:lang w:eastAsia="fr-BE"/>
        </w:rPr>
      </w:pPr>
      <w:r w:rsidRPr="00A30AEC">
        <w:rPr>
          <w:rFonts w:ascii="Arial" w:hAnsi="Arial" w:cs="Arial"/>
          <w:sz w:val="22"/>
          <w:szCs w:val="22"/>
        </w:rPr>
        <w:t>(Reference: points (b)(i)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DA3B3A" w:rsidRPr="00DA3B3A" w:rsidTr="00AD02BA">
        <w:tc>
          <w:tcPr>
            <w:tcW w:w="9286"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INVESTMENT PRIORITY 6.c</w:t>
            </w:r>
          </w:p>
        </w:tc>
      </w:tr>
      <w:tr w:rsidR="00DF4E40" w:rsidRPr="00304864" w:rsidTr="00E30640">
        <w:tc>
          <w:tcPr>
            <w:tcW w:w="9286" w:type="dxa"/>
          </w:tcPr>
          <w:p w:rsidR="00DF4E40" w:rsidRPr="00304864" w:rsidRDefault="00DF4E40">
            <w:pPr>
              <w:jc w:val="left"/>
              <w:rPr>
                <w:rFonts w:ascii="Arial" w:hAnsi="Arial" w:cs="Arial"/>
                <w:b/>
                <w:color w:val="FFFFFF"/>
                <w:szCs w:val="22"/>
              </w:rPr>
            </w:pPr>
            <w:r w:rsidRPr="00304864">
              <w:rPr>
                <w:rFonts w:ascii="Arial" w:hAnsi="Arial" w:cs="Arial"/>
                <w:b/>
                <w:sz w:val="22"/>
                <w:szCs w:val="22"/>
              </w:rPr>
              <w:t>Conserving, protecting, promoting and developing natural and cultural heritage</w:t>
            </w:r>
          </w:p>
        </w:tc>
      </w:tr>
    </w:tbl>
    <w:p w:rsidR="00DF4E40" w:rsidRPr="00304864" w:rsidRDefault="00DF4E40">
      <w:pPr>
        <w:pStyle w:val="Heading3"/>
        <w:spacing w:before="0" w:after="120"/>
        <w:ind w:left="0"/>
        <w:rPr>
          <w:rFonts w:ascii="Arial" w:hAnsi="Arial" w:cs="Arial"/>
          <w:noProof w:val="0"/>
          <w:color w:val="002060"/>
          <w:sz w:val="22"/>
          <w:szCs w:val="22"/>
        </w:rPr>
      </w:pPr>
      <w:bookmarkStart w:id="137" w:name="_Toc377402554"/>
    </w:p>
    <w:p w:rsidR="00DF4E40" w:rsidRPr="00304864" w:rsidRDefault="00DF4E40">
      <w:pPr>
        <w:pStyle w:val="Heading3"/>
        <w:spacing w:before="0" w:after="120"/>
        <w:ind w:left="0"/>
        <w:rPr>
          <w:rFonts w:ascii="Arial" w:hAnsi="Arial" w:cs="Arial"/>
          <w:noProof w:val="0"/>
          <w:color w:val="002060"/>
          <w:sz w:val="22"/>
          <w:szCs w:val="22"/>
        </w:rPr>
      </w:pPr>
    </w:p>
    <w:p w:rsidR="00DF4E40" w:rsidRPr="00A30AEC" w:rsidRDefault="00DF4E40">
      <w:pPr>
        <w:pStyle w:val="Heading3"/>
        <w:spacing w:before="0" w:after="120"/>
        <w:ind w:left="0"/>
        <w:rPr>
          <w:rFonts w:ascii="Arial" w:hAnsi="Arial" w:cs="Arial"/>
          <w:b w:val="0"/>
          <w:color w:val="002060"/>
          <w:sz w:val="22"/>
          <w:szCs w:val="22"/>
        </w:rPr>
      </w:pPr>
      <w:bookmarkStart w:id="138" w:name="_Toc421076860"/>
      <w:bookmarkStart w:id="139" w:name="_Toc420652508"/>
      <w:r w:rsidRPr="00A30AEC">
        <w:rPr>
          <w:rFonts w:ascii="Arial" w:hAnsi="Arial" w:cs="Arial"/>
          <w:b w:val="0"/>
          <w:color w:val="002060"/>
          <w:sz w:val="22"/>
          <w:szCs w:val="22"/>
        </w:rPr>
        <w:t>2.A.5.</w:t>
      </w:r>
      <w:r w:rsidR="00515B42" w:rsidRPr="002B7D4C">
        <w:rPr>
          <w:rFonts w:ascii="Arial" w:hAnsi="Arial" w:cs="Arial"/>
          <w:b w:val="0"/>
          <w:color w:val="002060"/>
          <w:sz w:val="22"/>
          <w:szCs w:val="22"/>
        </w:rPr>
        <w:t xml:space="preserve">Specific objective </w:t>
      </w:r>
      <w:r w:rsidR="00515B42" w:rsidRPr="00A30AEC">
        <w:rPr>
          <w:rFonts w:ascii="Arial" w:hAnsi="Arial" w:cs="Arial"/>
          <w:b w:val="0"/>
          <w:color w:val="002060"/>
          <w:sz w:val="22"/>
          <w:szCs w:val="22"/>
        </w:rPr>
        <w:t>corresponding to the investment priority and expected results</w:t>
      </w:r>
      <w:bookmarkEnd w:id="137"/>
      <w:bookmarkEnd w:id="138"/>
      <w:bookmarkEnd w:id="139"/>
    </w:p>
    <w:p w:rsidR="00DF4E40" w:rsidRPr="00C71BD4" w:rsidRDefault="00DF4E40">
      <w:pPr>
        <w:pStyle w:val="Text3"/>
        <w:ind w:left="0"/>
        <w:rPr>
          <w:rFonts w:ascii="Arial" w:hAnsi="Arial" w:cs="Arial"/>
          <w:sz w:val="22"/>
          <w:szCs w:val="22"/>
          <w:lang w:eastAsia="fr-BE"/>
        </w:rPr>
      </w:pPr>
      <w:r w:rsidRPr="00A30AEC">
        <w:rPr>
          <w:rFonts w:ascii="Arial" w:hAnsi="Arial" w:cs="Arial"/>
          <w:sz w:val="22"/>
          <w:szCs w:val="22"/>
        </w:rPr>
        <w:t>(Reference: points (b)(i) and (ii)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1"/>
      </w:tblGrid>
      <w:tr w:rsidR="00DA3B3A" w:rsidRPr="00DA3B3A" w:rsidTr="00AD02BA">
        <w:tc>
          <w:tcPr>
            <w:tcW w:w="2235" w:type="dxa"/>
            <w:shd w:val="clear" w:color="auto" w:fill="C6D9F1"/>
          </w:tcPr>
          <w:p w:rsidR="00DF4E40" w:rsidRPr="00DA3B3A" w:rsidRDefault="00DF4E40">
            <w:pPr>
              <w:jc w:val="left"/>
              <w:rPr>
                <w:rFonts w:ascii="Arial" w:hAnsi="Arial" w:cs="Arial"/>
                <w:b/>
                <w:szCs w:val="22"/>
              </w:rPr>
            </w:pPr>
            <w:r w:rsidRPr="00DA3B3A">
              <w:rPr>
                <w:rFonts w:ascii="Arial" w:hAnsi="Arial" w:cs="Arial"/>
                <w:b/>
                <w:sz w:val="22"/>
                <w:szCs w:val="22"/>
              </w:rPr>
              <w:t>ID</w:t>
            </w:r>
          </w:p>
        </w:tc>
        <w:tc>
          <w:tcPr>
            <w:tcW w:w="7051" w:type="dxa"/>
            <w:shd w:val="clear" w:color="auto" w:fill="C6D9F1"/>
          </w:tcPr>
          <w:p w:rsidR="00DF4E40" w:rsidRPr="00DA3B3A" w:rsidRDefault="00DF4E40">
            <w:pPr>
              <w:jc w:val="left"/>
              <w:rPr>
                <w:rFonts w:ascii="Arial" w:hAnsi="Arial" w:cs="Arial"/>
                <w:b/>
                <w:szCs w:val="22"/>
              </w:rPr>
            </w:pPr>
            <w:r w:rsidRPr="00DA3B3A">
              <w:rPr>
                <w:rFonts w:ascii="Arial" w:hAnsi="Arial" w:cs="Arial"/>
                <w:b/>
                <w:sz w:val="22"/>
                <w:szCs w:val="22"/>
              </w:rPr>
              <w:t>2.1</w:t>
            </w:r>
          </w:p>
        </w:tc>
      </w:tr>
      <w:tr w:rsidR="00DF4E40" w:rsidRPr="00304864" w:rsidTr="00666EA2">
        <w:tc>
          <w:tcPr>
            <w:tcW w:w="2235" w:type="dxa"/>
          </w:tcPr>
          <w:p w:rsidR="00DF4E40" w:rsidRPr="00304864" w:rsidRDefault="00DF4E40">
            <w:pPr>
              <w:jc w:val="left"/>
              <w:rPr>
                <w:rFonts w:ascii="Arial" w:hAnsi="Arial" w:cs="Arial"/>
                <w:b/>
                <w:szCs w:val="22"/>
              </w:rPr>
            </w:pPr>
            <w:r w:rsidRPr="00304864">
              <w:rPr>
                <w:rFonts w:ascii="Arial" w:hAnsi="Arial" w:cs="Arial"/>
                <w:b/>
                <w:sz w:val="22"/>
                <w:szCs w:val="22"/>
              </w:rPr>
              <w:t>Specific Objective</w:t>
            </w:r>
          </w:p>
        </w:tc>
        <w:tc>
          <w:tcPr>
            <w:tcW w:w="7051" w:type="dxa"/>
          </w:tcPr>
          <w:p w:rsidR="00DF4E40" w:rsidRPr="00304864" w:rsidRDefault="00DF4E40">
            <w:pPr>
              <w:jc w:val="left"/>
              <w:rPr>
                <w:rFonts w:ascii="Arial" w:hAnsi="Arial" w:cs="Arial"/>
                <w:szCs w:val="22"/>
              </w:rPr>
            </w:pPr>
            <w:r w:rsidRPr="00304864">
              <w:rPr>
                <w:rFonts w:ascii="Arial" w:hAnsi="Arial" w:cs="Arial"/>
                <w:b/>
                <w:sz w:val="22"/>
                <w:szCs w:val="22"/>
              </w:rPr>
              <w:t>Promote the sustainable valorisation and preservation of natural and cultural heritage as growth assets in the ADRION area</w:t>
            </w:r>
          </w:p>
        </w:tc>
      </w:tr>
      <w:tr w:rsidR="00DF4E40" w:rsidRPr="00304864" w:rsidTr="00B172D7">
        <w:tc>
          <w:tcPr>
            <w:tcW w:w="2235" w:type="dxa"/>
          </w:tcPr>
          <w:p w:rsidR="00DF4E40" w:rsidRPr="00304864" w:rsidRDefault="00DF4E40">
            <w:pPr>
              <w:rPr>
                <w:rFonts w:ascii="Arial" w:hAnsi="Arial" w:cs="Arial"/>
                <w:b/>
                <w:szCs w:val="22"/>
              </w:rPr>
            </w:pPr>
            <w:r w:rsidRPr="00304864">
              <w:rPr>
                <w:rFonts w:ascii="Arial" w:hAnsi="Arial" w:cs="Arial"/>
                <w:b/>
                <w:sz w:val="22"/>
                <w:szCs w:val="22"/>
              </w:rPr>
              <w:t>Expected results</w:t>
            </w:r>
          </w:p>
          <w:p w:rsidR="00DF4E40" w:rsidRPr="00304864" w:rsidRDefault="00DF4E40">
            <w:pPr>
              <w:rPr>
                <w:rFonts w:ascii="Arial" w:hAnsi="Arial" w:cs="Arial"/>
                <w:szCs w:val="22"/>
              </w:rPr>
            </w:pPr>
            <w:r w:rsidRPr="00304864">
              <w:rPr>
                <w:rFonts w:ascii="Arial" w:hAnsi="Arial" w:cs="Arial"/>
                <w:i/>
                <w:sz w:val="22"/>
                <w:szCs w:val="22"/>
              </w:rPr>
              <w:t>3500 char. max</w:t>
            </w:r>
            <w:r w:rsidRPr="00304864">
              <w:rPr>
                <w:rFonts w:ascii="Arial" w:hAnsi="Arial" w:cs="Arial"/>
                <w:sz w:val="22"/>
                <w:szCs w:val="22"/>
              </w:rPr>
              <w:t>.</w:t>
            </w:r>
          </w:p>
        </w:tc>
        <w:tc>
          <w:tcPr>
            <w:tcW w:w="7051" w:type="dxa"/>
          </w:tcPr>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 xml:space="preserve">The ADRION area combines the heritage of some of the brightest civilisations of history and boasts a diverse setting of landscapes and natural elements (Adriatic, Ionian and Aegean Seas, Alps, islands, Danube plain etc.). The combination of the rich cultural and natural diversity makes the area unique and a globally attractive place. </w:t>
            </w:r>
          </w:p>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 xml:space="preserve">The right balance between conservation/protection and advancement is one of the main challenges. Nature and cultural heritage is a major component of the area’s tourism assets. The UN World Tourism Organisation research demonstrates that interest in the environment, culture and heritage is a primary motivation for more than 50% of travels. Therefore, mobilising the cultural landscape and the richness of nature is key for creating a distinct Programme area “brand name”. </w:t>
            </w:r>
          </w:p>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The proper concept to this end is sustainable valorisation, in other words, integration of apparent or hidden resources (natural stocks, cultural habits, implicit knowledge, and existing qualifications) in the added value chain without jeopardizing or destroying the given natural, social and cultural capital.</w:t>
            </w:r>
          </w:p>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A pivotal element in this respect is tourism, since it is using the cultural and natural heritage as an output, it is one of the main, fast-growing economic activities and GDP contributor. However, its potential in the area is not fully exploited. Few tourism actors in the area adhere to a sustainable tourism model based on innovative, high-quality tourism products and services with light ecological footprint.</w:t>
            </w:r>
          </w:p>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Cultural and natural heritage in the area is at risk due to:</w:t>
            </w:r>
          </w:p>
          <w:p w:rsidR="00DF4E40" w:rsidRPr="00A30AEC" w:rsidRDefault="00DF4E40" w:rsidP="00A30AEC">
            <w:pPr>
              <w:pStyle w:val="Text4"/>
              <w:numPr>
                <w:ilvl w:val="0"/>
                <w:numId w:val="129"/>
              </w:numPr>
              <w:ind w:left="459"/>
              <w:rPr>
                <w:rFonts w:ascii="Arial" w:hAnsi="Arial" w:cs="Arial"/>
                <w:bCs/>
                <w:sz w:val="22"/>
                <w:szCs w:val="22"/>
              </w:rPr>
            </w:pPr>
            <w:r w:rsidRPr="00A30AEC">
              <w:rPr>
                <w:rFonts w:ascii="Arial" w:hAnsi="Arial" w:cs="Arial"/>
                <w:bCs/>
                <w:sz w:val="22"/>
                <w:szCs w:val="22"/>
              </w:rPr>
              <w:t>Increased human use especially of the coastal and marine space for recreation, housing, transport and fishing/aquacultures;</w:t>
            </w:r>
          </w:p>
          <w:p w:rsidR="00DF4E40" w:rsidRPr="00A30AEC" w:rsidRDefault="00DF4E40" w:rsidP="00A30AEC">
            <w:pPr>
              <w:pStyle w:val="Text4"/>
              <w:numPr>
                <w:ilvl w:val="0"/>
                <w:numId w:val="129"/>
              </w:numPr>
              <w:ind w:left="459"/>
              <w:rPr>
                <w:rFonts w:ascii="Arial" w:hAnsi="Arial" w:cs="Arial"/>
                <w:bCs/>
                <w:sz w:val="22"/>
                <w:szCs w:val="22"/>
              </w:rPr>
            </w:pPr>
            <w:r w:rsidRPr="00A30AEC">
              <w:rPr>
                <w:rFonts w:ascii="Arial" w:hAnsi="Arial" w:cs="Arial"/>
                <w:bCs/>
                <w:sz w:val="22"/>
                <w:szCs w:val="22"/>
              </w:rPr>
              <w:t>Unsustainable dominating tourism paradigms;</w:t>
            </w:r>
          </w:p>
          <w:p w:rsidR="00DF4E40" w:rsidRPr="00A30AEC" w:rsidRDefault="00DF4E40" w:rsidP="00A30AEC">
            <w:pPr>
              <w:pStyle w:val="Text4"/>
              <w:numPr>
                <w:ilvl w:val="0"/>
                <w:numId w:val="129"/>
              </w:numPr>
              <w:ind w:left="459"/>
              <w:rPr>
                <w:rFonts w:ascii="Arial" w:hAnsi="Arial" w:cs="Arial"/>
                <w:bCs/>
                <w:sz w:val="22"/>
                <w:szCs w:val="22"/>
              </w:rPr>
            </w:pPr>
            <w:r w:rsidRPr="00A30AEC">
              <w:rPr>
                <w:rFonts w:ascii="Arial" w:hAnsi="Arial" w:cs="Arial"/>
                <w:bCs/>
                <w:sz w:val="22"/>
                <w:szCs w:val="22"/>
              </w:rPr>
              <w:t>Increased consumption of resources and energy by residents and visitors leading to emissions, waste, discharges etc. in a far greater load than the area can absorb;</w:t>
            </w:r>
          </w:p>
          <w:p w:rsidR="00DF4E40" w:rsidRPr="00A30AEC" w:rsidRDefault="00DF4E40" w:rsidP="00A30AEC">
            <w:pPr>
              <w:pStyle w:val="Text4"/>
              <w:numPr>
                <w:ilvl w:val="0"/>
                <w:numId w:val="129"/>
              </w:numPr>
              <w:ind w:left="459"/>
              <w:rPr>
                <w:rFonts w:ascii="Arial" w:hAnsi="Arial" w:cs="Arial"/>
                <w:bCs/>
                <w:sz w:val="22"/>
                <w:szCs w:val="22"/>
              </w:rPr>
            </w:pPr>
            <w:r w:rsidRPr="00A30AEC">
              <w:rPr>
                <w:rFonts w:ascii="Arial" w:hAnsi="Arial" w:cs="Arial"/>
                <w:bCs/>
                <w:sz w:val="22"/>
                <w:szCs w:val="22"/>
              </w:rPr>
              <w:t>Increasing urban sprawl land; and, last but not least,</w:t>
            </w:r>
          </w:p>
          <w:p w:rsidR="00DF4E40" w:rsidRPr="00A30AEC" w:rsidRDefault="00DF4E40" w:rsidP="00A30AEC">
            <w:pPr>
              <w:pStyle w:val="Text4"/>
              <w:numPr>
                <w:ilvl w:val="0"/>
                <w:numId w:val="129"/>
              </w:numPr>
              <w:ind w:left="459"/>
              <w:rPr>
                <w:rFonts w:ascii="Arial" w:hAnsi="Arial" w:cs="Arial"/>
                <w:bCs/>
                <w:sz w:val="22"/>
                <w:szCs w:val="22"/>
              </w:rPr>
            </w:pPr>
            <w:r w:rsidRPr="00A30AEC">
              <w:rPr>
                <w:rFonts w:ascii="Arial" w:hAnsi="Arial" w:cs="Arial"/>
                <w:bCs/>
                <w:sz w:val="22"/>
                <w:szCs w:val="22"/>
              </w:rPr>
              <w:t xml:space="preserve">Climate change impacts. </w:t>
            </w:r>
          </w:p>
          <w:p w:rsidR="00DF4E40" w:rsidRPr="00304864" w:rsidRDefault="00DF4E40">
            <w:pPr>
              <w:pStyle w:val="Text4"/>
              <w:ind w:left="0"/>
              <w:rPr>
                <w:rFonts w:ascii="Arial" w:hAnsi="Arial" w:cs="Arial"/>
                <w:b/>
                <w:szCs w:val="22"/>
                <w:lang w:eastAsia="fr-BE"/>
              </w:rPr>
            </w:pPr>
          </w:p>
          <w:p w:rsidR="00DF4E40" w:rsidRPr="00304864" w:rsidRDefault="00DF4E40">
            <w:pPr>
              <w:pStyle w:val="Text4"/>
              <w:ind w:left="0"/>
              <w:rPr>
                <w:rFonts w:ascii="Arial" w:hAnsi="Arial" w:cs="Arial"/>
                <w:szCs w:val="22"/>
                <w:lang w:eastAsia="fr-BE"/>
              </w:rPr>
            </w:pPr>
            <w:r w:rsidRPr="00304864">
              <w:rPr>
                <w:rFonts w:ascii="Arial" w:hAnsi="Arial" w:cs="Arial"/>
                <w:b/>
                <w:sz w:val="22"/>
                <w:szCs w:val="22"/>
                <w:lang w:eastAsia="fr-BE"/>
              </w:rPr>
              <w:t>The expected results are</w:t>
            </w:r>
            <w:r w:rsidRPr="00304864">
              <w:rPr>
                <w:rFonts w:ascii="Arial" w:hAnsi="Arial" w:cs="Arial"/>
                <w:sz w:val="22"/>
                <w:szCs w:val="22"/>
                <w:lang w:eastAsia="fr-BE"/>
              </w:rPr>
              <w:t>:</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Common</w:t>
            </w:r>
            <w:r w:rsidRPr="00587306">
              <w:rPr>
                <w:rFonts w:ascii="Arial" w:hAnsi="Arial" w:cs="Arial"/>
                <w:bCs/>
                <w:sz w:val="22"/>
                <w:szCs w:val="22"/>
              </w:rPr>
              <w:t xml:space="preserve"> understanding among ADRION </w:t>
            </w:r>
            <w:r w:rsidRPr="00A30AEC">
              <w:rPr>
                <w:rFonts w:ascii="Arial" w:hAnsi="Arial" w:cs="Arial"/>
                <w:bCs/>
                <w:sz w:val="22"/>
                <w:szCs w:val="22"/>
              </w:rPr>
              <w:t>Partner States on the potential fields of transnational cooperation in tourism and consensus-building on the content of sustainable valorisation and tourism under an ADRION brand;</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Enhancement of the compete</w:t>
            </w:r>
            <w:r w:rsidRPr="00587306">
              <w:rPr>
                <w:rFonts w:ascii="Arial" w:hAnsi="Arial" w:cs="Arial"/>
                <w:bCs/>
                <w:sz w:val="22"/>
                <w:szCs w:val="22"/>
              </w:rPr>
              <w:t>ncies/skills of relevant stakeholders parties in the fields of sustainable valorisation and tourism;</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Enhancement of the “body of knowledge” through transnational research, pilots, tools and experimentation;</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Development of a well-defined transnational ident</w:t>
            </w:r>
            <w:r w:rsidRPr="00587306">
              <w:rPr>
                <w:rFonts w:ascii="Arial" w:hAnsi="Arial" w:cs="Arial"/>
                <w:bCs/>
                <w:sz w:val="22"/>
                <w:szCs w:val="22"/>
              </w:rPr>
              <w:t>ity and raising awareness on common heritage in the Adriatic-Ionian area as an orientation framework for individual actions;</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Improved involvement of tourism stakeholders, visitors and the society for the development of jointly agreed utilisation approaches</w:t>
            </w:r>
            <w:r w:rsidRPr="00587306">
              <w:rPr>
                <w:rFonts w:ascii="Arial" w:hAnsi="Arial" w:cs="Arial"/>
                <w:bCs/>
                <w:sz w:val="22"/>
                <w:szCs w:val="22"/>
              </w:rPr>
              <w:t>;</w:t>
            </w:r>
          </w:p>
          <w:p w:rsidR="00DF4E40" w:rsidRPr="00A30AEC" w:rsidRDefault="00DF4E40" w:rsidP="00A30AEC">
            <w:pPr>
              <w:pStyle w:val="Text4"/>
              <w:numPr>
                <w:ilvl w:val="0"/>
                <w:numId w:val="129"/>
              </w:numPr>
              <w:ind w:left="459"/>
              <w:rPr>
                <w:rFonts w:ascii="Arial" w:hAnsi="Arial" w:cs="Arial"/>
                <w:bCs/>
                <w:sz w:val="22"/>
                <w:szCs w:val="22"/>
              </w:rPr>
            </w:pPr>
            <w:r w:rsidRPr="00304864">
              <w:rPr>
                <w:rFonts w:ascii="Arial" w:hAnsi="Arial" w:cs="Arial"/>
                <w:bCs/>
                <w:sz w:val="22"/>
                <w:szCs w:val="22"/>
              </w:rPr>
              <w:t>Preserved natural and cultural heritage and valorised within the Programme area brand name;</w:t>
            </w:r>
          </w:p>
          <w:p w:rsidR="00DF4E40" w:rsidRPr="00304864" w:rsidRDefault="00DF4E40" w:rsidP="00A30AEC">
            <w:pPr>
              <w:pStyle w:val="Text4"/>
              <w:numPr>
                <w:ilvl w:val="0"/>
                <w:numId w:val="129"/>
              </w:numPr>
              <w:ind w:left="459"/>
              <w:rPr>
                <w:rFonts w:ascii="Arial" w:hAnsi="Arial" w:cs="Arial"/>
                <w:szCs w:val="22"/>
              </w:rPr>
            </w:pPr>
            <w:r w:rsidRPr="00A30AEC">
              <w:rPr>
                <w:rFonts w:ascii="Arial" w:hAnsi="Arial" w:cs="Arial"/>
                <w:bCs/>
                <w:sz w:val="22"/>
                <w:szCs w:val="22"/>
              </w:rPr>
              <w:t>Diversification of tourism products along topic, season, target group and environmental and social impact.</w:t>
            </w:r>
          </w:p>
        </w:tc>
      </w:tr>
    </w:tbl>
    <w:p w:rsidR="00DF4E40" w:rsidRPr="00304864" w:rsidRDefault="00DF4E40" w:rsidP="00A30AEC">
      <w:pPr>
        <w:pStyle w:val="ListBullet"/>
        <w:numPr>
          <w:ilvl w:val="0"/>
          <w:numId w:val="0"/>
        </w:numPr>
        <w:ind w:left="567" w:hanging="283"/>
        <w:rPr>
          <w:rFonts w:ascii="Arial" w:hAnsi="Arial" w:cs="Arial"/>
          <w:sz w:val="22"/>
          <w:szCs w:val="22"/>
        </w:rPr>
      </w:pPr>
    </w:p>
    <w:p w:rsidR="00F92654" w:rsidRDefault="00F92654" w:rsidP="00A30AEC">
      <w:pPr>
        <w:pStyle w:val="ListBullet"/>
        <w:numPr>
          <w:ilvl w:val="0"/>
          <w:numId w:val="0"/>
        </w:numPr>
        <w:ind w:left="567" w:hanging="283"/>
        <w:rPr>
          <w:rFonts w:ascii="Arial" w:hAnsi="Arial" w:cs="Arial"/>
          <w:sz w:val="22"/>
          <w:szCs w:val="22"/>
        </w:rPr>
        <w:sectPr w:rsidR="00F92654" w:rsidSect="00A961B0">
          <w:pgSz w:w="11906" w:h="16838"/>
          <w:pgMar w:top="1417" w:right="1134" w:bottom="1134" w:left="1134" w:header="601" w:footer="1077" w:gutter="0"/>
          <w:cols w:space="720"/>
          <w:docGrid w:linePitch="326"/>
        </w:sectPr>
      </w:pPr>
    </w:p>
    <w:p w:rsidR="00DF4E40" w:rsidRPr="00304864" w:rsidRDefault="00DF4E40">
      <w:pPr>
        <w:rPr>
          <w:rFonts w:ascii="Arial" w:hAnsi="Arial" w:cs="Arial"/>
          <w:i/>
          <w:sz w:val="22"/>
          <w:szCs w:val="22"/>
        </w:rPr>
      </w:pPr>
      <w:r w:rsidRPr="00304864">
        <w:rPr>
          <w:rFonts w:ascii="Arial" w:hAnsi="Arial" w:cs="Arial"/>
          <w:b/>
          <w:sz w:val="22"/>
          <w:szCs w:val="22"/>
        </w:rPr>
        <w:t xml:space="preserve">Table 3: Programme specific result indicators </w:t>
      </w:r>
      <w:r w:rsidRPr="00304864">
        <w:rPr>
          <w:rFonts w:ascii="Arial" w:hAnsi="Arial" w:cs="Arial"/>
          <w:i/>
          <w:sz w:val="22"/>
          <w:szCs w:val="22"/>
        </w:rPr>
        <w:t>(by specific objective)</w:t>
      </w:r>
    </w:p>
    <w:p w:rsidR="00DF4E40" w:rsidRPr="00A30AEC" w:rsidRDefault="00DF4E40">
      <w:pPr>
        <w:rPr>
          <w:rFonts w:ascii="Arial" w:hAnsi="Arial" w:cs="Arial"/>
          <w:sz w:val="22"/>
          <w:szCs w:val="22"/>
        </w:rPr>
      </w:pPr>
      <w:r w:rsidRPr="00A30AEC">
        <w:rPr>
          <w:rFonts w:ascii="Arial" w:hAnsi="Arial" w:cs="Arial"/>
          <w:sz w:val="22"/>
          <w:szCs w:val="22"/>
        </w:rPr>
        <w:t>(Reference: point (b)(ii) of Article 8(2) of Regulation (EU) No 1299/2013)</w:t>
      </w:r>
    </w:p>
    <w:p w:rsidR="00DF4E40" w:rsidRPr="00304864" w:rsidRDefault="00DF4E40">
      <w:pPr>
        <w:rPr>
          <w:rFonts w:ascii="Arial" w:hAnsi="Arial" w:cs="Arial"/>
          <w:i/>
          <w:sz w:val="22"/>
          <w:szCs w:val="22"/>
        </w:rPr>
      </w:pPr>
      <w:r w:rsidRPr="00304864">
        <w:rPr>
          <w:rFonts w:ascii="Arial" w:hAnsi="Arial" w:cs="Arial"/>
          <w:i/>
          <w:sz w:val="22"/>
          <w:szCs w:val="22"/>
        </w:rPr>
        <w:t>One (if possible) and no more than two result indicators should be used for each specific objective.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4"/>
        <w:gridCol w:w="3492"/>
        <w:gridCol w:w="1969"/>
        <w:gridCol w:w="1588"/>
        <w:gridCol w:w="1588"/>
        <w:gridCol w:w="1550"/>
        <w:gridCol w:w="1736"/>
        <w:gridCol w:w="1919"/>
      </w:tblGrid>
      <w:tr w:rsidR="00DF4E40" w:rsidRPr="00304864" w:rsidTr="00A30AEC">
        <w:trPr>
          <w:trHeight w:val="852"/>
          <w:jc w:val="center"/>
        </w:trPr>
        <w:tc>
          <w:tcPr>
            <w:tcW w:w="319"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1181"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Result Indicator</w:t>
            </w:r>
          </w:p>
        </w:tc>
        <w:tc>
          <w:tcPr>
            <w:tcW w:w="666"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53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Value</w:t>
            </w:r>
          </w:p>
        </w:tc>
        <w:tc>
          <w:tcPr>
            <w:tcW w:w="53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Year</w:t>
            </w:r>
          </w:p>
        </w:tc>
        <w:tc>
          <w:tcPr>
            <w:tcW w:w="524"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w:t>
            </w:r>
            <w:r w:rsidRPr="00304864">
              <w:rPr>
                <w:rStyle w:val="FootnoteReference"/>
                <w:rFonts w:ascii="Arial" w:hAnsi="Arial" w:cs="Arial"/>
                <w:b/>
                <w:sz w:val="20"/>
              </w:rPr>
              <w:footnoteReference w:id="10"/>
            </w:r>
            <w:r w:rsidRPr="00304864">
              <w:rPr>
                <w:rFonts w:ascii="Arial" w:hAnsi="Arial" w:cs="Arial"/>
                <w:b/>
                <w:sz w:val="20"/>
              </w:rPr>
              <w:t>(2023)</w:t>
            </w:r>
          </w:p>
        </w:tc>
        <w:tc>
          <w:tcPr>
            <w:tcW w:w="58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rsidP="00A30AEC">
            <w:pPr>
              <w:jc w:val="center"/>
              <w:rPr>
                <w:rFonts w:ascii="Arial" w:hAnsi="Arial" w:cs="Arial"/>
                <w:i/>
                <w:sz w:val="20"/>
              </w:rPr>
            </w:pPr>
            <w:r w:rsidRPr="00304864">
              <w:rPr>
                <w:rFonts w:ascii="Arial" w:hAnsi="Arial" w:cs="Arial"/>
                <w:i/>
                <w:sz w:val="20"/>
              </w:rPr>
              <w:t>200 char. max</w:t>
            </w:r>
          </w:p>
        </w:tc>
        <w:tc>
          <w:tcPr>
            <w:tcW w:w="649"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b/>
                <w:sz w:val="20"/>
              </w:rPr>
            </w:pPr>
            <w:r w:rsidRPr="00304864">
              <w:rPr>
                <w:rFonts w:ascii="Arial" w:hAnsi="Arial" w:cs="Arial"/>
                <w:i/>
                <w:sz w:val="20"/>
              </w:rPr>
              <w:t>100 char. max</w:t>
            </w:r>
          </w:p>
        </w:tc>
      </w:tr>
      <w:tr w:rsidR="00DF4E40" w:rsidRPr="00304864" w:rsidTr="00C779B8">
        <w:trPr>
          <w:jc w:val="center"/>
        </w:trPr>
        <w:tc>
          <w:tcPr>
            <w:tcW w:w="319" w:type="pct"/>
            <w:shd w:val="clear" w:color="auto" w:fill="C6D9F1" w:themeFill="text2" w:themeFillTint="33"/>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6c.1</w:t>
            </w:r>
          </w:p>
        </w:tc>
        <w:tc>
          <w:tcPr>
            <w:tcW w:w="1181" w:type="pct"/>
            <w:vAlign w:val="center"/>
          </w:tcPr>
          <w:p w:rsidR="00DF4E40" w:rsidRPr="00304864" w:rsidRDefault="00DF4E40" w:rsidP="00A30AEC">
            <w:pPr>
              <w:jc w:val="center"/>
              <w:rPr>
                <w:rFonts w:ascii="Arial" w:hAnsi="Arial" w:cs="Arial"/>
                <w:color w:val="000000"/>
                <w:sz w:val="20"/>
                <w:lang w:eastAsia="de-DE"/>
              </w:rPr>
            </w:pPr>
            <w:r w:rsidRPr="00304864">
              <w:rPr>
                <w:rFonts w:ascii="Arial" w:hAnsi="Arial" w:cs="Arial"/>
                <w:color w:val="000000"/>
                <w:sz w:val="20"/>
              </w:rPr>
              <w:t>Level of capacity for the stakeholders in the fields of natural and cultural heritage protection and tourism to sustainably valorise natural and cultural heritage as a growth asset.</w:t>
            </w:r>
          </w:p>
        </w:tc>
        <w:tc>
          <w:tcPr>
            <w:tcW w:w="666" w:type="pct"/>
            <w:vAlign w:val="center"/>
          </w:tcPr>
          <w:p w:rsidR="00DF4E40" w:rsidRPr="00304864" w:rsidRDefault="00DF4E40" w:rsidP="00A30AEC">
            <w:pPr>
              <w:jc w:val="center"/>
              <w:rPr>
                <w:rFonts w:ascii="Arial" w:hAnsi="Arial" w:cs="Arial"/>
                <w:color w:val="000000"/>
                <w:sz w:val="20"/>
                <w:lang w:eastAsia="de-DE"/>
              </w:rPr>
            </w:pPr>
            <w:r w:rsidRPr="00304864">
              <w:rPr>
                <w:rFonts w:ascii="Arial" w:hAnsi="Arial" w:cs="Arial"/>
                <w:color w:val="000000"/>
                <w:sz w:val="20"/>
              </w:rPr>
              <w:t>%</w:t>
            </w:r>
          </w:p>
        </w:tc>
        <w:tc>
          <w:tcPr>
            <w:tcW w:w="537"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67,5%</w:t>
            </w:r>
          </w:p>
        </w:tc>
        <w:tc>
          <w:tcPr>
            <w:tcW w:w="537"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2014</w:t>
            </w:r>
          </w:p>
        </w:tc>
        <w:tc>
          <w:tcPr>
            <w:tcW w:w="524"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Increase</w:t>
            </w:r>
          </w:p>
        </w:tc>
        <w:tc>
          <w:tcPr>
            <w:tcW w:w="587"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Survey</w:t>
            </w:r>
          </w:p>
        </w:tc>
        <w:tc>
          <w:tcPr>
            <w:tcW w:w="649"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2018</w:t>
            </w:r>
          </w:p>
          <w:p w:rsidR="00DF4E40" w:rsidRPr="00304864" w:rsidRDefault="00DF4E40">
            <w:pPr>
              <w:jc w:val="center"/>
              <w:rPr>
                <w:rFonts w:ascii="Arial" w:hAnsi="Arial" w:cs="Arial"/>
                <w:color w:val="000000"/>
                <w:sz w:val="20"/>
              </w:rPr>
            </w:pPr>
            <w:r w:rsidRPr="00304864">
              <w:rPr>
                <w:rFonts w:ascii="Arial" w:hAnsi="Arial" w:cs="Arial"/>
                <w:color w:val="000000"/>
                <w:sz w:val="20"/>
              </w:rPr>
              <w:t>2020</w:t>
            </w:r>
          </w:p>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2023</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F92654" w:rsidRDefault="00F92654">
      <w:pPr>
        <w:pStyle w:val="Text3"/>
        <w:rPr>
          <w:rFonts w:ascii="Arial" w:hAnsi="Arial" w:cs="Arial"/>
          <w:sz w:val="22"/>
          <w:szCs w:val="22"/>
          <w:lang w:eastAsia="fr-BE"/>
        </w:rPr>
        <w:sectPr w:rsidR="00F92654" w:rsidSect="00A961B0">
          <w:pgSz w:w="16838" w:h="11906" w:orient="landscape"/>
          <w:pgMar w:top="1417" w:right="1134" w:bottom="1134" w:left="1134" w:header="601" w:footer="1077" w:gutter="0"/>
          <w:cols w:space="720"/>
          <w:docGrid w:linePitch="326"/>
        </w:sectPr>
      </w:pPr>
    </w:p>
    <w:p w:rsidR="00DF4E40" w:rsidRPr="00A30AEC" w:rsidRDefault="00DF4E40">
      <w:pPr>
        <w:pStyle w:val="Heading3"/>
        <w:spacing w:before="0" w:after="120"/>
        <w:ind w:left="0"/>
        <w:rPr>
          <w:rFonts w:ascii="Arial" w:hAnsi="Arial" w:cs="Arial"/>
          <w:b w:val="0"/>
          <w:color w:val="002060"/>
          <w:sz w:val="22"/>
          <w:szCs w:val="22"/>
        </w:rPr>
      </w:pPr>
      <w:bookmarkStart w:id="140" w:name="_Toc377402555"/>
      <w:bookmarkStart w:id="141" w:name="_Toc420652509"/>
      <w:bookmarkStart w:id="142" w:name="_Toc421076861"/>
      <w:r w:rsidRPr="00A30AEC">
        <w:rPr>
          <w:rFonts w:ascii="Arial" w:hAnsi="Arial" w:cs="Arial"/>
          <w:b w:val="0"/>
          <w:color w:val="002060"/>
          <w:sz w:val="22"/>
          <w:szCs w:val="22"/>
        </w:rPr>
        <w:t>2.A.6.Actions to be supported under the investment priority</w:t>
      </w:r>
      <w:bookmarkEnd w:id="140"/>
      <w:bookmarkEnd w:id="141"/>
      <w:bookmarkEnd w:id="142"/>
    </w:p>
    <w:p w:rsidR="007142EE" w:rsidRDefault="007142EE" w:rsidP="00A30AEC">
      <w:pPr>
        <w:pStyle w:val="Text3"/>
        <w:ind w:left="0"/>
      </w:pPr>
    </w:p>
    <w:p w:rsidR="007142EE" w:rsidRPr="00A30AEC" w:rsidRDefault="007142EE" w:rsidP="00A30AEC">
      <w:pPr>
        <w:pStyle w:val="Text3"/>
        <w:ind w:left="0"/>
      </w:pPr>
    </w:p>
    <w:p w:rsidR="00515B42" w:rsidRDefault="00515B42" w:rsidP="00A30AEC">
      <w:pPr>
        <w:pStyle w:val="Heading2"/>
        <w:spacing w:after="120"/>
        <w:rPr>
          <w:strike/>
          <w:color w:val="17365D"/>
        </w:rPr>
      </w:pPr>
      <w:bookmarkStart w:id="143" w:name="_Toc421076862"/>
      <w:r w:rsidRPr="002B7D4C">
        <w:rPr>
          <w:color w:val="17365D"/>
        </w:rPr>
        <w:t xml:space="preserve">2.A.6.1 </w:t>
      </w:r>
      <w:r w:rsidRPr="002B7D4C">
        <w:rPr>
          <w:color w:val="17365D"/>
        </w:rPr>
        <w:tab/>
        <w:t xml:space="preserve">A description of the </w:t>
      </w:r>
      <w:r w:rsidRPr="002B7D4C">
        <w:t>type and examples of actions  to be supported and their expected contribution to the specific objectives, including, where appropriate, identification of the main target groups, specific territories targeted and types of beneficiaries</w:t>
      </w:r>
      <w:bookmarkEnd w:id="143"/>
    </w:p>
    <w:p w:rsidR="007875FA" w:rsidRPr="00A30AEC" w:rsidRDefault="007875FA">
      <w:pPr>
        <w:rPr>
          <w:rFonts w:ascii="Arial" w:hAnsi="Arial" w:cs="Arial"/>
          <w:sz w:val="22"/>
          <w:szCs w:val="22"/>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Priority6.c</w:t>
            </w:r>
          </w:p>
        </w:tc>
        <w:tc>
          <w:tcPr>
            <w:tcW w:w="6484"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Conserving, protecting, promoting and developing natural and cultural heritage</w:t>
            </w:r>
          </w:p>
        </w:tc>
      </w:tr>
      <w:tr w:rsidR="00DF4E40" w:rsidRPr="00304864" w:rsidTr="00C00F65">
        <w:tc>
          <w:tcPr>
            <w:tcW w:w="9286" w:type="dxa"/>
            <w:gridSpan w:val="2"/>
          </w:tcPr>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Indicative Actions to be supported are:</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Creation of transnational networks and working groups for the definition of the principles of ADRION’s sustainable cultural/natural and tourism valorisation as well as the development of an ADRION brand name;</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Support to the exchange of best practices for the identification of challenges and trends in the tourism sector including marketing, management of increased tourism flows, including joint analysis of tourism, trends and their potential impact, joint access to new tourism markets, business opportunities and dissemination of new technologies and know-how;</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Development of actions for raising competencies/skills in cultural heritage preservation on sustainable tourism and tourism management of the stakeholders specially focusing on the involvement of actors from small tourism locations and facilities;</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Formulation of implementation strategies, set up and testing of clusters and models to better preserve, capitalize and innovate cultural and natural heritage and either combine them with tourism or maintain them for their intrinsic value by enterprises, research institutions, NGOs and local population using exchange of experiences, mutual learning and pilot activities;</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Building up of transnational networks and working groups and development of tools and pilots to monitor, evaluate and mitigate the environmental and social pressures and impacts and the risks for and by tourism;</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Set up, test and implementation of negotiation, mediation, participation and conflict resolution models in the context of tourism, culture preservation, local needs and economic growth in the context of cultural and natural heritage, especially for land uses in coastal zones;</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Organisation of knowledge transfer, exchange of good practice examples, networking and development of innovations concerning also the immaterial cultural heritage and related to the creative industries;</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Development of distinct and diversified tourism products such as transnational thematic tourism clusters and routes (e.g. monasteries routes, ancient heritage, wine routes, Adriatic-Ionian area routes etc.); seasonal variations of tourism offer (e.g.: off season arrivals for spring and autumn tourism for elder groups also in the context of climate change); offers for special interest groups (e.g. sailing, diving, mountaineering, history hobbyists, attracting visitors to inland destinations etc.); use of IT applications to generate interest on the heritage of the region; promotion of transnational nautical routes and of innovative strategies for marinas in terms of services and of their connections to the hinterland;</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Development of an integrated and coordinated approach to heritage and cultural tourism;</w:t>
            </w:r>
          </w:p>
          <w:p w:rsidR="00DF4E40" w:rsidRPr="00A30AEC" w:rsidRDefault="00DF4E40" w:rsidP="00A30AEC">
            <w:pPr>
              <w:pStyle w:val="Text4"/>
              <w:numPr>
                <w:ilvl w:val="0"/>
                <w:numId w:val="121"/>
              </w:numPr>
              <w:ind w:left="284" w:hanging="284"/>
              <w:rPr>
                <w:rFonts w:ascii="Arial" w:hAnsi="Arial" w:cs="Arial"/>
                <w:bCs/>
                <w:sz w:val="22"/>
                <w:szCs w:val="22"/>
              </w:rPr>
            </w:pPr>
            <w:r w:rsidRPr="00304864">
              <w:rPr>
                <w:rFonts w:ascii="Arial" w:hAnsi="Arial" w:cs="Arial"/>
                <w:bCs/>
                <w:sz w:val="22"/>
                <w:szCs w:val="22"/>
              </w:rPr>
              <w:t>Development of sustainable tourism models focusing on low carbon, on air quality improvement and decreasing PM and NO2 emissions, low ecological footprint, “slow food”, involvement of young people and volunteers and other alternative offerings in line with the natural and cultural heritage in line with the ADRION brand;</w:t>
            </w:r>
          </w:p>
          <w:p w:rsidR="00DF4E40" w:rsidRPr="00304864" w:rsidRDefault="00DF4E40" w:rsidP="00A30AEC">
            <w:pPr>
              <w:pStyle w:val="Text4"/>
              <w:numPr>
                <w:ilvl w:val="0"/>
                <w:numId w:val="121"/>
              </w:numPr>
              <w:ind w:left="284" w:hanging="284"/>
              <w:rPr>
                <w:rFonts w:ascii="Arial" w:hAnsi="Arial" w:cs="Arial"/>
                <w:szCs w:val="22"/>
                <w:lang w:eastAsia="fr-BE"/>
              </w:rPr>
            </w:pPr>
            <w:r w:rsidRPr="00304864">
              <w:rPr>
                <w:rFonts w:ascii="Arial" w:hAnsi="Arial" w:cs="Arial"/>
                <w:bCs/>
                <w:sz w:val="22"/>
                <w:szCs w:val="22"/>
              </w:rPr>
              <w:t>Small scale investments and demonstration projects for the provision of innovative services and products in the touristic sector</w:t>
            </w:r>
            <w:r w:rsidRPr="00304864">
              <w:rPr>
                <w:rFonts w:ascii="Arial" w:hAnsi="Arial" w:cs="Arial"/>
                <w:sz w:val="22"/>
                <w:szCs w:val="22"/>
                <w:lang w:eastAsia="fr-BE"/>
              </w:rPr>
              <w:t xml:space="preserve">, for specific forms of tourism, like cultural tourism, thematic tourism, elder citizens’ services, etc. </w:t>
            </w:r>
          </w:p>
          <w:p w:rsidR="00DF4E40" w:rsidRPr="00304864" w:rsidRDefault="00DF4E40">
            <w:pPr>
              <w:autoSpaceDE w:val="0"/>
              <w:autoSpaceDN w:val="0"/>
              <w:adjustRightInd w:val="0"/>
              <w:jc w:val="left"/>
              <w:rPr>
                <w:rFonts w:ascii="Arial" w:hAnsi="Arial" w:cs="Arial"/>
                <w:color w:val="000000"/>
                <w:szCs w:val="22"/>
                <w:lang w:eastAsia="it-IT"/>
              </w:rPr>
            </w:pPr>
          </w:p>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 xml:space="preserve">Target groups </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General public;</w:t>
            </w:r>
          </w:p>
          <w:p w:rsidR="00DF4E40" w:rsidRPr="00A30AEC" w:rsidRDefault="00DF4E40" w:rsidP="00A30AEC">
            <w:pPr>
              <w:pStyle w:val="ListParagraph"/>
              <w:numPr>
                <w:ilvl w:val="0"/>
                <w:numId w:val="130"/>
              </w:numPr>
              <w:ind w:left="426"/>
              <w:rPr>
                <w:rFonts w:ascii="Arial" w:hAnsi="Arial" w:cs="Arial"/>
                <w:color w:val="000000"/>
                <w:sz w:val="22"/>
                <w:szCs w:val="22"/>
                <w:lang w:val="en-US" w:eastAsia="it-IT"/>
              </w:rPr>
            </w:pPr>
            <w:r w:rsidRPr="00A30AEC">
              <w:rPr>
                <w:rFonts w:ascii="Arial" w:hAnsi="Arial" w:cs="Arial"/>
                <w:color w:val="000000"/>
                <w:sz w:val="22"/>
                <w:szCs w:val="22"/>
                <w:lang w:val="en-GB" w:eastAsia="it-IT"/>
              </w:rPr>
              <w:t>Groups listed under the caption “Indicative types of beneficiaries”;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Enterprises, including SMEs.</w:t>
            </w:r>
          </w:p>
          <w:p w:rsidR="00DF4E40" w:rsidRPr="00304864" w:rsidRDefault="00DF4E40">
            <w:pPr>
              <w:pStyle w:val="Text4"/>
              <w:ind w:left="360"/>
              <w:rPr>
                <w:rFonts w:ascii="Arial" w:hAnsi="Arial" w:cs="Arial"/>
                <w:bCs/>
                <w:szCs w:val="22"/>
              </w:rPr>
            </w:pPr>
          </w:p>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Indicative types of beneficiaries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Public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International Organisations;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Agencies;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Research institutions;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Higher education institutions;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Schools, education/training centres;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Tourism and/or cultural public or private organisations (incl. SMEs);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Business support organisations;</w:t>
            </w:r>
          </w:p>
          <w:p w:rsidR="00DF4E40" w:rsidRPr="00A30AEC" w:rsidRDefault="00DF4E40" w:rsidP="00A30AEC">
            <w:pPr>
              <w:pStyle w:val="ListParagraph"/>
              <w:numPr>
                <w:ilvl w:val="0"/>
                <w:numId w:val="130"/>
              </w:numPr>
              <w:ind w:left="426"/>
              <w:rPr>
                <w:rFonts w:ascii="Arial" w:hAnsi="Arial" w:cs="Arial"/>
                <w:szCs w:val="22"/>
                <w:lang w:val="en-US" w:eastAsia="fr-BE"/>
              </w:rPr>
            </w:pPr>
            <w:r w:rsidRPr="00A30AEC">
              <w:rPr>
                <w:rFonts w:ascii="Arial" w:hAnsi="Arial" w:cs="Arial"/>
                <w:color w:val="000000"/>
                <w:sz w:val="22"/>
                <w:szCs w:val="22"/>
                <w:lang w:val="en-GB" w:eastAsia="it-IT"/>
              </w:rPr>
              <w:t>Interest groups including NGOs and cultural/citizen associations.</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515B42" w:rsidRDefault="00DF4E40" w:rsidP="00A30AEC">
      <w:pPr>
        <w:pStyle w:val="Heading2"/>
        <w:spacing w:after="120"/>
      </w:pPr>
      <w:bookmarkStart w:id="144" w:name="_Toc420652511"/>
      <w:bookmarkStart w:id="145" w:name="_Toc421076863"/>
      <w:r w:rsidRPr="00515B42">
        <w:t>2.A.6.2.The guiding principles for the selection of operations</w:t>
      </w:r>
      <w:bookmarkEnd w:id="144"/>
      <w:bookmarkEnd w:id="145"/>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 6.c</w:t>
            </w:r>
          </w:p>
        </w:tc>
        <w:tc>
          <w:tcPr>
            <w:tcW w:w="6484" w:type="dxa"/>
            <w:shd w:val="clear" w:color="auto" w:fill="C6D9F1"/>
          </w:tcPr>
          <w:p w:rsidR="00DF4E40" w:rsidRPr="00304864" w:rsidRDefault="00DF4E40">
            <w:pPr>
              <w:jc w:val="left"/>
              <w:rPr>
                <w:rFonts w:ascii="Arial" w:hAnsi="Arial" w:cs="Arial"/>
                <w:b/>
                <w:i/>
                <w:szCs w:val="22"/>
              </w:rPr>
            </w:pPr>
            <w:r w:rsidRPr="00304864">
              <w:rPr>
                <w:rFonts w:ascii="Arial" w:hAnsi="Arial" w:cs="Arial"/>
                <w:b/>
                <w:sz w:val="22"/>
                <w:szCs w:val="22"/>
              </w:rPr>
              <w:t>Conserving, protecting, promoting and developing natural and cultural heritage</w:t>
            </w:r>
          </w:p>
        </w:tc>
      </w:tr>
      <w:tr w:rsidR="00DF4E40" w:rsidRPr="00304864" w:rsidTr="0057564C">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 xml:space="preserve">The selection of projects will be carried out in accordance with Article 12 of the ETC regulation, following a standardised assessment procedure, the objectives of which include: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Assessment of the relevance of a project proposal;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Assessment of the feasibility of the proposed approach;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Definition of a transparent and objective basis for decision making on proposal rejection or approval;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Provision of a base for communication and improvement among Programme bodies and applicants. </w:t>
            </w:r>
          </w:p>
          <w:p w:rsidR="00DF4E40" w:rsidRPr="00304864" w:rsidRDefault="00DF4E40">
            <w:pPr>
              <w:pStyle w:val="tablelinks"/>
              <w:spacing w:before="0" w:after="120" w:line="240" w:lineRule="auto"/>
              <w:rPr>
                <w:color w:val="auto"/>
                <w:sz w:val="22"/>
                <w:szCs w:val="22"/>
              </w:rPr>
            </w:pPr>
            <w:r w:rsidRPr="00304864">
              <w:rPr>
                <w:color w:val="auto"/>
                <w:sz w:val="22"/>
                <w:szCs w:val="22"/>
              </w:rPr>
              <w:t>The assessment will be conducted using the following sets of criteria:</w:t>
            </w:r>
          </w:p>
          <w:p w:rsidR="00DF4E40" w:rsidRPr="00304864" w:rsidRDefault="00DF4E40">
            <w:pPr>
              <w:pStyle w:val="tablelinks"/>
              <w:spacing w:before="0" w:after="120" w:line="240" w:lineRule="auto"/>
              <w:rPr>
                <w:b/>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Strategic Assessment Criteria</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coherence and contribution of each project proposal to the ADRION Programme Objectives and especially the relevant SO addressed;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contribution to the envisaged results per IP;</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soundness of the concept and demonstration of the need for the proposed intervention in its thematic and territorial context;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added value of transnational cooperation;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proposed partnership relevance to the above;</w:t>
            </w:r>
          </w:p>
          <w:p w:rsidR="00DF4E40" w:rsidRPr="00A30AEC" w:rsidRDefault="00DF4E40" w:rsidP="00A30AEC">
            <w:pPr>
              <w:pStyle w:val="ListParagraph"/>
              <w:numPr>
                <w:ilvl w:val="0"/>
                <w:numId w:val="131"/>
              </w:numPr>
              <w:ind w:left="426" w:hanging="284"/>
              <w:rPr>
                <w:color w:val="000000"/>
                <w:sz w:val="22"/>
                <w:szCs w:val="22"/>
                <w:lang w:val="en-US" w:eastAsia="it-IT"/>
              </w:rPr>
            </w:pPr>
            <w:r w:rsidRPr="00983CB8">
              <w:rPr>
                <w:rFonts w:ascii="Arial" w:hAnsi="Arial" w:cs="Arial"/>
                <w:color w:val="000000"/>
                <w:sz w:val="22"/>
                <w:szCs w:val="22"/>
                <w:lang w:val="en-GB" w:eastAsia="it-IT"/>
              </w:rPr>
              <w:t>Synergies with Investment Priorities 6d considering that the targets related to cultural and natural heritage and enhancement of sustainable tourism are relevant to Natura 2000 and other protected areas in the region;</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the EUSAIR strategy and the contribution to the achievement of its objectives;</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other relevant EU strategies and or policies.</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Operational Assessment Criteria</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adequacy of the management provisions in terms of structures, procedures and competences;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quality and effectiveness of communication provisions;</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quality of the Work Plan in relation to clarity and coherence of the operational objectives, activities and means, feasibility, efficiency of the project and its results, potential for uptake and embedment into operative procedures of the partners involved;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adequacy of the budget provisions to guarantee the project implementation and generate value for money. </w:t>
            </w:r>
          </w:p>
          <w:p w:rsidR="00DF4E40" w:rsidRPr="00304864" w:rsidRDefault="00DF4E40">
            <w:pPr>
              <w:pStyle w:val="tablelinks"/>
              <w:spacing w:before="0" w:after="120" w:line="240" w:lineRule="auto"/>
              <w:rPr>
                <w:b/>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Coherence to Horizontal Principles Criteria</w:t>
            </w:r>
          </w:p>
          <w:p w:rsidR="00DF4E40" w:rsidRPr="00304864" w:rsidRDefault="00DF4E40">
            <w:pPr>
              <w:pStyle w:val="tablelinks"/>
              <w:spacing w:before="0" w:after="120" w:line="240" w:lineRule="auto"/>
              <w:rPr>
                <w:color w:val="auto"/>
                <w:sz w:val="22"/>
                <w:szCs w:val="22"/>
              </w:rPr>
            </w:pPr>
            <w:r w:rsidRPr="00304864">
              <w:rPr>
                <w:color w:val="auto"/>
                <w:sz w:val="22"/>
                <w:szCs w:val="22"/>
              </w:rPr>
              <w:t>These criteria shall examine the extent to which projects have integrated within their intervention logic:</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PA 2 Horizontal principles, such as promotion of energy and resource efficiency and consideration of the principles of open access to innovation benefits and reproducibility;</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ADRION cross-cutting dimensions as defined in Section 1; equal opportunities and non-discrimination, equality between men and women, social cohesion and social innovation, data and knowledge management, use of ICT, territorial and eco-systemic approach.</w:t>
            </w: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 above elements should not be considered as a “check list”, but should rather encourage projects to proactively develop their project ideas within the logic of the Programme. </w:t>
            </w: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These three criteria are presented in the order of importance for the project. The Strategic Assessment Criteria examines the relevance of the project proposal; hence they retain absolute primacy over the other two criteria. The Operational Assessment Criteria ensure the successful delivery of results; hence they have more weight than the Coherence to Horizontal Principles Criteria, which are basically oriented towards integration of a “relevant and feasible” proposal into the ADRION logic. </w:t>
            </w:r>
          </w:p>
          <w:p w:rsidR="00DF4E40" w:rsidRPr="00304864" w:rsidRDefault="00DF4E40">
            <w:pPr>
              <w:rPr>
                <w:rFonts w:ascii="Arial" w:hAnsi="Arial" w:cs="Arial"/>
                <w:szCs w:val="22"/>
              </w:rPr>
            </w:pPr>
            <w:r w:rsidRPr="00304864">
              <w:rPr>
                <w:rFonts w:ascii="Arial" w:hAnsi="Arial" w:cs="Arial"/>
                <w:sz w:val="22"/>
                <w:szCs w:val="22"/>
              </w:rPr>
              <w:t>The detailed assessment criteria will be laid down and made available to potential applicants in the programme related manual.</w:t>
            </w:r>
          </w:p>
          <w:p w:rsidR="00DF4E40" w:rsidRPr="00304864" w:rsidRDefault="00DF4E40">
            <w:pPr>
              <w:rPr>
                <w:rFonts w:ascii="Arial" w:hAnsi="Arial" w:cs="Arial"/>
                <w:szCs w:val="22"/>
              </w:rPr>
            </w:pPr>
            <w:r w:rsidRPr="00304864">
              <w:rPr>
                <w:rFonts w:ascii="Arial" w:hAnsi="Arial" w:cs="Arial"/>
                <w:sz w:val="22"/>
                <w:szCs w:val="22"/>
              </w:rPr>
              <w:t>Preparatory cost will be eligible under the PA 2 funds.</w:t>
            </w:r>
          </w:p>
        </w:tc>
      </w:tr>
    </w:tbl>
    <w:p w:rsidR="00DF4E40" w:rsidRPr="00515B42" w:rsidRDefault="00DF4E40" w:rsidP="00A30AEC">
      <w:pPr>
        <w:pStyle w:val="Heading2"/>
        <w:spacing w:after="120"/>
      </w:pPr>
      <w:bookmarkStart w:id="146" w:name="_Toc420652512"/>
      <w:bookmarkStart w:id="147" w:name="_Toc421076864"/>
      <w:r w:rsidRPr="00515B42">
        <w:t>2.A.6.3.</w:t>
      </w:r>
      <w:r w:rsidR="007875FA">
        <w:t>P</w:t>
      </w:r>
      <w:r w:rsidRPr="00515B42">
        <w:t>lanned use of financial instruments</w:t>
      </w:r>
      <w:bookmarkEnd w:id="146"/>
      <w:bookmarkEnd w:id="147"/>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 6.c</w:t>
            </w:r>
          </w:p>
        </w:tc>
        <w:tc>
          <w:tcPr>
            <w:tcW w:w="6484" w:type="dxa"/>
            <w:shd w:val="clear" w:color="auto" w:fill="C6D9F1"/>
          </w:tcPr>
          <w:p w:rsidR="00DF4E40" w:rsidRPr="00304864" w:rsidRDefault="00DF4E40">
            <w:pPr>
              <w:jc w:val="left"/>
              <w:rPr>
                <w:rFonts w:ascii="Arial" w:hAnsi="Arial" w:cs="Arial"/>
                <w:b/>
                <w:i/>
                <w:szCs w:val="22"/>
              </w:rPr>
            </w:pPr>
            <w:r w:rsidRPr="00304864">
              <w:rPr>
                <w:rFonts w:ascii="Arial" w:hAnsi="Arial" w:cs="Arial"/>
                <w:b/>
                <w:sz w:val="22"/>
                <w:szCs w:val="22"/>
              </w:rPr>
              <w:t>Conserving, protecting, promoting and developing natural and cultural heritage</w:t>
            </w:r>
          </w:p>
        </w:tc>
      </w:tr>
      <w:tr w:rsidR="00DF4E40" w:rsidRPr="00304864" w:rsidTr="00A84FEC">
        <w:tc>
          <w:tcPr>
            <w:tcW w:w="2802" w:type="dxa"/>
          </w:tcPr>
          <w:p w:rsidR="00DF4E40" w:rsidRPr="00304864" w:rsidRDefault="00DF4E40">
            <w:pPr>
              <w:rPr>
                <w:rFonts w:ascii="Arial" w:hAnsi="Arial" w:cs="Arial"/>
                <w:szCs w:val="22"/>
              </w:rPr>
            </w:pPr>
            <w:r w:rsidRPr="00304864">
              <w:rPr>
                <w:rFonts w:ascii="Arial" w:hAnsi="Arial" w:cs="Arial"/>
                <w:sz w:val="22"/>
                <w:szCs w:val="22"/>
              </w:rPr>
              <w:t>Planned use of financial instruments</w:t>
            </w:r>
          </w:p>
        </w:tc>
        <w:tc>
          <w:tcPr>
            <w:tcW w:w="6484" w:type="dxa"/>
          </w:tcPr>
          <w:p w:rsidR="00DF4E40" w:rsidRPr="00304864" w:rsidRDefault="00DF4E40">
            <w:pPr>
              <w:rPr>
                <w:rFonts w:ascii="Arial" w:hAnsi="Arial" w:cs="Arial"/>
                <w:szCs w:val="22"/>
              </w:rPr>
            </w:pPr>
          </w:p>
        </w:tc>
      </w:tr>
      <w:tr w:rsidR="00DF4E40" w:rsidRPr="00304864" w:rsidTr="00A84FEC">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The opportunity of the elaboration and implementation of financial instruments will be debated during the implementation of the programme</w:t>
            </w:r>
          </w:p>
        </w:tc>
      </w:tr>
    </w:tbl>
    <w:p w:rsidR="00DF4E40" w:rsidRPr="00A30AEC" w:rsidRDefault="00DF4E40">
      <w:pPr>
        <w:rPr>
          <w:rFonts w:ascii="Arial" w:hAnsi="Arial" w:cs="Arial"/>
          <w:i/>
          <w:sz w:val="22"/>
          <w:szCs w:val="22"/>
        </w:rPr>
      </w:pPr>
    </w:p>
    <w:p w:rsidR="00DF4E40" w:rsidRPr="00A30AEC" w:rsidRDefault="00DF4E40">
      <w:pPr>
        <w:rPr>
          <w:rFonts w:ascii="Arial" w:hAnsi="Arial" w:cs="Arial"/>
          <w:i/>
          <w:sz w:val="22"/>
          <w:szCs w:val="22"/>
        </w:rPr>
      </w:pPr>
    </w:p>
    <w:p w:rsidR="00DF4E40" w:rsidRPr="00515B42" w:rsidRDefault="00DF4E40" w:rsidP="00A30AEC">
      <w:pPr>
        <w:pStyle w:val="Heading2"/>
        <w:spacing w:after="120"/>
      </w:pPr>
      <w:bookmarkStart w:id="148" w:name="_Toc420652513"/>
      <w:bookmarkStart w:id="149" w:name="_Toc421076865"/>
      <w:r w:rsidRPr="00515B42">
        <w:t>2.A.6.4 Planned use of major projects</w:t>
      </w:r>
      <w:bookmarkEnd w:id="148"/>
      <w:bookmarkEnd w:id="149"/>
    </w:p>
    <w:p w:rsidR="007875FA" w:rsidRPr="00A30AEC" w:rsidRDefault="007875FA">
      <w:pPr>
        <w:rPr>
          <w:rFonts w:ascii="Arial" w:hAnsi="Arial" w:cs="Arial"/>
          <w:sz w:val="22"/>
          <w:szCs w:val="22"/>
        </w:rPr>
      </w:pPr>
      <w:r w:rsidRPr="00A30AEC">
        <w:rPr>
          <w:rFonts w:ascii="Arial" w:hAnsi="Arial" w:cs="Arial"/>
          <w:sz w:val="22"/>
          <w:szCs w:val="22"/>
        </w:rPr>
        <w:t>(Reference: point (b)(iii) of Article 8(2) of the ETC Regulation)</w:t>
      </w:r>
    </w:p>
    <w:p w:rsidR="00DF4E40" w:rsidRPr="00A30AEC" w:rsidRDefault="00DF4E40">
      <w:pPr>
        <w:tabs>
          <w:tab w:val="left" w:pos="2375"/>
        </w:tabs>
        <w:rPr>
          <w:rFonts w:ascii="Arial" w:hAnsi="Arial" w:cs="Arial"/>
          <w:sz w:val="22"/>
          <w:szCs w:val="22"/>
        </w:rPr>
      </w:pPr>
      <w:r w:rsidRPr="00A30AEC">
        <w:rPr>
          <w:rFonts w:ascii="Arial" w:hAnsi="Arial" w:cs="Arial"/>
          <w:sz w:val="22"/>
          <w:szCs w:val="22"/>
        </w:rPr>
        <w:t>Not applicable</w:t>
      </w:r>
    </w:p>
    <w:p w:rsidR="00DF4E40" w:rsidRPr="00304864" w:rsidRDefault="00DF4E40">
      <w:pPr>
        <w:tabs>
          <w:tab w:val="left" w:pos="2375"/>
        </w:tabs>
        <w:rPr>
          <w:rFonts w:ascii="Arial" w:hAnsi="Arial" w:cs="Arial"/>
          <w:i/>
          <w:sz w:val="22"/>
          <w:szCs w:val="22"/>
        </w:rPr>
      </w:pPr>
    </w:p>
    <w:p w:rsidR="00DF4E40" w:rsidRPr="00304864" w:rsidRDefault="00DF4E40">
      <w:pPr>
        <w:tabs>
          <w:tab w:val="left" w:pos="2375"/>
        </w:tabs>
        <w:rPr>
          <w:rFonts w:ascii="Arial" w:hAnsi="Arial" w:cs="Arial"/>
          <w:i/>
          <w:sz w:val="22"/>
          <w:szCs w:val="22"/>
        </w:rPr>
      </w:pPr>
    </w:p>
    <w:p w:rsidR="00DF4E40" w:rsidRPr="00515B42" w:rsidRDefault="00DF4E40" w:rsidP="00A30AEC">
      <w:pPr>
        <w:pStyle w:val="Heading2"/>
        <w:spacing w:after="120"/>
      </w:pPr>
      <w:bookmarkStart w:id="150" w:name="_Toc420652514"/>
      <w:bookmarkStart w:id="151" w:name="_Toc421076866"/>
      <w:r w:rsidRPr="00515B42">
        <w:t>2.A.6.5.Output indicators</w:t>
      </w:r>
      <w:bookmarkEnd w:id="150"/>
      <w:bookmarkEnd w:id="151"/>
    </w:p>
    <w:p w:rsidR="00DF4E40" w:rsidRPr="00A30AEC" w:rsidRDefault="00DF4E40">
      <w:pPr>
        <w:rPr>
          <w:rFonts w:ascii="Arial" w:hAnsi="Arial" w:cs="Arial"/>
          <w:sz w:val="22"/>
          <w:szCs w:val="22"/>
        </w:rPr>
      </w:pPr>
      <w:r w:rsidRPr="00A30AEC">
        <w:rPr>
          <w:rFonts w:ascii="Arial" w:hAnsi="Arial" w:cs="Arial"/>
          <w:sz w:val="22"/>
          <w:szCs w:val="22"/>
        </w:rPr>
        <w:t>(Reference: point (b)(iv) of Article 8(2) of Regulation (EU) No 1299/2013)</w:t>
      </w:r>
    </w:p>
    <w:p w:rsidR="00DF4E40" w:rsidRPr="00304864" w:rsidRDefault="00DF4E40">
      <w:pPr>
        <w:rPr>
          <w:rFonts w:ascii="Arial" w:hAnsi="Arial" w:cs="Arial"/>
          <w:i/>
          <w:sz w:val="22"/>
          <w:szCs w:val="22"/>
        </w:rPr>
      </w:pPr>
      <w:r w:rsidRPr="00304864">
        <w:rPr>
          <w:rFonts w:ascii="Arial" w:hAnsi="Arial" w:cs="Arial"/>
          <w:b/>
          <w:sz w:val="22"/>
          <w:szCs w:val="22"/>
        </w:rPr>
        <w:t xml:space="preserve">Table 4: Common and programme specific output indicators </w:t>
      </w:r>
      <w:r w:rsidRPr="00304864">
        <w:rPr>
          <w:rFonts w:ascii="Arial" w:hAnsi="Arial" w:cs="Arial"/>
          <w:i/>
          <w:sz w:val="22"/>
          <w:szCs w:val="22"/>
        </w:rPr>
        <w:t xml:space="preserve">(by investment priority)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51"/>
        <w:gridCol w:w="2138"/>
        <w:gridCol w:w="1629"/>
        <w:gridCol w:w="1370"/>
        <w:gridCol w:w="1828"/>
        <w:gridCol w:w="1310"/>
      </w:tblGrid>
      <w:tr w:rsidR="00DF4E40" w:rsidRPr="00304864" w:rsidTr="00A961B0">
        <w:trPr>
          <w:trHeight w:val="700"/>
          <w:jc w:val="center"/>
        </w:trPr>
        <w:tc>
          <w:tcPr>
            <w:tcW w:w="1089"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2138"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Output Indicator</w:t>
            </w:r>
          </w:p>
        </w:tc>
        <w:tc>
          <w:tcPr>
            <w:tcW w:w="1629"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1370"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 (2023)</w:t>
            </w:r>
          </w:p>
        </w:tc>
        <w:tc>
          <w:tcPr>
            <w:tcW w:w="1750"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pPr>
              <w:jc w:val="center"/>
              <w:rPr>
                <w:rFonts w:ascii="Arial" w:hAnsi="Arial" w:cs="Arial"/>
                <w:i/>
                <w:sz w:val="20"/>
              </w:rPr>
            </w:pPr>
            <w:r w:rsidRPr="00304864">
              <w:rPr>
                <w:rFonts w:ascii="Arial" w:hAnsi="Arial" w:cs="Arial"/>
                <w:i/>
                <w:sz w:val="20"/>
              </w:rPr>
              <w:t>200 char. Max.</w:t>
            </w:r>
          </w:p>
        </w:tc>
        <w:tc>
          <w:tcPr>
            <w:tcW w:w="1310"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i/>
                <w:sz w:val="20"/>
              </w:rPr>
            </w:pPr>
            <w:r w:rsidRPr="00304864">
              <w:rPr>
                <w:rFonts w:ascii="Arial" w:hAnsi="Arial" w:cs="Arial"/>
                <w:i/>
                <w:sz w:val="20"/>
              </w:rPr>
              <w:t>100 char. Max.</w:t>
            </w:r>
          </w:p>
        </w:tc>
      </w:tr>
      <w:tr w:rsidR="00DF4E40" w:rsidRPr="00304864" w:rsidTr="00C779B8">
        <w:trPr>
          <w:trHeight w:val="79"/>
          <w:jc w:val="center"/>
        </w:trPr>
        <w:tc>
          <w:tcPr>
            <w:tcW w:w="1089" w:type="dxa"/>
            <w:shd w:val="clear" w:color="auto" w:fill="C6D9F1" w:themeFill="text2" w:themeFillTint="33"/>
            <w:vAlign w:val="center"/>
          </w:tcPr>
          <w:p w:rsidR="00DF4E40" w:rsidRPr="00304864" w:rsidRDefault="00DF4E40" w:rsidP="00A30AEC">
            <w:pPr>
              <w:snapToGrid w:val="0"/>
              <w:jc w:val="center"/>
              <w:rPr>
                <w:rFonts w:ascii="Arial" w:hAnsi="Arial" w:cs="Arial"/>
                <w:b/>
                <w:sz w:val="20"/>
                <w:lang w:eastAsia="de-DE"/>
              </w:rPr>
            </w:pPr>
            <w:r w:rsidRPr="00304864">
              <w:rPr>
                <w:rFonts w:ascii="Arial" w:hAnsi="Arial" w:cs="Arial"/>
                <w:b/>
                <w:sz w:val="20"/>
              </w:rPr>
              <w:t>OI_6c.1_1</w:t>
            </w:r>
          </w:p>
        </w:tc>
        <w:tc>
          <w:tcPr>
            <w:tcW w:w="2138"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Number of supported transnational cooperation networks</w:t>
            </w:r>
          </w:p>
        </w:tc>
        <w:tc>
          <w:tcPr>
            <w:tcW w:w="1629"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Number</w:t>
            </w:r>
          </w:p>
        </w:tc>
        <w:tc>
          <w:tcPr>
            <w:tcW w:w="1370"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lang w:eastAsia="de-DE"/>
              </w:rPr>
              <w:t>20</w:t>
            </w:r>
          </w:p>
        </w:tc>
        <w:tc>
          <w:tcPr>
            <w:tcW w:w="1750"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Monitoring/Project progress reports</w:t>
            </w:r>
          </w:p>
        </w:tc>
        <w:tc>
          <w:tcPr>
            <w:tcW w:w="1310" w:type="dxa"/>
            <w:vAlign w:val="center"/>
          </w:tcPr>
          <w:p w:rsidR="00DF4E40" w:rsidRPr="00304864" w:rsidRDefault="00DF4E40" w:rsidP="00A30AEC">
            <w:pPr>
              <w:jc w:val="center"/>
              <w:rPr>
                <w:rFonts w:ascii="Arial" w:hAnsi="Arial" w:cs="Arial"/>
                <w:sz w:val="20"/>
                <w:lang w:eastAsia="de-DE"/>
              </w:rPr>
            </w:pPr>
            <w:r w:rsidRPr="00304864">
              <w:rPr>
                <w:rFonts w:ascii="Arial" w:hAnsi="Arial" w:cs="Arial"/>
                <w:sz w:val="20"/>
              </w:rPr>
              <w:t>Annually</w:t>
            </w:r>
          </w:p>
        </w:tc>
      </w:tr>
      <w:tr w:rsidR="00DF4E40" w:rsidRPr="00304864" w:rsidTr="00C779B8">
        <w:trPr>
          <w:trHeight w:val="79"/>
          <w:jc w:val="center"/>
        </w:trPr>
        <w:tc>
          <w:tcPr>
            <w:tcW w:w="1089" w:type="dxa"/>
            <w:shd w:val="clear" w:color="auto" w:fill="C6D9F1" w:themeFill="text2" w:themeFillTint="33"/>
            <w:vAlign w:val="center"/>
          </w:tcPr>
          <w:p w:rsidR="00DF4E40" w:rsidRPr="00304864" w:rsidRDefault="00DF4E40" w:rsidP="00A30AEC">
            <w:pPr>
              <w:snapToGrid w:val="0"/>
              <w:jc w:val="center"/>
              <w:rPr>
                <w:rFonts w:ascii="Arial" w:hAnsi="Arial" w:cs="Arial"/>
                <w:b/>
                <w:sz w:val="20"/>
                <w:lang w:eastAsia="de-DE"/>
              </w:rPr>
            </w:pPr>
            <w:r w:rsidRPr="00304864">
              <w:rPr>
                <w:rFonts w:ascii="Arial" w:hAnsi="Arial" w:cs="Arial"/>
                <w:b/>
                <w:sz w:val="20"/>
              </w:rPr>
              <w:t>OI_6c.1_2</w:t>
            </w:r>
          </w:p>
        </w:tc>
        <w:tc>
          <w:tcPr>
            <w:tcW w:w="2138"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Number of strategies and action plans developed in the field of natural and cultural heritage and tourism</w:t>
            </w:r>
          </w:p>
        </w:tc>
        <w:tc>
          <w:tcPr>
            <w:tcW w:w="1629"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Number</w:t>
            </w:r>
          </w:p>
        </w:tc>
        <w:tc>
          <w:tcPr>
            <w:tcW w:w="1370"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lang w:eastAsia="de-DE"/>
              </w:rPr>
              <w:t>30</w:t>
            </w:r>
          </w:p>
        </w:tc>
        <w:tc>
          <w:tcPr>
            <w:tcW w:w="1750" w:type="dxa"/>
            <w:vAlign w:val="center"/>
          </w:tcPr>
          <w:p w:rsidR="00DF4E40" w:rsidRPr="00304864" w:rsidRDefault="00DF4E40" w:rsidP="00A30AEC">
            <w:pPr>
              <w:snapToGrid w:val="0"/>
              <w:jc w:val="center"/>
              <w:rPr>
                <w:rFonts w:ascii="Arial" w:hAnsi="Arial" w:cs="Arial"/>
                <w:sz w:val="20"/>
                <w:lang w:eastAsia="de-DE"/>
              </w:rPr>
            </w:pPr>
            <w:r w:rsidRPr="00304864">
              <w:rPr>
                <w:rFonts w:ascii="Arial" w:hAnsi="Arial" w:cs="Arial"/>
                <w:sz w:val="20"/>
              </w:rPr>
              <w:t>Monitoring/Project progress reports</w:t>
            </w:r>
          </w:p>
        </w:tc>
        <w:tc>
          <w:tcPr>
            <w:tcW w:w="1310" w:type="dxa"/>
            <w:vAlign w:val="center"/>
          </w:tcPr>
          <w:p w:rsidR="00DF4E40" w:rsidRPr="00304864" w:rsidRDefault="00DF4E40" w:rsidP="00A30AEC">
            <w:pPr>
              <w:jc w:val="center"/>
              <w:rPr>
                <w:rFonts w:ascii="Arial" w:hAnsi="Arial" w:cs="Arial"/>
                <w:sz w:val="20"/>
                <w:lang w:eastAsia="de-DE"/>
              </w:rPr>
            </w:pPr>
            <w:r w:rsidRPr="00304864">
              <w:rPr>
                <w:rFonts w:ascii="Arial" w:hAnsi="Arial" w:cs="Arial"/>
                <w:sz w:val="20"/>
              </w:rPr>
              <w:t>Annually</w:t>
            </w:r>
          </w:p>
        </w:tc>
      </w:tr>
      <w:tr w:rsidR="00DF4E40" w:rsidRPr="00304864" w:rsidTr="00C779B8">
        <w:trPr>
          <w:trHeight w:val="79"/>
          <w:jc w:val="center"/>
        </w:trPr>
        <w:tc>
          <w:tcPr>
            <w:tcW w:w="1089" w:type="dxa"/>
            <w:shd w:val="clear" w:color="auto" w:fill="C6D9F1" w:themeFill="text2" w:themeFillTint="33"/>
            <w:vAlign w:val="center"/>
          </w:tcPr>
          <w:p w:rsidR="00DF4E40" w:rsidRPr="00304864" w:rsidRDefault="00DF4E40" w:rsidP="00A30AEC">
            <w:pPr>
              <w:jc w:val="center"/>
              <w:rPr>
                <w:rFonts w:ascii="Arial" w:hAnsi="Arial" w:cs="Arial"/>
                <w:b/>
                <w:sz w:val="20"/>
              </w:rPr>
            </w:pPr>
            <w:r w:rsidRPr="00304864">
              <w:rPr>
                <w:rFonts w:ascii="Arial" w:hAnsi="Arial" w:cs="Arial"/>
                <w:b/>
                <w:sz w:val="20"/>
              </w:rPr>
              <w:t>OI_6c.1_3</w:t>
            </w:r>
          </w:p>
        </w:tc>
        <w:tc>
          <w:tcPr>
            <w:tcW w:w="2138" w:type="dxa"/>
            <w:vAlign w:val="center"/>
          </w:tcPr>
          <w:p w:rsidR="00DF4E40" w:rsidRPr="00304864" w:rsidRDefault="00DF4E40" w:rsidP="00A30AEC">
            <w:pPr>
              <w:ind w:left="56"/>
              <w:jc w:val="center"/>
              <w:rPr>
                <w:rFonts w:ascii="Arial" w:hAnsi="Arial" w:cs="Arial"/>
                <w:sz w:val="20"/>
              </w:rPr>
            </w:pPr>
            <w:r w:rsidRPr="00304864">
              <w:rPr>
                <w:rFonts w:ascii="Arial" w:hAnsi="Arial" w:cs="Arial"/>
                <w:sz w:val="20"/>
              </w:rPr>
              <w:t>Number of small scale investments and demonstration projects</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Number</w:t>
            </w:r>
          </w:p>
        </w:tc>
        <w:tc>
          <w:tcPr>
            <w:tcW w:w="1370" w:type="dxa"/>
            <w:vAlign w:val="center"/>
          </w:tcPr>
          <w:p w:rsidR="00DF4E40" w:rsidRPr="00304864" w:rsidRDefault="00DF4E40" w:rsidP="00A30AEC">
            <w:pPr>
              <w:jc w:val="center"/>
              <w:rPr>
                <w:rFonts w:ascii="Arial" w:hAnsi="Arial" w:cs="Arial"/>
                <w:sz w:val="20"/>
              </w:rPr>
            </w:pPr>
            <w:r w:rsidRPr="00304864">
              <w:rPr>
                <w:rFonts w:ascii="Arial" w:hAnsi="Arial" w:cs="Arial"/>
                <w:sz w:val="20"/>
              </w:rPr>
              <w:t>10</w:t>
            </w:r>
          </w:p>
        </w:tc>
        <w:tc>
          <w:tcPr>
            <w:tcW w:w="1750" w:type="dxa"/>
            <w:vAlign w:val="center"/>
          </w:tcPr>
          <w:p w:rsidR="00DF4E40" w:rsidRPr="00304864" w:rsidRDefault="00DF4E40" w:rsidP="00A30AEC">
            <w:pPr>
              <w:jc w:val="center"/>
              <w:rPr>
                <w:rFonts w:ascii="Arial" w:hAnsi="Arial" w:cs="Arial"/>
                <w:sz w:val="20"/>
              </w:rPr>
            </w:pPr>
            <w:r w:rsidRPr="00304864">
              <w:rPr>
                <w:rFonts w:ascii="Arial" w:hAnsi="Arial" w:cs="Arial"/>
                <w:sz w:val="20"/>
              </w:rPr>
              <w:t>Monitoring/Project progress reports</w:t>
            </w:r>
          </w:p>
        </w:tc>
        <w:tc>
          <w:tcPr>
            <w:tcW w:w="1310" w:type="dxa"/>
            <w:vAlign w:val="center"/>
          </w:tcPr>
          <w:p w:rsidR="00DF4E40" w:rsidRPr="00304864" w:rsidRDefault="00DF4E40" w:rsidP="00A30AEC">
            <w:pPr>
              <w:jc w:val="center"/>
              <w:rPr>
                <w:rFonts w:ascii="Arial" w:hAnsi="Arial" w:cs="Arial"/>
                <w:sz w:val="20"/>
              </w:rPr>
            </w:pPr>
            <w:r w:rsidRPr="00304864">
              <w:rPr>
                <w:rFonts w:ascii="Arial" w:hAnsi="Arial" w:cs="Arial"/>
                <w:sz w:val="20"/>
              </w:rPr>
              <w:t>Annually</w:t>
            </w:r>
          </w:p>
        </w:tc>
      </w:tr>
      <w:tr w:rsidR="00DF4E40" w:rsidRPr="00304864" w:rsidTr="00C779B8">
        <w:trPr>
          <w:trHeight w:val="79"/>
          <w:jc w:val="center"/>
        </w:trPr>
        <w:tc>
          <w:tcPr>
            <w:tcW w:w="1089" w:type="dxa"/>
            <w:shd w:val="clear" w:color="auto" w:fill="C6D9F1" w:themeFill="text2" w:themeFillTint="33"/>
            <w:vAlign w:val="center"/>
          </w:tcPr>
          <w:p w:rsidR="00DF4E40" w:rsidRPr="00304864" w:rsidRDefault="00DF4E40" w:rsidP="00A30AEC">
            <w:pPr>
              <w:snapToGrid w:val="0"/>
              <w:jc w:val="center"/>
              <w:rPr>
                <w:rFonts w:ascii="Arial" w:hAnsi="Arial" w:cs="Arial"/>
                <w:b/>
                <w:sz w:val="20"/>
              </w:rPr>
            </w:pPr>
            <w:r w:rsidRPr="00304864">
              <w:rPr>
                <w:rFonts w:ascii="Arial" w:hAnsi="Arial" w:cs="Arial"/>
                <w:b/>
                <w:sz w:val="20"/>
              </w:rPr>
              <w:t>COI_2</w:t>
            </w:r>
          </w:p>
        </w:tc>
        <w:tc>
          <w:tcPr>
            <w:tcW w:w="2138" w:type="dxa"/>
            <w:vAlign w:val="center"/>
          </w:tcPr>
          <w:p w:rsidR="00DF4E40" w:rsidRPr="00304864" w:rsidRDefault="00DF4E40" w:rsidP="00A30AEC">
            <w:pPr>
              <w:ind w:left="56"/>
              <w:jc w:val="center"/>
              <w:rPr>
                <w:rFonts w:ascii="Arial" w:hAnsi="Arial" w:cs="Arial"/>
                <w:sz w:val="20"/>
              </w:rPr>
            </w:pPr>
            <w:r w:rsidRPr="00304864">
              <w:rPr>
                <w:rFonts w:ascii="Arial" w:hAnsi="Arial" w:cs="Arial"/>
                <w:sz w:val="20"/>
              </w:rPr>
              <w:t>Increase in expected number of visits to supported sites of cultural and natural heritage and attractions</w:t>
            </w:r>
          </w:p>
        </w:tc>
        <w:tc>
          <w:tcPr>
            <w:tcW w:w="1629" w:type="dxa"/>
            <w:vAlign w:val="center"/>
          </w:tcPr>
          <w:p w:rsidR="00DF4E40" w:rsidRPr="00304864" w:rsidRDefault="0047372F" w:rsidP="00A30AEC">
            <w:pPr>
              <w:jc w:val="center"/>
              <w:rPr>
                <w:rFonts w:ascii="Arial" w:hAnsi="Arial" w:cs="Arial"/>
                <w:sz w:val="20"/>
              </w:rPr>
            </w:pPr>
            <w:r>
              <w:rPr>
                <w:rFonts w:ascii="Arial" w:hAnsi="Arial" w:cs="Arial"/>
                <w:sz w:val="20"/>
              </w:rPr>
              <w:t>V</w:t>
            </w:r>
            <w:r w:rsidR="00DF4E40" w:rsidRPr="00304864">
              <w:rPr>
                <w:rFonts w:ascii="Arial" w:hAnsi="Arial" w:cs="Arial"/>
                <w:sz w:val="20"/>
              </w:rPr>
              <w:t>isits/year</w:t>
            </w:r>
          </w:p>
        </w:tc>
        <w:tc>
          <w:tcPr>
            <w:tcW w:w="1370" w:type="dxa"/>
            <w:vAlign w:val="center"/>
          </w:tcPr>
          <w:p w:rsidR="00DF4E40" w:rsidRPr="00304864" w:rsidRDefault="00DF4E40" w:rsidP="00A30AEC">
            <w:pPr>
              <w:jc w:val="center"/>
              <w:rPr>
                <w:rFonts w:ascii="Arial" w:hAnsi="Arial" w:cs="Arial"/>
                <w:sz w:val="20"/>
              </w:rPr>
            </w:pPr>
            <w:r w:rsidRPr="00304864">
              <w:rPr>
                <w:rFonts w:ascii="Arial" w:hAnsi="Arial" w:cs="Arial"/>
                <w:sz w:val="20"/>
              </w:rPr>
              <w:t>20.000</w:t>
            </w:r>
          </w:p>
        </w:tc>
        <w:tc>
          <w:tcPr>
            <w:tcW w:w="1750" w:type="dxa"/>
            <w:vAlign w:val="center"/>
          </w:tcPr>
          <w:p w:rsidR="00DF4E40" w:rsidRPr="00304864" w:rsidRDefault="00DF4E40" w:rsidP="00A30AEC">
            <w:pPr>
              <w:jc w:val="center"/>
              <w:rPr>
                <w:rFonts w:ascii="Arial" w:hAnsi="Arial" w:cs="Arial"/>
                <w:sz w:val="20"/>
              </w:rPr>
            </w:pPr>
            <w:r w:rsidRPr="00304864">
              <w:rPr>
                <w:rFonts w:ascii="Arial" w:hAnsi="Arial" w:cs="Arial"/>
                <w:sz w:val="20"/>
              </w:rPr>
              <w:t>Monitoring/Project progress reports</w:t>
            </w:r>
          </w:p>
        </w:tc>
        <w:tc>
          <w:tcPr>
            <w:tcW w:w="1310" w:type="dxa"/>
            <w:vAlign w:val="center"/>
          </w:tcPr>
          <w:p w:rsidR="00DF4E40" w:rsidRPr="00304864" w:rsidRDefault="00DF4E40" w:rsidP="00A30AEC">
            <w:pPr>
              <w:jc w:val="center"/>
              <w:rPr>
                <w:rFonts w:ascii="Arial" w:hAnsi="Arial" w:cs="Arial"/>
                <w:sz w:val="20"/>
              </w:rPr>
            </w:pPr>
            <w:r w:rsidRPr="00304864">
              <w:rPr>
                <w:rFonts w:ascii="Arial" w:hAnsi="Arial" w:cs="Arial"/>
                <w:sz w:val="20"/>
              </w:rPr>
              <w:t>Annually</w:t>
            </w:r>
          </w:p>
        </w:tc>
      </w:tr>
    </w:tbl>
    <w:p w:rsidR="00DF4E40" w:rsidRPr="00304864" w:rsidRDefault="00DF4E40">
      <w:pPr>
        <w:rPr>
          <w:rFonts w:ascii="Arial" w:hAnsi="Arial" w:cs="Arial"/>
          <w:sz w:val="22"/>
          <w:szCs w:val="22"/>
        </w:rPr>
      </w:pPr>
      <w:r w:rsidRPr="00304864">
        <w:rPr>
          <w:rFonts w:ascii="Arial" w:hAnsi="Arial" w:cs="Arial"/>
          <w:sz w:val="22"/>
          <w:szCs w:val="22"/>
        </w:rPr>
        <w:br w:type="page"/>
      </w:r>
    </w:p>
    <w:p w:rsidR="00DF4E40" w:rsidRPr="00A30AEC" w:rsidRDefault="00DF4E40">
      <w:pPr>
        <w:pStyle w:val="Heading3"/>
        <w:spacing w:before="0" w:after="120"/>
        <w:ind w:left="0"/>
        <w:rPr>
          <w:rFonts w:ascii="Arial" w:hAnsi="Arial" w:cs="Arial"/>
          <w:b w:val="0"/>
          <w:color w:val="002060"/>
          <w:sz w:val="22"/>
          <w:szCs w:val="22"/>
        </w:rPr>
      </w:pPr>
      <w:bookmarkStart w:id="152" w:name="_Toc420652515"/>
      <w:bookmarkStart w:id="153" w:name="_Toc421076867"/>
      <w:r w:rsidRPr="00A30AEC">
        <w:rPr>
          <w:rFonts w:ascii="Arial" w:hAnsi="Arial" w:cs="Arial"/>
          <w:b w:val="0"/>
          <w:color w:val="002060"/>
          <w:sz w:val="22"/>
          <w:szCs w:val="22"/>
        </w:rPr>
        <w:t>2.A.4. Investment priority 6d</w:t>
      </w:r>
      <w:bookmarkEnd w:id="152"/>
      <w:bookmarkEnd w:id="153"/>
    </w:p>
    <w:p w:rsidR="00DF4E40" w:rsidRPr="00C71BD4" w:rsidRDefault="00DF4E40">
      <w:pPr>
        <w:pStyle w:val="Text3"/>
        <w:ind w:left="0"/>
        <w:rPr>
          <w:rFonts w:ascii="Arial" w:hAnsi="Arial" w:cs="Arial"/>
          <w:sz w:val="22"/>
          <w:szCs w:val="22"/>
          <w:lang w:eastAsia="fr-BE"/>
        </w:rPr>
      </w:pPr>
      <w:r w:rsidRPr="00A30AEC">
        <w:rPr>
          <w:rFonts w:ascii="Arial" w:hAnsi="Arial" w:cs="Arial"/>
          <w:sz w:val="22"/>
          <w:szCs w:val="22"/>
        </w:rPr>
        <w:t>(Reference: points (b)(i)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DA3B3A" w:rsidRPr="00DA3B3A" w:rsidTr="00AD02BA">
        <w:tc>
          <w:tcPr>
            <w:tcW w:w="9286" w:type="dxa"/>
            <w:shd w:val="clear" w:color="auto" w:fill="C6D9F1"/>
          </w:tcPr>
          <w:p w:rsidR="00DF4E40" w:rsidRPr="00A30AEC" w:rsidRDefault="00DF4E40">
            <w:pPr>
              <w:rPr>
                <w:rFonts w:ascii="Arial" w:hAnsi="Arial" w:cs="Arial"/>
                <w:b/>
                <w:szCs w:val="22"/>
              </w:rPr>
            </w:pPr>
            <w:bookmarkStart w:id="154" w:name="_Toc377402562"/>
            <w:r w:rsidRPr="00A30AEC">
              <w:rPr>
                <w:rFonts w:ascii="Arial" w:hAnsi="Arial" w:cs="Arial"/>
                <w:b/>
                <w:sz w:val="22"/>
                <w:szCs w:val="22"/>
              </w:rPr>
              <w:t>INVESTMENT PRIORITY 6.d</w:t>
            </w:r>
            <w:bookmarkEnd w:id="154"/>
          </w:p>
        </w:tc>
      </w:tr>
      <w:tr w:rsidR="00DF4E40" w:rsidRPr="00304864" w:rsidTr="00E30640">
        <w:tc>
          <w:tcPr>
            <w:tcW w:w="9286" w:type="dxa"/>
          </w:tcPr>
          <w:p w:rsidR="00DF4E40" w:rsidRPr="00304864" w:rsidRDefault="00DF4E40">
            <w:pPr>
              <w:rPr>
                <w:rFonts w:ascii="Arial" w:hAnsi="Arial" w:cs="Arial"/>
                <w:b/>
                <w:color w:val="FFFFFF"/>
                <w:szCs w:val="22"/>
              </w:rPr>
            </w:pPr>
            <w:r w:rsidRPr="00304864">
              <w:rPr>
                <w:rFonts w:ascii="Arial" w:hAnsi="Arial" w:cs="Arial"/>
                <w:b/>
                <w:sz w:val="22"/>
                <w:szCs w:val="22"/>
              </w:rPr>
              <w:t>Protecting and restoring biodiversity and soil and promoting ecosystem services, including through Natura 2000, and green infrastructure</w:t>
            </w:r>
          </w:p>
        </w:tc>
      </w:tr>
    </w:tbl>
    <w:p w:rsidR="00DF4E40" w:rsidRPr="00304864" w:rsidRDefault="00DF4E40">
      <w:pPr>
        <w:pStyle w:val="Heading3"/>
        <w:spacing w:before="0" w:after="120"/>
        <w:ind w:left="0"/>
        <w:rPr>
          <w:rFonts w:ascii="Arial" w:hAnsi="Arial" w:cs="Arial"/>
          <w:noProof w:val="0"/>
          <w:color w:val="002060"/>
          <w:sz w:val="22"/>
          <w:szCs w:val="22"/>
        </w:rPr>
      </w:pPr>
      <w:bookmarkStart w:id="155" w:name="_Toc377402563"/>
    </w:p>
    <w:p w:rsidR="00DF4E40" w:rsidRPr="00304864" w:rsidRDefault="00DF4E40">
      <w:pPr>
        <w:pStyle w:val="Heading3"/>
        <w:spacing w:before="0" w:after="120"/>
        <w:ind w:left="0"/>
        <w:rPr>
          <w:rFonts w:ascii="Arial" w:hAnsi="Arial" w:cs="Arial"/>
          <w:noProof w:val="0"/>
          <w:color w:val="002060"/>
          <w:sz w:val="22"/>
          <w:szCs w:val="22"/>
        </w:rPr>
      </w:pPr>
    </w:p>
    <w:p w:rsidR="00515B42" w:rsidRPr="002B7D4C" w:rsidRDefault="00515B42" w:rsidP="00A30AEC">
      <w:pPr>
        <w:pStyle w:val="Heading3"/>
        <w:spacing w:before="0" w:after="120"/>
        <w:ind w:left="0"/>
        <w:rPr>
          <w:rFonts w:ascii="Arial" w:hAnsi="Arial" w:cs="Arial"/>
          <w:b w:val="0"/>
          <w:strike/>
          <w:color w:val="002060"/>
          <w:sz w:val="22"/>
          <w:szCs w:val="22"/>
        </w:rPr>
      </w:pPr>
      <w:bookmarkStart w:id="156" w:name="_Toc421076868"/>
      <w:bookmarkStart w:id="157" w:name="_Toc420652516"/>
      <w:r w:rsidRPr="002B7D4C">
        <w:rPr>
          <w:rFonts w:ascii="Arial" w:hAnsi="Arial" w:cs="Arial"/>
          <w:b w:val="0"/>
          <w:color w:val="002060"/>
          <w:sz w:val="22"/>
          <w:szCs w:val="22"/>
        </w:rPr>
        <w:t xml:space="preserve">2.A.5.Specific objective </w:t>
      </w:r>
      <w:r w:rsidRPr="00A30AEC">
        <w:rPr>
          <w:rFonts w:ascii="Arial" w:hAnsi="Arial" w:cs="Arial"/>
          <w:b w:val="0"/>
          <w:color w:val="002060"/>
          <w:sz w:val="22"/>
          <w:szCs w:val="22"/>
        </w:rPr>
        <w:t>corresponding to the investment priority and expected results</w:t>
      </w:r>
      <w:bookmarkEnd w:id="156"/>
    </w:p>
    <w:bookmarkEnd w:id="155"/>
    <w:bookmarkEnd w:id="157"/>
    <w:p w:rsidR="00DF4E40" w:rsidRPr="00C71BD4" w:rsidRDefault="00DF4E40">
      <w:pPr>
        <w:pStyle w:val="Text3"/>
        <w:ind w:left="0"/>
        <w:rPr>
          <w:rFonts w:ascii="Arial" w:hAnsi="Arial" w:cs="Arial"/>
          <w:sz w:val="22"/>
          <w:szCs w:val="22"/>
          <w:lang w:eastAsia="fr-BE"/>
        </w:rPr>
      </w:pPr>
      <w:r w:rsidRPr="00A30AEC">
        <w:rPr>
          <w:rFonts w:ascii="Arial" w:hAnsi="Arial" w:cs="Arial"/>
          <w:sz w:val="22"/>
          <w:szCs w:val="22"/>
        </w:rPr>
        <w:t>(Reference: points (b)(i) and (ii)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335"/>
      </w:tblGrid>
      <w:tr w:rsidR="00DF4E40" w:rsidRPr="00304864" w:rsidTr="00A30AEC">
        <w:tc>
          <w:tcPr>
            <w:tcW w:w="1951"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ID</w:t>
            </w:r>
          </w:p>
        </w:tc>
        <w:tc>
          <w:tcPr>
            <w:tcW w:w="7335" w:type="dxa"/>
            <w:shd w:val="clear" w:color="auto" w:fill="C6D9F1"/>
          </w:tcPr>
          <w:p w:rsidR="00DF4E40" w:rsidRPr="00304864" w:rsidRDefault="00DF4E40">
            <w:pPr>
              <w:jc w:val="left"/>
              <w:rPr>
                <w:rFonts w:ascii="Arial" w:hAnsi="Arial" w:cs="Arial"/>
                <w:b/>
                <w:i/>
                <w:szCs w:val="22"/>
              </w:rPr>
            </w:pPr>
            <w:r w:rsidRPr="00304864">
              <w:rPr>
                <w:rFonts w:ascii="Arial" w:hAnsi="Arial" w:cs="Arial"/>
                <w:b/>
                <w:sz w:val="22"/>
                <w:szCs w:val="22"/>
              </w:rPr>
              <w:t>2.2</w:t>
            </w:r>
          </w:p>
        </w:tc>
      </w:tr>
      <w:tr w:rsidR="00DF4E40" w:rsidRPr="00304864" w:rsidTr="001857D8">
        <w:tc>
          <w:tcPr>
            <w:tcW w:w="1951" w:type="dxa"/>
          </w:tcPr>
          <w:p w:rsidR="00DF4E40" w:rsidRPr="00304864" w:rsidRDefault="00DF4E40">
            <w:pPr>
              <w:jc w:val="left"/>
              <w:rPr>
                <w:rFonts w:ascii="Arial" w:hAnsi="Arial" w:cs="Arial"/>
                <w:b/>
                <w:szCs w:val="22"/>
              </w:rPr>
            </w:pPr>
            <w:r w:rsidRPr="00304864">
              <w:rPr>
                <w:rFonts w:ascii="Arial" w:hAnsi="Arial" w:cs="Arial"/>
                <w:b/>
                <w:sz w:val="22"/>
                <w:szCs w:val="22"/>
              </w:rPr>
              <w:t>Specific Objective</w:t>
            </w:r>
          </w:p>
        </w:tc>
        <w:tc>
          <w:tcPr>
            <w:tcW w:w="7335" w:type="dxa"/>
          </w:tcPr>
          <w:p w:rsidR="00DF4E40" w:rsidRPr="00304864" w:rsidRDefault="00DF4E40">
            <w:pPr>
              <w:rPr>
                <w:rFonts w:ascii="Arial" w:hAnsi="Arial" w:cs="Arial"/>
                <w:b/>
                <w:i/>
                <w:szCs w:val="22"/>
              </w:rPr>
            </w:pPr>
            <w:r w:rsidRPr="00304864">
              <w:rPr>
                <w:rFonts w:ascii="Arial" w:hAnsi="Arial" w:cs="Arial"/>
                <w:b/>
                <w:sz w:val="22"/>
                <w:szCs w:val="22"/>
              </w:rPr>
              <w:t xml:space="preserve">Enhance the capacity in transnationally tackling environmental vulnerability, fragmentation, and the safeguarding of ecosystem services in the ADRION area </w:t>
            </w:r>
          </w:p>
        </w:tc>
      </w:tr>
      <w:tr w:rsidR="00DF4E40" w:rsidRPr="00304864" w:rsidTr="001857D8">
        <w:tc>
          <w:tcPr>
            <w:tcW w:w="1951" w:type="dxa"/>
          </w:tcPr>
          <w:p w:rsidR="00DF4E40" w:rsidRPr="00304864" w:rsidRDefault="00DF4E40">
            <w:pPr>
              <w:rPr>
                <w:rFonts w:ascii="Arial" w:hAnsi="Arial" w:cs="Arial"/>
                <w:b/>
                <w:szCs w:val="22"/>
              </w:rPr>
            </w:pPr>
            <w:r w:rsidRPr="00304864">
              <w:rPr>
                <w:rFonts w:ascii="Arial" w:hAnsi="Arial" w:cs="Arial"/>
                <w:b/>
                <w:sz w:val="22"/>
                <w:szCs w:val="22"/>
              </w:rPr>
              <w:t>Expected results</w:t>
            </w:r>
          </w:p>
          <w:p w:rsidR="00DF4E40" w:rsidRPr="00304864" w:rsidRDefault="00DF4E40">
            <w:pPr>
              <w:rPr>
                <w:rFonts w:ascii="Arial" w:hAnsi="Arial" w:cs="Arial"/>
                <w:szCs w:val="22"/>
              </w:rPr>
            </w:pPr>
            <w:r w:rsidRPr="00304864">
              <w:rPr>
                <w:rFonts w:ascii="Arial" w:hAnsi="Arial" w:cs="Arial"/>
                <w:i/>
                <w:sz w:val="22"/>
                <w:szCs w:val="22"/>
              </w:rPr>
              <w:t>3500 char. max</w:t>
            </w:r>
            <w:r w:rsidRPr="00304864">
              <w:rPr>
                <w:rFonts w:ascii="Arial" w:hAnsi="Arial" w:cs="Arial"/>
                <w:sz w:val="22"/>
                <w:szCs w:val="22"/>
              </w:rPr>
              <w:t>.</w:t>
            </w:r>
          </w:p>
        </w:tc>
        <w:tc>
          <w:tcPr>
            <w:tcW w:w="7335" w:type="dxa"/>
          </w:tcPr>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 xml:space="preserve">ADRION area is rich in biodiversity and have a dense network of protected areas, albeit with different potential and conservation. ADRION’s key feature is the semi-enclosed sea in its core. Thus it is vulnerable to pollution, since the waters are not exchanged frequently. </w:t>
            </w:r>
          </w:p>
          <w:p w:rsidR="00DF4E40" w:rsidRPr="00304864" w:rsidRDefault="00DF4E40">
            <w:pPr>
              <w:rPr>
                <w:rFonts w:ascii="Arial" w:hAnsi="Arial" w:cs="Arial"/>
                <w:szCs w:val="22"/>
              </w:rPr>
            </w:pPr>
            <w:r w:rsidRPr="00304864">
              <w:rPr>
                <w:rFonts w:ascii="Arial" w:hAnsi="Arial" w:cs="Arial"/>
                <w:sz w:val="22"/>
                <w:szCs w:val="22"/>
              </w:rPr>
              <w:t xml:space="preserve">Recognized environmental risks related to climate change mainly include droughts and floods. </w:t>
            </w:r>
            <w:r w:rsidRPr="00304864">
              <w:rPr>
                <w:rFonts w:ascii="Arial" w:hAnsi="Arial" w:cs="Arial"/>
                <w:sz w:val="22"/>
                <w:szCs w:val="22"/>
                <w:lang w:eastAsia="fr-BE"/>
              </w:rPr>
              <w:t>There is a manifold need to tackle and manage preservation and fragmentation challenges, risks and climate change adaptation, as well as integrating Ecosystem Services, Blue and Green Growth principles in regional development planning.</w:t>
            </w:r>
          </w:p>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Hence topography and geography contribute to high environmental vulnerability, which is already strongly affected by two mutually reinforcing threats: human pressure and global climate change.</w:t>
            </w:r>
          </w:p>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Vulnerability combined with low climate change adaptation capacities, low interoperability of civil protection organisations and practices, such as in the waste sector and construction, increase the level of risk.</w:t>
            </w:r>
          </w:p>
          <w:p w:rsidR="00DF4E40" w:rsidRPr="00304864" w:rsidRDefault="00DF4E40">
            <w:pPr>
              <w:pStyle w:val="Text4"/>
              <w:ind w:left="0"/>
              <w:rPr>
                <w:rFonts w:ascii="Arial" w:hAnsi="Arial" w:cs="Arial"/>
                <w:szCs w:val="22"/>
                <w:lang w:eastAsia="fr-BE"/>
              </w:rPr>
            </w:pPr>
            <w:r w:rsidRPr="00304864">
              <w:rPr>
                <w:rFonts w:ascii="Arial" w:hAnsi="Arial" w:cs="Arial"/>
                <w:sz w:val="22"/>
                <w:szCs w:val="22"/>
                <w:lang w:eastAsia="fr-BE"/>
              </w:rPr>
              <w:t xml:space="preserve">Ecosystem services are fundamental for both the living conditions of the resident population and for the tourism sector as “intermediate input” in that they are part of the “tourism offer”. Furthermore, they are fully part of the natural and cultural heritage. Hence interventions under IP 6d should respect and integrate two aspects: </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Dynamic protection and risk management (protection, preservation and connectivity of “ecosystems”); and</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 xml:space="preserve">Sustainable use and risk prevention (integration of </w:t>
            </w:r>
            <w:r w:rsidRPr="00587306">
              <w:rPr>
                <w:rFonts w:ascii="Arial" w:hAnsi="Arial" w:cs="Arial"/>
                <w:bCs/>
                <w:sz w:val="22"/>
                <w:szCs w:val="22"/>
              </w:rPr>
              <w:t>ecosystem services).</w:t>
            </w:r>
          </w:p>
          <w:p w:rsidR="00DF4E40" w:rsidRPr="00304864" w:rsidRDefault="00DF4E40">
            <w:pPr>
              <w:pStyle w:val="Text4"/>
              <w:ind w:left="0"/>
              <w:rPr>
                <w:rFonts w:ascii="Arial" w:hAnsi="Arial" w:cs="Arial"/>
                <w:b/>
                <w:szCs w:val="22"/>
                <w:lang w:eastAsia="fr-BE"/>
              </w:rPr>
            </w:pPr>
          </w:p>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The expected results are:</w:t>
            </w:r>
          </w:p>
          <w:p w:rsidR="00DF4E40" w:rsidRPr="00304864" w:rsidRDefault="00DF4E40" w:rsidP="00A30AEC">
            <w:pPr>
              <w:pStyle w:val="Text4"/>
              <w:numPr>
                <w:ilvl w:val="0"/>
                <w:numId w:val="129"/>
              </w:numPr>
              <w:ind w:left="459"/>
              <w:rPr>
                <w:rFonts w:ascii="Arial" w:hAnsi="Arial" w:cs="Arial"/>
                <w:szCs w:val="22"/>
              </w:rPr>
            </w:pPr>
            <w:r w:rsidRPr="003E2F90">
              <w:rPr>
                <w:rFonts w:ascii="Arial" w:hAnsi="Arial" w:cs="Arial"/>
                <w:bCs/>
                <w:sz w:val="22"/>
                <w:szCs w:val="22"/>
              </w:rPr>
              <w:t>Common</w:t>
            </w:r>
            <w:r w:rsidRPr="00304864">
              <w:rPr>
                <w:rFonts w:ascii="Arial" w:hAnsi="Arial" w:cs="Arial"/>
                <w:sz w:val="22"/>
                <w:szCs w:val="22"/>
              </w:rPr>
              <w:t xml:space="preserve"> understanding among ADRION Partner States for the </w:t>
            </w:r>
            <w:r w:rsidRPr="00304864">
              <w:rPr>
                <w:rFonts w:ascii="Arial" w:hAnsi="Arial" w:cs="Arial"/>
                <w:i/>
                <w:sz w:val="22"/>
                <w:szCs w:val="22"/>
              </w:rPr>
              <w:t>status quo</w:t>
            </w:r>
            <w:r w:rsidRPr="00304864">
              <w:rPr>
                <w:rFonts w:ascii="Arial" w:hAnsi="Arial" w:cs="Arial"/>
                <w:sz w:val="22"/>
                <w:szCs w:val="22"/>
              </w:rPr>
              <w:t>, the international and EU framework and the remaining needs of transnational cooperation in the fields of environmental protection, biodiversity management, ecosystem services and climate change adaptation;</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Enhancement of the competencies/skills of the stakeholders and involved parties;</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Increased availability of data and information for delivering evidence-based responses</w:t>
            </w:r>
            <w:r w:rsidRPr="00587306">
              <w:rPr>
                <w:rFonts w:ascii="Arial" w:hAnsi="Arial" w:cs="Arial"/>
                <w:bCs/>
                <w:sz w:val="22"/>
                <w:szCs w:val="22"/>
              </w:rPr>
              <w:t xml:space="preserve"> through interoperability and systematic monitoring;</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Increased transnational cooperation, exchange and communication among authorities and civil society organisations;</w:t>
            </w:r>
          </w:p>
          <w:p w:rsidR="00DF4E40" w:rsidRPr="00A30AEC" w:rsidRDefault="00DF4E40" w:rsidP="00A30AEC">
            <w:pPr>
              <w:pStyle w:val="Text4"/>
              <w:numPr>
                <w:ilvl w:val="0"/>
                <w:numId w:val="129"/>
              </w:numPr>
              <w:ind w:left="459"/>
              <w:rPr>
                <w:rFonts w:ascii="Arial" w:hAnsi="Arial" w:cs="Arial"/>
                <w:bCs/>
                <w:sz w:val="22"/>
                <w:szCs w:val="22"/>
              </w:rPr>
            </w:pPr>
            <w:r w:rsidRPr="00A30AEC">
              <w:rPr>
                <w:rFonts w:ascii="Arial" w:hAnsi="Arial" w:cs="Arial"/>
                <w:bCs/>
                <w:sz w:val="22"/>
                <w:szCs w:val="22"/>
              </w:rPr>
              <w:t>Harmonised infrastructures, management structures and hazard/risk response mechanisms;</w:t>
            </w:r>
          </w:p>
          <w:p w:rsidR="00DF4E40" w:rsidRPr="00304864" w:rsidRDefault="00DF4E40" w:rsidP="00A30AEC">
            <w:pPr>
              <w:pStyle w:val="Text4"/>
              <w:numPr>
                <w:ilvl w:val="0"/>
                <w:numId w:val="129"/>
              </w:numPr>
              <w:ind w:left="459"/>
              <w:rPr>
                <w:rFonts w:ascii="Arial" w:hAnsi="Arial" w:cs="Arial"/>
                <w:szCs w:val="22"/>
                <w:lang w:eastAsia="fr-BE"/>
              </w:rPr>
            </w:pPr>
            <w:r w:rsidRPr="00A30AEC">
              <w:rPr>
                <w:rFonts w:ascii="Arial" w:hAnsi="Arial" w:cs="Arial"/>
                <w:bCs/>
                <w:sz w:val="22"/>
                <w:szCs w:val="22"/>
              </w:rPr>
              <w:t>Increased number of “</w:t>
            </w:r>
            <w:r w:rsidRPr="00A30AEC">
              <w:rPr>
                <w:rFonts w:ascii="Arial" w:hAnsi="Arial" w:cs="Arial"/>
                <w:bCs/>
                <w:i/>
                <w:sz w:val="22"/>
                <w:szCs w:val="22"/>
              </w:rPr>
              <w:t>state of the art</w:t>
            </w:r>
            <w:r w:rsidRPr="00A30AEC">
              <w:rPr>
                <w:rFonts w:ascii="Arial" w:hAnsi="Arial" w:cs="Arial"/>
                <w:bCs/>
                <w:sz w:val="22"/>
                <w:szCs w:val="22"/>
              </w:rPr>
              <w:t>” management and planning tools.</w:t>
            </w:r>
          </w:p>
        </w:tc>
      </w:tr>
    </w:tbl>
    <w:p w:rsidR="00DF4E40" w:rsidRPr="00304864" w:rsidRDefault="00DF4E40">
      <w:pPr>
        <w:rPr>
          <w:rFonts w:ascii="Arial" w:hAnsi="Arial" w:cs="Arial"/>
          <w:sz w:val="22"/>
          <w:szCs w:val="22"/>
        </w:rPr>
      </w:pPr>
    </w:p>
    <w:p w:rsidR="00DF4E40" w:rsidRPr="00304864" w:rsidRDefault="00DF4E40" w:rsidP="00A30AEC">
      <w:pPr>
        <w:pStyle w:val="ListBullet"/>
        <w:numPr>
          <w:ilvl w:val="0"/>
          <w:numId w:val="0"/>
        </w:numPr>
        <w:ind w:left="567" w:hanging="283"/>
        <w:rPr>
          <w:rFonts w:ascii="Arial" w:hAnsi="Arial" w:cs="Arial"/>
          <w:sz w:val="22"/>
          <w:szCs w:val="22"/>
        </w:rPr>
      </w:pPr>
    </w:p>
    <w:p w:rsidR="00F92654" w:rsidRDefault="00F92654" w:rsidP="00A30AEC">
      <w:pPr>
        <w:pStyle w:val="ListBullet"/>
        <w:numPr>
          <w:ilvl w:val="0"/>
          <w:numId w:val="0"/>
        </w:numPr>
        <w:ind w:left="567" w:hanging="283"/>
        <w:rPr>
          <w:rFonts w:ascii="Arial" w:hAnsi="Arial" w:cs="Arial"/>
          <w:sz w:val="22"/>
          <w:szCs w:val="22"/>
        </w:rPr>
        <w:sectPr w:rsidR="00F92654" w:rsidSect="00A961B0">
          <w:pgSz w:w="11906" w:h="16838"/>
          <w:pgMar w:top="1417" w:right="1134" w:bottom="1134" w:left="1134" w:header="601" w:footer="1077" w:gutter="0"/>
          <w:cols w:space="720"/>
          <w:docGrid w:linePitch="326"/>
        </w:sectPr>
      </w:pPr>
    </w:p>
    <w:p w:rsidR="00DF4E40" w:rsidRPr="00304864" w:rsidRDefault="00DF4E40">
      <w:pPr>
        <w:rPr>
          <w:rFonts w:ascii="Arial" w:hAnsi="Arial" w:cs="Arial"/>
          <w:i/>
          <w:sz w:val="22"/>
          <w:szCs w:val="22"/>
        </w:rPr>
      </w:pPr>
      <w:r w:rsidRPr="00304864">
        <w:rPr>
          <w:rFonts w:ascii="Arial" w:hAnsi="Arial" w:cs="Arial"/>
          <w:b/>
          <w:sz w:val="22"/>
          <w:szCs w:val="22"/>
        </w:rPr>
        <w:t xml:space="preserve">Table 3: Programme specific result indicators </w:t>
      </w:r>
      <w:r w:rsidRPr="00304864">
        <w:rPr>
          <w:rFonts w:ascii="Arial" w:hAnsi="Arial" w:cs="Arial"/>
          <w:i/>
          <w:sz w:val="22"/>
          <w:szCs w:val="22"/>
        </w:rPr>
        <w:t>(by specific objective)</w:t>
      </w:r>
    </w:p>
    <w:p w:rsidR="00DF4E40" w:rsidRPr="00A30AEC" w:rsidRDefault="00DF4E40">
      <w:pPr>
        <w:rPr>
          <w:rFonts w:ascii="Arial" w:hAnsi="Arial" w:cs="Arial"/>
          <w:sz w:val="22"/>
          <w:szCs w:val="22"/>
        </w:rPr>
      </w:pPr>
      <w:r w:rsidRPr="00A30AEC">
        <w:rPr>
          <w:rFonts w:ascii="Arial" w:hAnsi="Arial" w:cs="Arial"/>
          <w:sz w:val="22"/>
          <w:szCs w:val="22"/>
        </w:rPr>
        <w:t>(Reference: point (b)(ii) of Article 8(2) of Regulation (EU) No 1299/2013)</w:t>
      </w:r>
    </w:p>
    <w:p w:rsidR="00DF4E40" w:rsidRPr="00304864" w:rsidRDefault="00DF4E40">
      <w:pPr>
        <w:rPr>
          <w:rFonts w:ascii="Arial" w:hAnsi="Arial" w:cs="Arial"/>
          <w:i/>
          <w:sz w:val="22"/>
          <w:szCs w:val="22"/>
        </w:rPr>
      </w:pPr>
      <w:r w:rsidRPr="00304864">
        <w:rPr>
          <w:rFonts w:ascii="Arial" w:hAnsi="Arial" w:cs="Arial"/>
          <w:i/>
          <w:sz w:val="22"/>
          <w:szCs w:val="22"/>
        </w:rPr>
        <w:t xml:space="preserve">One (if possible) and no more than two result indicators should be used for each specific objective.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1"/>
        <w:gridCol w:w="3271"/>
        <w:gridCol w:w="1833"/>
        <w:gridCol w:w="1588"/>
        <w:gridCol w:w="1588"/>
        <w:gridCol w:w="1550"/>
        <w:gridCol w:w="1736"/>
        <w:gridCol w:w="1919"/>
      </w:tblGrid>
      <w:tr w:rsidR="00DF4E40" w:rsidRPr="00304864" w:rsidTr="00A961B0">
        <w:trPr>
          <w:trHeight w:val="870"/>
          <w:jc w:val="center"/>
        </w:trPr>
        <w:tc>
          <w:tcPr>
            <w:tcW w:w="440"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1106"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Result Indicator</w:t>
            </w:r>
          </w:p>
        </w:tc>
        <w:tc>
          <w:tcPr>
            <w:tcW w:w="620"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53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Value</w:t>
            </w:r>
          </w:p>
        </w:tc>
        <w:tc>
          <w:tcPr>
            <w:tcW w:w="53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Year</w:t>
            </w:r>
          </w:p>
        </w:tc>
        <w:tc>
          <w:tcPr>
            <w:tcW w:w="524"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w:t>
            </w:r>
            <w:r w:rsidRPr="00304864">
              <w:rPr>
                <w:rStyle w:val="FootnoteReference"/>
                <w:rFonts w:ascii="Arial" w:hAnsi="Arial" w:cs="Arial"/>
                <w:b/>
                <w:sz w:val="20"/>
              </w:rPr>
              <w:footnoteReference w:id="11"/>
            </w:r>
            <w:r w:rsidRPr="00304864">
              <w:rPr>
                <w:rFonts w:ascii="Arial" w:hAnsi="Arial" w:cs="Arial"/>
                <w:b/>
                <w:sz w:val="20"/>
              </w:rPr>
              <w:t>(2023)</w:t>
            </w:r>
          </w:p>
          <w:p w:rsidR="00DF4E40" w:rsidRPr="00304864" w:rsidRDefault="00DF4E40">
            <w:pPr>
              <w:jc w:val="center"/>
              <w:rPr>
                <w:rFonts w:ascii="Arial" w:hAnsi="Arial" w:cs="Arial"/>
                <w:i/>
                <w:sz w:val="20"/>
              </w:rPr>
            </w:pPr>
            <w:r w:rsidRPr="00304864">
              <w:rPr>
                <w:rFonts w:ascii="Arial" w:hAnsi="Arial" w:cs="Arial"/>
                <w:i/>
                <w:sz w:val="20"/>
              </w:rPr>
              <w:t>100 char.</w:t>
            </w:r>
          </w:p>
        </w:tc>
        <w:tc>
          <w:tcPr>
            <w:tcW w:w="58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pPr>
              <w:jc w:val="center"/>
              <w:rPr>
                <w:rFonts w:ascii="Arial" w:hAnsi="Arial" w:cs="Arial"/>
                <w:i/>
                <w:sz w:val="20"/>
              </w:rPr>
            </w:pPr>
            <w:r w:rsidRPr="00304864">
              <w:rPr>
                <w:rFonts w:ascii="Arial" w:hAnsi="Arial" w:cs="Arial"/>
                <w:i/>
                <w:sz w:val="20"/>
              </w:rPr>
              <w:t>200 char.</w:t>
            </w:r>
          </w:p>
        </w:tc>
        <w:tc>
          <w:tcPr>
            <w:tcW w:w="649"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i/>
                <w:sz w:val="20"/>
              </w:rPr>
            </w:pPr>
            <w:r w:rsidRPr="00304864">
              <w:rPr>
                <w:rFonts w:ascii="Arial" w:hAnsi="Arial" w:cs="Arial"/>
                <w:i/>
                <w:sz w:val="20"/>
              </w:rPr>
              <w:t>100 char.</w:t>
            </w:r>
          </w:p>
        </w:tc>
      </w:tr>
      <w:tr w:rsidR="00DF4E40" w:rsidRPr="00304864" w:rsidTr="00C779B8">
        <w:trPr>
          <w:trHeight w:val="816"/>
          <w:jc w:val="center"/>
        </w:trPr>
        <w:tc>
          <w:tcPr>
            <w:tcW w:w="440" w:type="pct"/>
            <w:shd w:val="clear" w:color="auto" w:fill="C6D9F1" w:themeFill="text2" w:themeFillTint="33"/>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IP 6.d</w:t>
            </w:r>
          </w:p>
          <w:p w:rsidR="00DF4E40" w:rsidRPr="00304864" w:rsidRDefault="00DF4E40">
            <w:pPr>
              <w:jc w:val="center"/>
              <w:rPr>
                <w:rFonts w:ascii="Arial" w:hAnsi="Arial" w:cs="Arial"/>
                <w:color w:val="000000"/>
                <w:sz w:val="20"/>
              </w:rPr>
            </w:pPr>
            <w:r w:rsidRPr="00304864">
              <w:rPr>
                <w:rFonts w:ascii="Arial" w:hAnsi="Arial" w:cs="Arial"/>
                <w:color w:val="000000"/>
                <w:sz w:val="20"/>
              </w:rPr>
              <w:t>SO 2.2</w:t>
            </w:r>
          </w:p>
        </w:tc>
        <w:tc>
          <w:tcPr>
            <w:tcW w:w="1106" w:type="pct"/>
            <w:vAlign w:val="center"/>
          </w:tcPr>
          <w:p w:rsidR="00DF4E40" w:rsidRPr="00304864" w:rsidRDefault="00DF4E40" w:rsidP="00A30AEC">
            <w:pPr>
              <w:jc w:val="center"/>
              <w:rPr>
                <w:rFonts w:ascii="Arial" w:hAnsi="Arial" w:cs="Arial"/>
                <w:color w:val="000000"/>
                <w:sz w:val="20"/>
              </w:rPr>
            </w:pPr>
            <w:r w:rsidRPr="00304864">
              <w:rPr>
                <w:rFonts w:ascii="Arial" w:hAnsi="Arial" w:cs="Arial"/>
                <w:color w:val="000000"/>
                <w:sz w:val="20"/>
              </w:rPr>
              <w:t>Level of capacity of the involved organisations to operate transnational, providing service and management regarding environmental vulnerability, fragmentation, and the safeguarding of ecosystems’ services</w:t>
            </w:r>
          </w:p>
        </w:tc>
        <w:tc>
          <w:tcPr>
            <w:tcW w:w="620" w:type="pct"/>
            <w:vAlign w:val="center"/>
          </w:tcPr>
          <w:p w:rsidR="00DF4E40" w:rsidRPr="00304864" w:rsidRDefault="00DF4E40" w:rsidP="00A30AEC">
            <w:pPr>
              <w:jc w:val="center"/>
              <w:rPr>
                <w:rFonts w:ascii="Arial" w:hAnsi="Arial" w:cs="Arial"/>
                <w:color w:val="000000"/>
                <w:sz w:val="20"/>
                <w:lang w:eastAsia="de-DE"/>
              </w:rPr>
            </w:pPr>
            <w:r w:rsidRPr="00304864">
              <w:rPr>
                <w:rFonts w:ascii="Arial" w:hAnsi="Arial" w:cs="Arial"/>
                <w:color w:val="000000"/>
                <w:sz w:val="20"/>
              </w:rPr>
              <w:t>%</w:t>
            </w:r>
          </w:p>
        </w:tc>
        <w:tc>
          <w:tcPr>
            <w:tcW w:w="537"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77%</w:t>
            </w:r>
          </w:p>
        </w:tc>
        <w:tc>
          <w:tcPr>
            <w:tcW w:w="537"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2014</w:t>
            </w:r>
          </w:p>
        </w:tc>
        <w:tc>
          <w:tcPr>
            <w:tcW w:w="524"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Increase</w:t>
            </w:r>
          </w:p>
        </w:tc>
        <w:tc>
          <w:tcPr>
            <w:tcW w:w="587" w:type="pct"/>
            <w:vAlign w:val="center"/>
          </w:tcPr>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Survey</w:t>
            </w:r>
          </w:p>
        </w:tc>
        <w:tc>
          <w:tcPr>
            <w:tcW w:w="649"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2018</w:t>
            </w:r>
          </w:p>
          <w:p w:rsidR="00DF4E40" w:rsidRPr="00304864" w:rsidRDefault="00DF4E40">
            <w:pPr>
              <w:jc w:val="center"/>
              <w:rPr>
                <w:rFonts w:ascii="Arial" w:hAnsi="Arial" w:cs="Arial"/>
                <w:color w:val="000000"/>
                <w:sz w:val="20"/>
              </w:rPr>
            </w:pPr>
            <w:r w:rsidRPr="00304864">
              <w:rPr>
                <w:rFonts w:ascii="Arial" w:hAnsi="Arial" w:cs="Arial"/>
                <w:color w:val="000000"/>
                <w:sz w:val="20"/>
              </w:rPr>
              <w:t>2020</w:t>
            </w:r>
          </w:p>
          <w:p w:rsidR="00DF4E40" w:rsidRPr="00304864" w:rsidRDefault="00DF4E40">
            <w:pPr>
              <w:jc w:val="center"/>
              <w:rPr>
                <w:rFonts w:ascii="Arial" w:hAnsi="Arial" w:cs="Arial"/>
                <w:color w:val="000000"/>
                <w:sz w:val="20"/>
                <w:lang w:eastAsia="de-DE"/>
              </w:rPr>
            </w:pPr>
            <w:r w:rsidRPr="00304864">
              <w:rPr>
                <w:rFonts w:ascii="Arial" w:hAnsi="Arial" w:cs="Arial"/>
                <w:color w:val="000000"/>
                <w:sz w:val="20"/>
              </w:rPr>
              <w:t>2023</w:t>
            </w:r>
          </w:p>
        </w:tc>
      </w:tr>
    </w:tbl>
    <w:p w:rsidR="00DF4E40" w:rsidRPr="00304864" w:rsidRDefault="00DF4E40">
      <w:pPr>
        <w:rPr>
          <w:rFonts w:ascii="Arial" w:hAnsi="Arial" w:cs="Arial"/>
          <w:sz w:val="22"/>
          <w:szCs w:val="22"/>
        </w:rPr>
      </w:pPr>
    </w:p>
    <w:p w:rsidR="00F92654" w:rsidRDefault="00F92654">
      <w:pPr>
        <w:pStyle w:val="Text3"/>
        <w:rPr>
          <w:rFonts w:ascii="Arial" w:hAnsi="Arial" w:cs="Arial"/>
          <w:sz w:val="22"/>
          <w:szCs w:val="22"/>
          <w:lang w:eastAsia="fr-BE"/>
        </w:rPr>
        <w:sectPr w:rsidR="00F92654" w:rsidSect="00A961B0">
          <w:pgSz w:w="16838" w:h="11906" w:orient="landscape"/>
          <w:pgMar w:top="1417" w:right="1134" w:bottom="1134" w:left="1134" w:header="601" w:footer="1077" w:gutter="0"/>
          <w:cols w:space="720"/>
          <w:docGrid w:linePitch="326"/>
        </w:sectPr>
      </w:pPr>
    </w:p>
    <w:p w:rsidR="00DF4E40" w:rsidRPr="00A30AEC" w:rsidRDefault="00DF4E40">
      <w:pPr>
        <w:pStyle w:val="Heading3"/>
        <w:spacing w:before="0" w:after="120"/>
        <w:ind w:left="0"/>
        <w:rPr>
          <w:rFonts w:ascii="Arial" w:hAnsi="Arial" w:cs="Arial"/>
          <w:b w:val="0"/>
          <w:color w:val="002060"/>
          <w:sz w:val="22"/>
          <w:szCs w:val="22"/>
        </w:rPr>
      </w:pPr>
      <w:bookmarkStart w:id="158" w:name="_Toc377402564"/>
      <w:bookmarkStart w:id="159" w:name="_Toc420652517"/>
      <w:bookmarkStart w:id="160" w:name="_Toc421076869"/>
      <w:r w:rsidRPr="00A30AEC">
        <w:rPr>
          <w:rFonts w:ascii="Arial" w:hAnsi="Arial" w:cs="Arial"/>
          <w:b w:val="0"/>
          <w:color w:val="002060"/>
          <w:sz w:val="22"/>
          <w:szCs w:val="22"/>
        </w:rPr>
        <w:t>2.A.6.Actions to be supported under the investment priority</w:t>
      </w:r>
      <w:bookmarkEnd w:id="158"/>
      <w:bookmarkEnd w:id="159"/>
      <w:bookmarkEnd w:id="160"/>
    </w:p>
    <w:p w:rsidR="007142EE" w:rsidRDefault="007142EE" w:rsidP="00A30AEC">
      <w:pPr>
        <w:pStyle w:val="Text3"/>
        <w:ind w:left="0"/>
      </w:pPr>
    </w:p>
    <w:p w:rsidR="007142EE" w:rsidRPr="00A30AEC" w:rsidRDefault="007142EE" w:rsidP="00A30AEC">
      <w:pPr>
        <w:pStyle w:val="Text3"/>
        <w:ind w:left="0"/>
      </w:pPr>
    </w:p>
    <w:p w:rsidR="00515B42" w:rsidRPr="002B7D4C" w:rsidRDefault="00515B42" w:rsidP="00A30AEC">
      <w:pPr>
        <w:pStyle w:val="Heading2"/>
        <w:spacing w:after="120"/>
        <w:rPr>
          <w:color w:val="17365D"/>
        </w:rPr>
      </w:pPr>
      <w:bookmarkStart w:id="161" w:name="_Toc421076870"/>
      <w:bookmarkStart w:id="162" w:name="_Toc420652518"/>
      <w:r w:rsidRPr="002B7D4C">
        <w:rPr>
          <w:color w:val="17365D"/>
        </w:rPr>
        <w:t xml:space="preserve">2.A.6.1 </w:t>
      </w:r>
      <w:r w:rsidRPr="002B7D4C">
        <w:rPr>
          <w:color w:val="17365D"/>
        </w:rPr>
        <w:tab/>
        <w:t xml:space="preserve">A description of the </w:t>
      </w:r>
      <w:r w:rsidRPr="002B7D4C">
        <w:t>type and examples of actions  to be supported and their expected contribution to the specific objectives, including, where appropriate, identification of the main target groups, specific territories targeted and types of beneficiaries</w:t>
      </w:r>
      <w:bookmarkEnd w:id="161"/>
    </w:p>
    <w:bookmarkEnd w:id="162"/>
    <w:p w:rsidR="00DF4E40" w:rsidRPr="00A30AEC" w:rsidRDefault="00DF4E40">
      <w:pPr>
        <w:rPr>
          <w:rFonts w:ascii="Arial" w:hAnsi="Arial" w:cs="Arial"/>
          <w:sz w:val="22"/>
          <w:szCs w:val="22"/>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Priority6.d</w:t>
            </w:r>
          </w:p>
        </w:tc>
        <w:tc>
          <w:tcPr>
            <w:tcW w:w="6484"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Protecting and restoring biodiversity and soil and promoting ecosystem services, including through Natura 2000, and green infrastructure</w:t>
            </w:r>
          </w:p>
        </w:tc>
      </w:tr>
      <w:tr w:rsidR="00DF4E40" w:rsidRPr="00304864" w:rsidTr="00F42A32">
        <w:tc>
          <w:tcPr>
            <w:tcW w:w="9286" w:type="dxa"/>
            <w:gridSpan w:val="2"/>
          </w:tcPr>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Indicative Actions to be supported are:</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Enhancement and complement of transnational frameworks and platforms for the interoperability of existing databases, promotion of data availability, observatory functions and the integration of management approaches (hazard and risk assessment, planning methodologies, management plans, sustainability and adaptation assessments etc.) especially in coordination with the EU Civil Protection Mechanism and related IPA initiatives on civil protection, floods management, risk management etc.;</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Development of implementation strategies, models and testing of pilot activities and transnational, regional and intercommunity cooperation of risk management (risk assessment, risk communication, risk managing measures and hazard prevention) and climate change adaptation in terrestrial and aquatic environments;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Implementation of research and evaluation activities through the development of a common monitoring and assessment reference framework and the deployment of advanced tools for mapping, diagnosing, protecting and managing terrestrial and maritime landscapes and habitats including awareness-raising and environmental education;</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 xml:space="preserve">Enhancement and complement of transnational networks and working groups for increasing capacity and coordination in the fields of biodiversity protection e.g. in connection to </w:t>
            </w:r>
            <w:r w:rsidRPr="00587306">
              <w:rPr>
                <w:rFonts w:ascii="Arial" w:hAnsi="Arial" w:cs="Arial"/>
                <w:bCs/>
                <w:sz w:val="22"/>
                <w:szCs w:val="22"/>
              </w:rPr>
              <w:t xml:space="preserve">the NATURA 2000 and EMERALD networks, joint management actions for large carnivores, harmonization and enforcement of national laws with EU legislation and similar </w:t>
            </w:r>
            <w:r w:rsidRPr="009956A4">
              <w:rPr>
                <w:rFonts w:ascii="Arial" w:hAnsi="Arial" w:cs="Arial"/>
                <w:bCs/>
                <w:sz w:val="22"/>
                <w:szCs w:val="22"/>
              </w:rPr>
              <w:t>actions;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Enhancement and complement of transnational networks and working groups for increasing marine knowledge in order to ensure a sound basis for the implementation of the Marine Framework Strategy Directive, including Deep Sea Resources Monitoring &amp; Surveillance and Management and Mapping of threats to coastal and marine biodiversity;</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Enhancement and complement of transnational networks and working groups for the development of transnational Special Spatial Plans (e.g. on RES, on tourism, on agriculture and forestry), Maritime Spatial Planning, Multiannual Fishery Management Plans and Integrated Coastal Zone Management Plans and Procedures;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Enhancement and complement of transnational networks and working groups for the development of transnational terrestrial and maritime protected areas and habitats and integration thereof in the tourism product of the ADRION area;</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Development of and integration of existing transnational systems, procedures and early warning systems for identifying, managing and preventing localised and diffusing pollution from various sources (oil spills from maritime transport and marine litter in general, coastal industries and discharges, accidents, nitrates from agriculture, organic load from aquaculture, noise, light- and wastewater-pollution from tourism hotspots, landfills, soil contamination etc.);</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Development of and integration of existing of transnational systems, procedures and early warning systems for forecasting, managing and preventing natural and manmade hazards (forest fires, sea and river floods, industrial accidents, droughts, storms, algal blooms, earthquakes erosion and etc.) especially in coordination with the EU Civil Protection Mechanism and related IPA initiatives on civil protection, floods management, risk management etc.;</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Enhancement and complement of transnational frameworks and platforms for the harmonisation and enforcement of national laws and EU legislation (e.g. implementation of the EU Flood directive (2007/60), regional Strategies and international obligations (e.g. the Barcelona Convention), with special attention on coastal urban areas and trans boundary issues, the joint contingency planning and coordinated emergency response and interoperability of civil protection mechanisms and organisations;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Enhancement and complement of transnational frameworks and platforms for the exchange of best practices especially in coordination with the EU Civil Protection Mechanism and related IPA initiatives on civil protection, floods management, risk management etc., the experimentation and piloting with new innovative and integrated approaches (e.g. integrated and sustainable management of protected areas with cultural heritage as a powerful asset for inclusive economic development) approaches and the evaluation of existing and perspective methods and procedures in order to develop an ADRION environmental protection knowledge base and promotion of the topics in the society and especially among the youth</w:t>
            </w:r>
            <w:r w:rsidR="00BE6768">
              <w:rPr>
                <w:rFonts w:ascii="Arial" w:hAnsi="Arial" w:cs="Arial"/>
                <w:bCs/>
                <w:sz w:val="22"/>
                <w:szCs w:val="22"/>
              </w:rPr>
              <w:t>;</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Improvement of the interoperability of existing databases</w:t>
            </w:r>
            <w:r w:rsidR="00BE6768">
              <w:rPr>
                <w:rFonts w:ascii="Arial" w:hAnsi="Arial" w:cs="Arial"/>
                <w:bCs/>
                <w:sz w:val="22"/>
                <w:szCs w:val="22"/>
              </w:rPr>
              <w:t>.</w:t>
            </w:r>
          </w:p>
          <w:p w:rsidR="00DF4E40" w:rsidRPr="00304864" w:rsidRDefault="00DF4E40">
            <w:pPr>
              <w:autoSpaceDE w:val="0"/>
              <w:autoSpaceDN w:val="0"/>
              <w:adjustRightInd w:val="0"/>
              <w:rPr>
                <w:rFonts w:ascii="Arial" w:hAnsi="Arial" w:cs="Arial"/>
                <w:color w:val="000000"/>
                <w:szCs w:val="22"/>
                <w:lang w:eastAsia="it-IT"/>
              </w:rPr>
            </w:pPr>
            <w:r w:rsidRPr="00304864">
              <w:rPr>
                <w:rFonts w:ascii="Arial" w:hAnsi="Arial" w:cs="Arial"/>
                <w:color w:val="000000"/>
                <w:sz w:val="22"/>
                <w:szCs w:val="22"/>
                <w:lang w:eastAsia="it-IT"/>
              </w:rPr>
              <w:t>All proposals and initiatives in the area of cross-border civil protection and disaster management should not overlap with the existing European structures such as the Union Civil Protection Mechanism which is the European framework for cooperation and coordination in the field of disaster prevention, preparedness and response. Activities under this Programme should be complementing and supporting the countries’ participation in the Union Civil Protection Mechanism and similar capacity building activities which are being provided to the region through the Mechanism and the Instrument for Pre-accession Assistance (e.g.</w:t>
            </w:r>
            <w:r w:rsidR="00BE6768">
              <w:rPr>
                <w:rFonts w:ascii="Arial" w:hAnsi="Arial" w:cs="Arial"/>
                <w:color w:val="000000"/>
                <w:sz w:val="22"/>
                <w:szCs w:val="22"/>
                <w:lang w:eastAsia="it-IT"/>
              </w:rPr>
              <w:t>:</w:t>
            </w:r>
            <w:r w:rsidRPr="00304864">
              <w:rPr>
                <w:rFonts w:ascii="Arial" w:hAnsi="Arial" w:cs="Arial"/>
                <w:color w:val="000000"/>
                <w:sz w:val="22"/>
                <w:szCs w:val="22"/>
                <w:lang w:eastAsia="it-IT"/>
              </w:rPr>
              <w:t xml:space="preserve"> regional IPA programmes on civil protection cooperation, floods management and risk assessment and mapping). </w:t>
            </w:r>
          </w:p>
          <w:p w:rsidR="00DF4E40" w:rsidRPr="00304864" w:rsidRDefault="00DF4E40">
            <w:pPr>
              <w:pStyle w:val="Text4"/>
              <w:ind w:left="0"/>
              <w:rPr>
                <w:rFonts w:ascii="Arial" w:hAnsi="Arial" w:cs="Arial"/>
                <w:szCs w:val="22"/>
                <w:lang w:eastAsia="fr-BE"/>
              </w:rPr>
            </w:pPr>
          </w:p>
          <w:p w:rsidR="00DF4E40" w:rsidRPr="00304864" w:rsidRDefault="00DF4E40">
            <w:pPr>
              <w:pStyle w:val="Text4"/>
              <w:ind w:left="0"/>
              <w:rPr>
                <w:rFonts w:ascii="Arial" w:hAnsi="Arial" w:cs="Arial"/>
                <w:szCs w:val="22"/>
                <w:lang w:eastAsia="fr-BE"/>
              </w:rPr>
            </w:pPr>
            <w:r w:rsidRPr="00304864">
              <w:rPr>
                <w:rFonts w:ascii="Arial" w:hAnsi="Arial" w:cs="Arial"/>
                <w:b/>
                <w:sz w:val="22"/>
                <w:szCs w:val="22"/>
                <w:lang w:eastAsia="fr-BE"/>
              </w:rPr>
              <w:t>Target groups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General public;</w:t>
            </w:r>
          </w:p>
          <w:p w:rsidR="00DF4E40" w:rsidRPr="00A30AEC" w:rsidRDefault="00DF4E40" w:rsidP="00A30AEC">
            <w:pPr>
              <w:pStyle w:val="ListParagraph"/>
              <w:numPr>
                <w:ilvl w:val="0"/>
                <w:numId w:val="130"/>
              </w:numPr>
              <w:ind w:left="426"/>
              <w:rPr>
                <w:rFonts w:ascii="Arial" w:hAnsi="Arial" w:cs="Arial"/>
                <w:color w:val="000000"/>
                <w:sz w:val="22"/>
                <w:szCs w:val="22"/>
                <w:lang w:val="en-US" w:eastAsia="it-IT"/>
              </w:rPr>
            </w:pPr>
            <w:r w:rsidRPr="00A30AEC">
              <w:rPr>
                <w:rFonts w:ascii="Arial" w:hAnsi="Arial" w:cs="Arial"/>
                <w:color w:val="000000"/>
                <w:sz w:val="22"/>
                <w:szCs w:val="22"/>
                <w:lang w:val="en-GB" w:eastAsia="it-IT"/>
              </w:rPr>
              <w:t>Groups listed under the caption “Indicative types of beneficiaries”;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Enterprises, including SME.</w:t>
            </w:r>
          </w:p>
          <w:p w:rsidR="00DF4E40" w:rsidRPr="00304864" w:rsidRDefault="00DF4E40">
            <w:pPr>
              <w:pStyle w:val="Text4"/>
              <w:ind w:left="0"/>
              <w:rPr>
                <w:rFonts w:ascii="Arial" w:hAnsi="Arial" w:cs="Arial"/>
                <w:b/>
                <w:szCs w:val="22"/>
                <w:lang w:eastAsia="fr-BE"/>
              </w:rPr>
            </w:pPr>
          </w:p>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Indicative types of beneficiaries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Public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Agencies;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Natural Heritage &amp; Green Infrastructure management organisations</w:t>
            </w:r>
            <w:r w:rsidR="00BE6768">
              <w:rPr>
                <w:rFonts w:ascii="Arial" w:hAnsi="Arial" w:cs="Arial"/>
                <w:color w:val="000000"/>
                <w:sz w:val="22"/>
                <w:szCs w:val="22"/>
                <w:lang w:val="en-GB" w:eastAsia="it-IT"/>
              </w:rPr>
              <w:t>;</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Higher education institutions;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Schools, education/training centres;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Business support organisations;</w:t>
            </w:r>
          </w:p>
          <w:p w:rsidR="00DF4E40" w:rsidRPr="00A30AEC" w:rsidRDefault="00DF4E40" w:rsidP="00A30AEC">
            <w:pPr>
              <w:pStyle w:val="ListParagraph"/>
              <w:numPr>
                <w:ilvl w:val="0"/>
                <w:numId w:val="130"/>
              </w:numPr>
              <w:ind w:left="426"/>
              <w:rPr>
                <w:rFonts w:ascii="Arial" w:hAnsi="Arial" w:cs="Arial"/>
                <w:szCs w:val="22"/>
                <w:lang w:val="en-US"/>
              </w:rPr>
            </w:pPr>
            <w:r w:rsidRPr="00A30AEC">
              <w:rPr>
                <w:rFonts w:ascii="Arial" w:hAnsi="Arial" w:cs="Arial"/>
                <w:color w:val="000000"/>
                <w:sz w:val="22"/>
                <w:szCs w:val="22"/>
                <w:lang w:val="en-GB" w:eastAsia="it-IT"/>
              </w:rPr>
              <w:t>Interest groups including NGOs and environmental/citizen associations.</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515B42" w:rsidRDefault="00DF4E40" w:rsidP="00A30AEC">
      <w:pPr>
        <w:pStyle w:val="Heading2"/>
        <w:spacing w:after="120"/>
      </w:pPr>
      <w:bookmarkStart w:id="163" w:name="_Toc420652519"/>
      <w:bookmarkStart w:id="164" w:name="_Toc421076871"/>
      <w:r w:rsidRPr="00515B42">
        <w:t>2.A.6.2.The guiding principles for the selection of operations</w:t>
      </w:r>
      <w:bookmarkEnd w:id="163"/>
      <w:bookmarkEnd w:id="164"/>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Priority6.d</w:t>
            </w:r>
          </w:p>
        </w:tc>
        <w:tc>
          <w:tcPr>
            <w:tcW w:w="6484"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Protecting and restoring biodiversity and soil and promoting ecosystem services, including through Natura 2000, and green infrastructure</w:t>
            </w:r>
          </w:p>
        </w:tc>
      </w:tr>
      <w:tr w:rsidR="00DF4E40" w:rsidRPr="00304864" w:rsidTr="00F42A32">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 xml:space="preserve">The selection of projects will be carried out in accordance with Article 12 of the ETC regulation, following a standardised assessment procedure, the objectives of which include: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Assessment of the relevance of a project proposal;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Assessment of the feasibility of the proposed approach;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Definition of a transparent and objective basis for decision making on proposal rejection or approval;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Provision of a base for communication and improvement among Programme bodies and applicants. </w:t>
            </w:r>
          </w:p>
          <w:p w:rsidR="00DF4E40" w:rsidRPr="00304864" w:rsidRDefault="00DF4E40">
            <w:pPr>
              <w:pStyle w:val="tablelinks"/>
              <w:spacing w:before="0" w:after="120" w:line="240" w:lineRule="auto"/>
              <w:rPr>
                <w:color w:val="auto"/>
                <w:sz w:val="22"/>
                <w:szCs w:val="22"/>
              </w:rPr>
            </w:pPr>
            <w:r w:rsidRPr="00304864">
              <w:rPr>
                <w:color w:val="auto"/>
                <w:sz w:val="22"/>
                <w:szCs w:val="22"/>
              </w:rPr>
              <w:t>The assessment will be conducted using the following sets of criteria:</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Strategic Assessment Criteria</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coherence and contribution of each project proposal to the ADRION Programme Objectives and especially the relevant SO addressed;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contribution to the envisaged results per IP;</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soundness of the concept and demonstration of the need for the proposed intervention in its thematic and territorial context;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added value of transnational cooperation;</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proposed partnership relevance to the above;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the EUSAIR strategy and the contribution to the achievement of its objectives</w:t>
            </w:r>
            <w:r w:rsidR="00BD24B7">
              <w:rPr>
                <w:rFonts w:ascii="Arial" w:hAnsi="Arial" w:cs="Arial"/>
                <w:color w:val="000000"/>
                <w:sz w:val="22"/>
                <w:szCs w:val="22"/>
                <w:lang w:val="en-GB" w:eastAsia="it-IT"/>
              </w:rPr>
              <w:t>;</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other relevant EU strategies and or policies.</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Operational Assessment Criteria</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adequacy of the management provisions in terms of structures, procedures and competences;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quality and effectiveness of communication provisions;</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quality of the Work Plan in relation to clarity and coherence of the operational objectives, activities and means, feasibility, efficiency of the project and its results, potential for uptake and embedment into operative procedures of the partners involved;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adequacy of the budget provisions to guarantee the project implementation and generate value for money. </w:t>
            </w:r>
          </w:p>
          <w:p w:rsidR="00DF4E40" w:rsidRPr="00304864" w:rsidRDefault="00DF4E40">
            <w:pPr>
              <w:pStyle w:val="tablelinks"/>
              <w:spacing w:before="0" w:after="120" w:line="240" w:lineRule="auto"/>
              <w:rPr>
                <w:b/>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Coherence to Horizontal Principles Criteria</w:t>
            </w:r>
          </w:p>
          <w:p w:rsidR="00DF4E40" w:rsidRPr="00304864" w:rsidRDefault="00DF4E40">
            <w:pPr>
              <w:pStyle w:val="tablelinks"/>
              <w:spacing w:before="0" w:after="120" w:line="240" w:lineRule="auto"/>
              <w:rPr>
                <w:color w:val="auto"/>
                <w:sz w:val="22"/>
                <w:szCs w:val="22"/>
              </w:rPr>
            </w:pPr>
            <w:r w:rsidRPr="00304864">
              <w:rPr>
                <w:color w:val="auto"/>
                <w:sz w:val="22"/>
                <w:szCs w:val="22"/>
              </w:rPr>
              <w:t>These criteria shall examine the extent to which projects have integrated within their intervention logic:</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PA 2 horizontal principles, such as promotion of energy and resource efficiency and consideration of the principles of open access to innovation benefits and reproducibility;</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ADRION cross-cutting dimensions as defined in Section 1 of the CP; equal opportunities and non-discrimination, equality between men and women, social cohesion and social innovation, data and knowledge management, use of ICT, territorial and eco-systemic approach; </w:t>
            </w: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 above elements should not be considered as a “check list”, but should rather encourage projects to proactively develop their project ideas within the logic of the Programme. </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These three criteria are presented in the order of importance for the project. The Strategic Assessment Criteria examine the relevance of the project proposal; hence they retain absolute primacy over the other two criteria. The Operational Assessment Criteria ensure the successful delivery of results; hence it is enjoying a larger weight than the Coherence to Horizontal Principles Criteria, which are basically oriented towards integration of a “relevant and feasible” proposal into the ADRION logic. </w:t>
            </w:r>
          </w:p>
          <w:p w:rsidR="00DF4E40" w:rsidRPr="00304864" w:rsidRDefault="00DF4E40">
            <w:pPr>
              <w:rPr>
                <w:rFonts w:ascii="Arial" w:hAnsi="Arial" w:cs="Arial"/>
                <w:szCs w:val="22"/>
              </w:rPr>
            </w:pPr>
            <w:r w:rsidRPr="00304864">
              <w:rPr>
                <w:rFonts w:ascii="Arial" w:hAnsi="Arial" w:cs="Arial"/>
                <w:sz w:val="22"/>
                <w:szCs w:val="22"/>
              </w:rPr>
              <w:t>The detailed assessment criteria will be laid down and made available to potential applicants in the programme related manual.</w:t>
            </w:r>
          </w:p>
          <w:p w:rsidR="00DF4E40" w:rsidRPr="00304864" w:rsidRDefault="00DF4E40">
            <w:pPr>
              <w:rPr>
                <w:rFonts w:ascii="Arial" w:hAnsi="Arial" w:cs="Arial"/>
                <w:szCs w:val="22"/>
              </w:rPr>
            </w:pPr>
            <w:r w:rsidRPr="00304864">
              <w:rPr>
                <w:rFonts w:ascii="Arial" w:hAnsi="Arial" w:cs="Arial"/>
                <w:sz w:val="22"/>
                <w:szCs w:val="22"/>
              </w:rPr>
              <w:t>Preparatory cost will be eligible under the PA 2 funds</w:t>
            </w:r>
          </w:p>
        </w:tc>
      </w:tr>
    </w:tbl>
    <w:p w:rsidR="00DF4E40" w:rsidRPr="00304864" w:rsidRDefault="00DF4E40" w:rsidP="00A30AEC">
      <w:pPr>
        <w:pStyle w:val="Heading2"/>
        <w:spacing w:after="120"/>
      </w:pPr>
      <w:r w:rsidRPr="00304864">
        <w:br w:type="page"/>
      </w:r>
    </w:p>
    <w:p w:rsidR="00DF4E40" w:rsidRPr="00515B42" w:rsidRDefault="00DF4E40" w:rsidP="00A30AEC">
      <w:pPr>
        <w:pStyle w:val="Heading2"/>
        <w:spacing w:after="120"/>
      </w:pPr>
      <w:bookmarkStart w:id="165" w:name="_Toc420652520"/>
      <w:bookmarkStart w:id="166" w:name="_Toc421076872"/>
      <w:r w:rsidRPr="00515B42">
        <w:t>2.A.6.3.Planned use of financial instruments</w:t>
      </w:r>
      <w:bookmarkEnd w:id="165"/>
      <w:bookmarkEnd w:id="166"/>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Priority6.d</w:t>
            </w:r>
          </w:p>
        </w:tc>
        <w:tc>
          <w:tcPr>
            <w:tcW w:w="6484"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Protecting and restoring biodiversity and soil and promoting ecosystem services, including through Natura 2000, and green infrastructure</w:t>
            </w:r>
          </w:p>
        </w:tc>
      </w:tr>
      <w:tr w:rsidR="00DF4E40" w:rsidRPr="00304864" w:rsidTr="00F42A32">
        <w:tc>
          <w:tcPr>
            <w:tcW w:w="2802" w:type="dxa"/>
          </w:tcPr>
          <w:p w:rsidR="00DF4E40" w:rsidRPr="00304864" w:rsidRDefault="00DF4E40">
            <w:pPr>
              <w:rPr>
                <w:rFonts w:ascii="Arial" w:hAnsi="Arial" w:cs="Arial"/>
                <w:szCs w:val="22"/>
              </w:rPr>
            </w:pPr>
            <w:r w:rsidRPr="00304864">
              <w:rPr>
                <w:rFonts w:ascii="Arial" w:hAnsi="Arial" w:cs="Arial"/>
                <w:sz w:val="22"/>
                <w:szCs w:val="22"/>
              </w:rPr>
              <w:t>Planned use of financial instruments</w:t>
            </w:r>
          </w:p>
        </w:tc>
        <w:tc>
          <w:tcPr>
            <w:tcW w:w="6484" w:type="dxa"/>
          </w:tcPr>
          <w:p w:rsidR="00DF4E40" w:rsidRPr="00304864" w:rsidRDefault="00DF4E40">
            <w:pPr>
              <w:rPr>
                <w:rFonts w:ascii="Arial" w:hAnsi="Arial" w:cs="Arial"/>
                <w:szCs w:val="22"/>
              </w:rPr>
            </w:pPr>
          </w:p>
        </w:tc>
      </w:tr>
      <w:tr w:rsidR="00DF4E40" w:rsidRPr="00304864" w:rsidTr="00F42A32">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The opportunity of the elaboration and implementation of financial instruments will be debated during the implementation of the programme</w:t>
            </w:r>
          </w:p>
        </w:tc>
      </w:tr>
    </w:tbl>
    <w:p w:rsidR="00DF4E40" w:rsidRPr="00A30AEC" w:rsidRDefault="00DF4E40">
      <w:pPr>
        <w:rPr>
          <w:rFonts w:ascii="Arial" w:hAnsi="Arial" w:cs="Arial"/>
          <w:sz w:val="22"/>
          <w:szCs w:val="22"/>
        </w:rPr>
      </w:pPr>
    </w:p>
    <w:p w:rsidR="00DF4E40" w:rsidRPr="00A30AEC" w:rsidRDefault="00DF4E40">
      <w:pPr>
        <w:rPr>
          <w:rFonts w:ascii="Arial" w:hAnsi="Arial" w:cs="Arial"/>
          <w:sz w:val="22"/>
          <w:szCs w:val="22"/>
        </w:rPr>
      </w:pPr>
    </w:p>
    <w:p w:rsidR="00DF4E40" w:rsidRPr="00515B42" w:rsidRDefault="00DF4E40" w:rsidP="00A30AEC">
      <w:pPr>
        <w:pStyle w:val="Heading2"/>
        <w:spacing w:after="120"/>
      </w:pPr>
      <w:bookmarkStart w:id="167" w:name="_Toc420652521"/>
      <w:bookmarkStart w:id="168" w:name="_Toc421076873"/>
      <w:r w:rsidRPr="00515B42">
        <w:t>2.A.6.4. Planned use of major projects</w:t>
      </w:r>
      <w:bookmarkEnd w:id="167"/>
      <w:bookmarkEnd w:id="168"/>
    </w:p>
    <w:p w:rsidR="007875FA" w:rsidRPr="00A30AEC" w:rsidRDefault="007875FA">
      <w:pPr>
        <w:rPr>
          <w:rFonts w:ascii="Arial" w:hAnsi="Arial" w:cs="Arial"/>
          <w:sz w:val="22"/>
          <w:szCs w:val="22"/>
        </w:rPr>
      </w:pPr>
      <w:r w:rsidRPr="00A30AEC">
        <w:rPr>
          <w:rFonts w:ascii="Arial" w:hAnsi="Arial" w:cs="Arial"/>
          <w:sz w:val="22"/>
          <w:szCs w:val="22"/>
        </w:rPr>
        <w:t>(Reference: point (b)(iii) of Article 8(2) of the ETC Regulation)</w:t>
      </w:r>
    </w:p>
    <w:p w:rsidR="00DF4E40" w:rsidRPr="00A30AEC" w:rsidRDefault="00DF4E40">
      <w:pPr>
        <w:rPr>
          <w:rFonts w:ascii="Arial" w:hAnsi="Arial" w:cs="Arial"/>
          <w:sz w:val="22"/>
          <w:szCs w:val="22"/>
        </w:rPr>
      </w:pPr>
      <w:r w:rsidRPr="00A30AEC">
        <w:rPr>
          <w:rFonts w:ascii="Arial" w:hAnsi="Arial" w:cs="Arial"/>
          <w:sz w:val="22"/>
          <w:szCs w:val="22"/>
        </w:rPr>
        <w:t>Not applicable</w:t>
      </w:r>
    </w:p>
    <w:p w:rsidR="00DF4E40" w:rsidRPr="00304864" w:rsidRDefault="00DF4E40">
      <w:pPr>
        <w:rPr>
          <w:rFonts w:ascii="Arial" w:hAnsi="Arial" w:cs="Arial"/>
          <w:i/>
          <w:sz w:val="22"/>
          <w:szCs w:val="22"/>
        </w:rPr>
      </w:pPr>
    </w:p>
    <w:p w:rsidR="00DF4E40" w:rsidRPr="00304864" w:rsidRDefault="00DF4E40">
      <w:pPr>
        <w:rPr>
          <w:rFonts w:ascii="Arial" w:hAnsi="Arial" w:cs="Arial"/>
          <w:i/>
          <w:sz w:val="22"/>
          <w:szCs w:val="22"/>
        </w:rPr>
      </w:pPr>
    </w:p>
    <w:p w:rsidR="00DF4E40" w:rsidRPr="00515B42" w:rsidRDefault="00DF4E40" w:rsidP="00A30AEC">
      <w:pPr>
        <w:pStyle w:val="Heading2"/>
        <w:spacing w:after="120"/>
      </w:pPr>
      <w:bookmarkStart w:id="169" w:name="_Toc420652522"/>
      <w:bookmarkStart w:id="170" w:name="_Toc421076874"/>
      <w:r w:rsidRPr="00515B42">
        <w:t>2.A.6.5.Output indicators</w:t>
      </w:r>
      <w:bookmarkEnd w:id="169"/>
      <w:bookmarkEnd w:id="170"/>
    </w:p>
    <w:p w:rsidR="00DF4E40" w:rsidRPr="00A30AEC" w:rsidRDefault="00DF4E40">
      <w:pPr>
        <w:rPr>
          <w:rFonts w:ascii="Arial" w:hAnsi="Arial" w:cs="Arial"/>
          <w:sz w:val="22"/>
          <w:szCs w:val="22"/>
        </w:rPr>
      </w:pPr>
      <w:r w:rsidRPr="00A30AEC">
        <w:rPr>
          <w:rFonts w:ascii="Arial" w:hAnsi="Arial" w:cs="Arial"/>
          <w:sz w:val="22"/>
          <w:szCs w:val="22"/>
        </w:rPr>
        <w:t>(Reference: point (b)(iv) of Article 8(2) of Regulation (EU) No 1299/2013)</w:t>
      </w:r>
    </w:p>
    <w:p w:rsidR="00DF4E40" w:rsidRPr="00304864" w:rsidRDefault="00DF4E40">
      <w:pPr>
        <w:rPr>
          <w:rFonts w:ascii="Arial" w:hAnsi="Arial" w:cs="Arial"/>
          <w:i/>
          <w:sz w:val="22"/>
          <w:szCs w:val="22"/>
        </w:rPr>
      </w:pPr>
      <w:r w:rsidRPr="00304864">
        <w:rPr>
          <w:rFonts w:ascii="Arial" w:hAnsi="Arial" w:cs="Arial"/>
          <w:b/>
          <w:sz w:val="22"/>
          <w:szCs w:val="22"/>
        </w:rPr>
        <w:t xml:space="preserve">Table 4: Common and programme specific output indicators </w:t>
      </w:r>
      <w:r w:rsidRPr="00304864">
        <w:rPr>
          <w:rFonts w:ascii="Arial" w:hAnsi="Arial" w:cs="Arial"/>
          <w:i/>
          <w:sz w:val="22"/>
          <w:szCs w:val="22"/>
        </w:rPr>
        <w:t xml:space="preserve">(by investment priority) </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64"/>
        <w:gridCol w:w="1559"/>
        <w:gridCol w:w="1622"/>
        <w:gridCol w:w="1451"/>
        <w:gridCol w:w="1828"/>
        <w:gridCol w:w="1598"/>
      </w:tblGrid>
      <w:tr w:rsidR="00DF4E40" w:rsidRPr="00304864" w:rsidTr="00C558E2">
        <w:trPr>
          <w:trHeight w:val="700"/>
          <w:jc w:val="center"/>
        </w:trPr>
        <w:tc>
          <w:tcPr>
            <w:tcW w:w="1264"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1559"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Output Indicator</w:t>
            </w:r>
          </w:p>
        </w:tc>
        <w:tc>
          <w:tcPr>
            <w:tcW w:w="1622"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1451"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 (2023)</w:t>
            </w:r>
          </w:p>
        </w:tc>
        <w:tc>
          <w:tcPr>
            <w:tcW w:w="1828"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pPr>
              <w:jc w:val="center"/>
              <w:rPr>
                <w:rFonts w:ascii="Arial" w:hAnsi="Arial" w:cs="Arial"/>
                <w:i/>
                <w:sz w:val="20"/>
              </w:rPr>
            </w:pPr>
            <w:r w:rsidRPr="00304864">
              <w:rPr>
                <w:rFonts w:ascii="Arial" w:hAnsi="Arial" w:cs="Arial"/>
                <w:i/>
                <w:sz w:val="20"/>
              </w:rPr>
              <w:t>200 char. Max</w:t>
            </w:r>
          </w:p>
        </w:tc>
        <w:tc>
          <w:tcPr>
            <w:tcW w:w="1598"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i/>
                <w:sz w:val="20"/>
              </w:rPr>
            </w:pPr>
            <w:r w:rsidRPr="00304864">
              <w:rPr>
                <w:rFonts w:ascii="Arial" w:hAnsi="Arial" w:cs="Arial"/>
                <w:i/>
                <w:sz w:val="20"/>
              </w:rPr>
              <w:t>100 char. Max</w:t>
            </w:r>
          </w:p>
        </w:tc>
      </w:tr>
      <w:tr w:rsidR="00C558E2" w:rsidRPr="00304864" w:rsidTr="00C779B8">
        <w:trPr>
          <w:trHeight w:val="79"/>
          <w:jc w:val="center"/>
        </w:trPr>
        <w:tc>
          <w:tcPr>
            <w:tcW w:w="1264" w:type="dxa"/>
            <w:shd w:val="clear" w:color="auto" w:fill="C6D9F1" w:themeFill="text2" w:themeFillTint="33"/>
            <w:vAlign w:val="center"/>
          </w:tcPr>
          <w:p w:rsidR="00C558E2" w:rsidRPr="00304864" w:rsidRDefault="00C558E2" w:rsidP="00C558E2">
            <w:pPr>
              <w:snapToGrid w:val="0"/>
              <w:jc w:val="center"/>
              <w:rPr>
                <w:rFonts w:ascii="Arial" w:hAnsi="Arial" w:cs="Arial"/>
                <w:b/>
                <w:sz w:val="20"/>
                <w:lang w:eastAsia="de-DE"/>
              </w:rPr>
            </w:pPr>
            <w:r w:rsidRPr="00304864">
              <w:rPr>
                <w:rFonts w:ascii="Arial" w:hAnsi="Arial" w:cs="Arial"/>
                <w:b/>
                <w:sz w:val="20"/>
              </w:rPr>
              <w:t>OI_6d.1_1</w:t>
            </w:r>
          </w:p>
        </w:tc>
        <w:tc>
          <w:tcPr>
            <w:tcW w:w="1559" w:type="dxa"/>
            <w:vAlign w:val="center"/>
          </w:tcPr>
          <w:p w:rsidR="00C558E2" w:rsidRPr="00304864" w:rsidRDefault="00C558E2" w:rsidP="00A30AEC">
            <w:pPr>
              <w:snapToGrid w:val="0"/>
              <w:jc w:val="center"/>
              <w:rPr>
                <w:rFonts w:ascii="Arial" w:hAnsi="Arial" w:cs="Arial"/>
                <w:sz w:val="20"/>
                <w:lang w:eastAsia="de-DE"/>
              </w:rPr>
            </w:pPr>
            <w:r w:rsidRPr="00304864">
              <w:rPr>
                <w:rFonts w:ascii="Arial" w:hAnsi="Arial" w:cs="Arial"/>
                <w:sz w:val="20"/>
              </w:rPr>
              <w:t>Number of supported transnational cooperation networks</w:t>
            </w:r>
          </w:p>
          <w:p w:rsidR="00C558E2" w:rsidRPr="00304864" w:rsidRDefault="00C558E2" w:rsidP="00A30AEC">
            <w:pPr>
              <w:snapToGrid w:val="0"/>
              <w:jc w:val="center"/>
              <w:rPr>
                <w:rFonts w:ascii="Arial" w:hAnsi="Arial" w:cs="Arial"/>
                <w:sz w:val="20"/>
                <w:lang w:eastAsia="de-DE"/>
              </w:rPr>
            </w:pPr>
          </w:p>
        </w:tc>
        <w:tc>
          <w:tcPr>
            <w:tcW w:w="1622" w:type="dxa"/>
            <w:vAlign w:val="center"/>
          </w:tcPr>
          <w:p w:rsidR="00C558E2" w:rsidRPr="00304864" w:rsidRDefault="00C558E2" w:rsidP="00A30AEC">
            <w:pPr>
              <w:snapToGrid w:val="0"/>
              <w:jc w:val="center"/>
              <w:rPr>
                <w:rFonts w:ascii="Arial" w:hAnsi="Arial" w:cs="Arial"/>
                <w:sz w:val="20"/>
                <w:lang w:eastAsia="de-DE"/>
              </w:rPr>
            </w:pPr>
            <w:r w:rsidRPr="00304864">
              <w:rPr>
                <w:rFonts w:ascii="Arial" w:hAnsi="Arial" w:cs="Arial"/>
                <w:sz w:val="20"/>
              </w:rPr>
              <w:t>Number</w:t>
            </w:r>
          </w:p>
        </w:tc>
        <w:tc>
          <w:tcPr>
            <w:tcW w:w="1451" w:type="dxa"/>
            <w:vAlign w:val="center"/>
          </w:tcPr>
          <w:p w:rsidR="00C558E2" w:rsidRPr="00304864" w:rsidRDefault="00C558E2" w:rsidP="00A30AEC">
            <w:pPr>
              <w:snapToGrid w:val="0"/>
              <w:jc w:val="center"/>
              <w:rPr>
                <w:rFonts w:ascii="Arial" w:hAnsi="Arial" w:cs="Arial"/>
                <w:sz w:val="20"/>
                <w:lang w:eastAsia="de-DE"/>
              </w:rPr>
            </w:pPr>
            <w:r w:rsidRPr="00304864">
              <w:rPr>
                <w:rFonts w:ascii="Arial" w:hAnsi="Arial" w:cs="Arial"/>
                <w:sz w:val="20"/>
                <w:lang w:eastAsia="de-DE"/>
              </w:rPr>
              <w:t>20</w:t>
            </w:r>
          </w:p>
        </w:tc>
        <w:tc>
          <w:tcPr>
            <w:tcW w:w="1828" w:type="dxa"/>
            <w:vAlign w:val="center"/>
          </w:tcPr>
          <w:p w:rsidR="00C558E2" w:rsidRPr="00304864" w:rsidRDefault="00C558E2" w:rsidP="00A30AEC">
            <w:pPr>
              <w:snapToGrid w:val="0"/>
              <w:jc w:val="center"/>
              <w:rPr>
                <w:rFonts w:ascii="Arial" w:hAnsi="Arial" w:cs="Arial"/>
                <w:sz w:val="20"/>
                <w:lang w:eastAsia="de-DE"/>
              </w:rPr>
            </w:pPr>
            <w:r w:rsidRPr="00304864">
              <w:rPr>
                <w:rFonts w:ascii="Arial" w:hAnsi="Arial" w:cs="Arial"/>
                <w:sz w:val="20"/>
              </w:rPr>
              <w:t>Monitoring/Project progress reports</w:t>
            </w:r>
          </w:p>
        </w:tc>
        <w:tc>
          <w:tcPr>
            <w:tcW w:w="1598" w:type="dxa"/>
            <w:vAlign w:val="center"/>
          </w:tcPr>
          <w:p w:rsidR="00C558E2" w:rsidRPr="00304864" w:rsidRDefault="00C558E2" w:rsidP="00A30AEC">
            <w:pPr>
              <w:jc w:val="center"/>
              <w:rPr>
                <w:rFonts w:ascii="Arial" w:hAnsi="Arial" w:cs="Arial"/>
                <w:sz w:val="20"/>
                <w:lang w:eastAsia="de-DE"/>
              </w:rPr>
            </w:pPr>
            <w:r w:rsidRPr="00304864">
              <w:rPr>
                <w:rFonts w:ascii="Arial" w:hAnsi="Arial" w:cs="Arial"/>
                <w:sz w:val="20"/>
              </w:rPr>
              <w:t>Annually</w:t>
            </w:r>
          </w:p>
        </w:tc>
      </w:tr>
      <w:tr w:rsidR="00C558E2" w:rsidRPr="00304864" w:rsidTr="00C779B8">
        <w:trPr>
          <w:trHeight w:val="1726"/>
          <w:jc w:val="center"/>
        </w:trPr>
        <w:tc>
          <w:tcPr>
            <w:tcW w:w="1264" w:type="dxa"/>
            <w:shd w:val="clear" w:color="auto" w:fill="C6D9F1" w:themeFill="text2" w:themeFillTint="33"/>
            <w:vAlign w:val="center"/>
          </w:tcPr>
          <w:p w:rsidR="00C558E2" w:rsidRPr="00304864" w:rsidRDefault="00C558E2">
            <w:pPr>
              <w:jc w:val="center"/>
              <w:rPr>
                <w:rFonts w:ascii="Arial" w:hAnsi="Arial" w:cs="Arial"/>
                <w:b/>
                <w:sz w:val="20"/>
              </w:rPr>
            </w:pPr>
            <w:r w:rsidRPr="00304864">
              <w:rPr>
                <w:rFonts w:ascii="Arial" w:hAnsi="Arial" w:cs="Arial"/>
                <w:b/>
                <w:sz w:val="20"/>
              </w:rPr>
              <w:t>OI_6d.1_2</w:t>
            </w:r>
          </w:p>
        </w:tc>
        <w:tc>
          <w:tcPr>
            <w:tcW w:w="1559" w:type="dxa"/>
            <w:vAlign w:val="center"/>
          </w:tcPr>
          <w:p w:rsidR="00C558E2" w:rsidRPr="00304864" w:rsidRDefault="00C558E2" w:rsidP="00A30AEC">
            <w:pPr>
              <w:jc w:val="center"/>
              <w:rPr>
                <w:rFonts w:ascii="Arial" w:hAnsi="Arial" w:cs="Arial"/>
                <w:sz w:val="20"/>
              </w:rPr>
            </w:pPr>
            <w:r w:rsidRPr="00304864">
              <w:rPr>
                <w:rFonts w:ascii="Arial" w:hAnsi="Arial" w:cs="Arial"/>
                <w:sz w:val="20"/>
              </w:rPr>
              <w:t>Number of strategies and action plans developed in the field of environmental protection</w:t>
            </w:r>
          </w:p>
        </w:tc>
        <w:tc>
          <w:tcPr>
            <w:tcW w:w="1622" w:type="dxa"/>
            <w:vAlign w:val="center"/>
          </w:tcPr>
          <w:p w:rsidR="00C558E2" w:rsidRPr="00304864" w:rsidRDefault="00C558E2" w:rsidP="00A30AEC">
            <w:pPr>
              <w:jc w:val="center"/>
              <w:rPr>
                <w:rFonts w:ascii="Arial" w:hAnsi="Arial" w:cs="Arial"/>
                <w:sz w:val="20"/>
              </w:rPr>
            </w:pPr>
            <w:r w:rsidRPr="00304864">
              <w:rPr>
                <w:rFonts w:ascii="Arial" w:hAnsi="Arial" w:cs="Arial"/>
                <w:sz w:val="20"/>
              </w:rPr>
              <w:t>Number</w:t>
            </w:r>
          </w:p>
        </w:tc>
        <w:tc>
          <w:tcPr>
            <w:tcW w:w="1451" w:type="dxa"/>
            <w:vAlign w:val="center"/>
          </w:tcPr>
          <w:p w:rsidR="00C558E2" w:rsidRPr="00304864" w:rsidRDefault="00C558E2" w:rsidP="00A30AEC">
            <w:pPr>
              <w:jc w:val="center"/>
              <w:rPr>
                <w:rFonts w:ascii="Arial" w:hAnsi="Arial" w:cs="Arial"/>
                <w:sz w:val="20"/>
              </w:rPr>
            </w:pPr>
            <w:r w:rsidRPr="00304864">
              <w:rPr>
                <w:rFonts w:ascii="Arial" w:hAnsi="Arial" w:cs="Arial"/>
                <w:sz w:val="20"/>
              </w:rPr>
              <w:t>15</w:t>
            </w:r>
          </w:p>
        </w:tc>
        <w:tc>
          <w:tcPr>
            <w:tcW w:w="1828" w:type="dxa"/>
            <w:vAlign w:val="center"/>
          </w:tcPr>
          <w:p w:rsidR="00C558E2" w:rsidRPr="00304864" w:rsidRDefault="00C558E2" w:rsidP="00A30AEC">
            <w:pPr>
              <w:jc w:val="center"/>
              <w:rPr>
                <w:rFonts w:ascii="Arial" w:hAnsi="Arial" w:cs="Arial"/>
                <w:sz w:val="20"/>
              </w:rPr>
            </w:pPr>
            <w:r w:rsidRPr="00304864">
              <w:rPr>
                <w:rFonts w:ascii="Arial" w:hAnsi="Arial" w:cs="Arial"/>
                <w:sz w:val="20"/>
              </w:rPr>
              <w:t>Monitoring/Project progress reports</w:t>
            </w:r>
          </w:p>
        </w:tc>
        <w:tc>
          <w:tcPr>
            <w:tcW w:w="1598" w:type="dxa"/>
            <w:vAlign w:val="center"/>
          </w:tcPr>
          <w:p w:rsidR="00C558E2" w:rsidRPr="00304864" w:rsidRDefault="00C558E2" w:rsidP="00A30AEC">
            <w:pPr>
              <w:jc w:val="center"/>
              <w:rPr>
                <w:rFonts w:ascii="Arial" w:hAnsi="Arial" w:cs="Arial"/>
                <w:sz w:val="20"/>
              </w:rPr>
            </w:pPr>
            <w:r w:rsidRPr="00304864">
              <w:rPr>
                <w:rFonts w:ascii="Arial" w:hAnsi="Arial" w:cs="Arial"/>
                <w:sz w:val="20"/>
              </w:rPr>
              <w:t>Annually</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F92654" w:rsidRPr="00A30AEC" w:rsidRDefault="00F92654">
      <w:pPr>
        <w:pStyle w:val="mStandard"/>
        <w:spacing w:before="0" w:after="120" w:line="240" w:lineRule="auto"/>
        <w:rPr>
          <w:rFonts w:cs="Arial"/>
          <w:b/>
          <w:lang w:val="en-GB"/>
        </w:rPr>
        <w:sectPr w:rsidR="00F92654" w:rsidRPr="00A30AEC" w:rsidSect="00A961B0">
          <w:pgSz w:w="11906" w:h="16838"/>
          <w:pgMar w:top="1417" w:right="1134" w:bottom="1134" w:left="1134" w:header="601" w:footer="1077" w:gutter="0"/>
          <w:cols w:space="720"/>
          <w:docGrid w:linePitch="326"/>
        </w:sectPr>
      </w:pPr>
    </w:p>
    <w:p w:rsidR="00DF4E40" w:rsidRPr="00A30AEC" w:rsidRDefault="00DF4E40" w:rsidP="00A30AEC">
      <w:pPr>
        <w:pStyle w:val="Heading2"/>
        <w:spacing w:after="120"/>
        <w:rPr>
          <w:b w:val="0"/>
          <w:noProof/>
        </w:rPr>
      </w:pPr>
      <w:bookmarkStart w:id="171" w:name="_Toc421076875"/>
      <w:r w:rsidRPr="00A30AEC">
        <w:rPr>
          <w:noProof/>
        </w:rPr>
        <w:t>2.A.7. Performance framework</w:t>
      </w:r>
      <w:bookmarkEnd w:id="171"/>
    </w:p>
    <w:p w:rsidR="007875FA" w:rsidRPr="00A30AEC" w:rsidRDefault="007875FA">
      <w:pPr>
        <w:pStyle w:val="mStandard"/>
        <w:spacing w:before="0" w:after="120" w:line="240" w:lineRule="auto"/>
        <w:rPr>
          <w:rFonts w:cs="Arial"/>
          <w:b/>
          <w:lang w:val="en-US"/>
        </w:rPr>
      </w:pPr>
      <w:r w:rsidRPr="00A30AEC">
        <w:rPr>
          <w:szCs w:val="24"/>
          <w:lang w:val="en-US" w:eastAsia="it-IT"/>
        </w:rPr>
        <w:t>(Reference: point (b)(v) of Article 8(2) of the ETC Regulation and Annex II of the CPR)</w:t>
      </w:r>
    </w:p>
    <w:p w:rsidR="00A10A3B" w:rsidRPr="002B7D4C" w:rsidRDefault="00A10A3B">
      <w:pPr>
        <w:pStyle w:val="mStandard"/>
        <w:spacing w:before="0" w:after="120" w:line="240" w:lineRule="auto"/>
        <w:rPr>
          <w:rFonts w:cs="Arial"/>
          <w:b/>
          <w:lang w:val="en-GB"/>
        </w:rPr>
      </w:pPr>
      <w:r w:rsidRPr="003E2F90">
        <w:rPr>
          <w:rFonts w:cs="Arial"/>
          <w:b/>
          <w:lang w:val="en-GB"/>
        </w:rPr>
        <w:t>Table</w:t>
      </w:r>
      <w:r>
        <w:rPr>
          <w:rFonts w:cs="Arial"/>
          <w:b/>
          <w:lang w:val="en-GB"/>
        </w:rPr>
        <w:t xml:space="preserve"> 5</w:t>
      </w:r>
      <w:r w:rsidR="000C7309">
        <w:rPr>
          <w:rFonts w:cs="Arial"/>
          <w:b/>
          <w:lang w:val="en-GB"/>
        </w:rPr>
        <w:t xml:space="preserve">: </w:t>
      </w:r>
      <w:r w:rsidRPr="003E2F90">
        <w:rPr>
          <w:rFonts w:cs="Arial"/>
          <w:b/>
          <w:lang w:val="en-GB"/>
        </w:rPr>
        <w:t>Performance framework of the priority axis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6"/>
        <w:gridCol w:w="2115"/>
        <w:gridCol w:w="1334"/>
        <w:gridCol w:w="2382"/>
        <w:gridCol w:w="1743"/>
        <w:gridCol w:w="1432"/>
        <w:gridCol w:w="1217"/>
        <w:gridCol w:w="1608"/>
        <w:gridCol w:w="1611"/>
      </w:tblGrid>
      <w:tr w:rsidR="00AD02BA" w:rsidRPr="00304864" w:rsidTr="00AD02BA">
        <w:trPr>
          <w:trHeight w:val="1758"/>
          <w:jc w:val="center"/>
        </w:trPr>
        <w:tc>
          <w:tcPr>
            <w:tcW w:w="425"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Priority axis</w:t>
            </w:r>
          </w:p>
        </w:tc>
        <w:tc>
          <w:tcPr>
            <w:tcW w:w="728"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Indicator Type (key implementation step, financial, output or, where appropriate, result indicator</w:t>
            </w:r>
          </w:p>
        </w:tc>
        <w:tc>
          <w:tcPr>
            <w:tcW w:w="462"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ID</w:t>
            </w:r>
          </w:p>
        </w:tc>
        <w:tc>
          <w:tcPr>
            <w:tcW w:w="819"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Indicator or key implementation step</w:t>
            </w:r>
          </w:p>
        </w:tc>
        <w:tc>
          <w:tcPr>
            <w:tcW w:w="601"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Measurement unit, where appropriate</w:t>
            </w:r>
          </w:p>
        </w:tc>
        <w:tc>
          <w:tcPr>
            <w:tcW w:w="495"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Milestone for 2018</w:t>
            </w:r>
          </w:p>
        </w:tc>
        <w:tc>
          <w:tcPr>
            <w:tcW w:w="359"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Final target (2023)</w:t>
            </w:r>
          </w:p>
        </w:tc>
        <w:tc>
          <w:tcPr>
            <w:tcW w:w="555" w:type="pct"/>
            <w:shd w:val="clear" w:color="auto" w:fill="C6D9F1"/>
            <w:vAlign w:val="center"/>
          </w:tcPr>
          <w:p w:rsidR="00DF4E40" w:rsidRPr="00304864" w:rsidRDefault="00DF4E40">
            <w:pPr>
              <w:pStyle w:val="Text1"/>
              <w:ind w:left="0"/>
              <w:jc w:val="center"/>
              <w:rPr>
                <w:rFonts w:ascii="Arial" w:hAnsi="Arial" w:cs="Arial"/>
                <w:b/>
                <w:sz w:val="20"/>
                <w:lang w:eastAsia="de-DE"/>
              </w:rPr>
            </w:pPr>
            <w:r w:rsidRPr="00304864">
              <w:rPr>
                <w:rFonts w:ascii="Arial" w:hAnsi="Arial" w:cs="Arial"/>
                <w:b/>
                <w:sz w:val="20"/>
              </w:rPr>
              <w:t>Source of data</w:t>
            </w:r>
          </w:p>
        </w:tc>
        <w:tc>
          <w:tcPr>
            <w:tcW w:w="556" w:type="pct"/>
            <w:shd w:val="clear" w:color="auto" w:fill="C6D9F1"/>
            <w:vAlign w:val="center"/>
          </w:tcPr>
          <w:p w:rsidR="00DF4E40" w:rsidRPr="00304864" w:rsidRDefault="00DF4E40">
            <w:pPr>
              <w:jc w:val="center"/>
              <w:rPr>
                <w:rFonts w:ascii="Arial" w:hAnsi="Arial" w:cs="Arial"/>
                <w:b/>
                <w:sz w:val="20"/>
                <w:lang w:eastAsia="de-DE"/>
              </w:rPr>
            </w:pPr>
            <w:r w:rsidRPr="00304864">
              <w:rPr>
                <w:rFonts w:ascii="Arial" w:hAnsi="Arial" w:cs="Arial"/>
                <w:b/>
                <w:sz w:val="20"/>
              </w:rPr>
              <w:t>Explanation of the relevance of the indicator, where appropriate</w:t>
            </w:r>
          </w:p>
        </w:tc>
      </w:tr>
      <w:tr w:rsidR="00DF4E40" w:rsidRPr="00304864" w:rsidTr="00A961B0">
        <w:trPr>
          <w:trHeight w:val="64"/>
          <w:jc w:val="center"/>
        </w:trPr>
        <w:tc>
          <w:tcPr>
            <w:tcW w:w="42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2</w:t>
            </w:r>
          </w:p>
        </w:tc>
        <w:tc>
          <w:tcPr>
            <w:tcW w:w="728"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Financial</w:t>
            </w:r>
          </w:p>
        </w:tc>
        <w:tc>
          <w:tcPr>
            <w:tcW w:w="462" w:type="pct"/>
            <w:vAlign w:val="center"/>
          </w:tcPr>
          <w:p w:rsidR="00DF4E40" w:rsidRPr="00304864" w:rsidRDefault="00DF4E40" w:rsidP="00A30AEC">
            <w:pPr>
              <w:pStyle w:val="Text1"/>
              <w:ind w:left="0"/>
              <w:jc w:val="center"/>
              <w:rPr>
                <w:rFonts w:ascii="Arial" w:hAnsi="Arial" w:cs="Arial"/>
                <w:sz w:val="20"/>
                <w:lang w:eastAsia="de-DE"/>
              </w:rPr>
            </w:pPr>
          </w:p>
        </w:tc>
        <w:tc>
          <w:tcPr>
            <w:tcW w:w="819"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Financial</w:t>
            </w:r>
          </w:p>
        </w:tc>
        <w:tc>
          <w:tcPr>
            <w:tcW w:w="601"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EUR</w:t>
            </w:r>
          </w:p>
        </w:tc>
        <w:tc>
          <w:tcPr>
            <w:tcW w:w="495" w:type="pct"/>
            <w:vAlign w:val="center"/>
          </w:tcPr>
          <w:p w:rsidR="00DF4E40" w:rsidRPr="00A2720B" w:rsidRDefault="00DF4E40" w:rsidP="00783439">
            <w:pPr>
              <w:jc w:val="center"/>
              <w:rPr>
                <w:rFonts w:ascii="Arial" w:hAnsi="Arial" w:cs="Arial"/>
                <w:sz w:val="20"/>
                <w:lang w:eastAsia="de-DE"/>
              </w:rPr>
            </w:pPr>
            <w:r w:rsidRPr="00A2720B">
              <w:rPr>
                <w:rFonts w:ascii="Arial" w:hAnsi="Arial" w:cs="Arial"/>
                <w:sz w:val="20"/>
              </w:rPr>
              <w:t>4.547.23</w:t>
            </w:r>
            <w:r w:rsidR="00783439" w:rsidRPr="00A2720B">
              <w:rPr>
                <w:rFonts w:ascii="Arial" w:hAnsi="Arial" w:cs="Arial"/>
                <w:sz w:val="20"/>
              </w:rPr>
              <w:t>8</w:t>
            </w:r>
          </w:p>
        </w:tc>
        <w:tc>
          <w:tcPr>
            <w:tcW w:w="359" w:type="pct"/>
            <w:vAlign w:val="center"/>
          </w:tcPr>
          <w:p w:rsidR="00DF4E40" w:rsidRPr="00C558E2" w:rsidRDefault="00783439" w:rsidP="00A30AEC">
            <w:pPr>
              <w:pStyle w:val="Text1"/>
              <w:ind w:left="0"/>
              <w:jc w:val="center"/>
              <w:rPr>
                <w:rFonts w:ascii="Arial" w:hAnsi="Arial" w:cs="Arial"/>
                <w:sz w:val="20"/>
                <w:lang w:eastAsia="de-DE"/>
              </w:rPr>
            </w:pPr>
            <w:r w:rsidRPr="00C558E2">
              <w:rPr>
                <w:rFonts w:ascii="Arial" w:hAnsi="Arial" w:cs="Arial"/>
                <w:sz w:val="20"/>
                <w:lang w:eastAsia="de-DE"/>
              </w:rPr>
              <w:t>45.472.376</w:t>
            </w:r>
          </w:p>
        </w:tc>
        <w:tc>
          <w:tcPr>
            <w:tcW w:w="55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Monitoring</w:t>
            </w:r>
          </w:p>
        </w:tc>
        <w:tc>
          <w:tcPr>
            <w:tcW w:w="556" w:type="pct"/>
            <w:vAlign w:val="center"/>
          </w:tcPr>
          <w:p w:rsidR="00DF4E40" w:rsidRPr="00304864" w:rsidRDefault="00DF4E40" w:rsidP="00A30AEC">
            <w:pPr>
              <w:jc w:val="center"/>
              <w:rPr>
                <w:rFonts w:ascii="Arial" w:hAnsi="Arial" w:cs="Arial"/>
                <w:sz w:val="20"/>
                <w:lang w:eastAsia="de-DE"/>
              </w:rPr>
            </w:pPr>
          </w:p>
        </w:tc>
      </w:tr>
      <w:tr w:rsidR="00DF4E40" w:rsidRPr="00304864" w:rsidTr="00A961B0">
        <w:trPr>
          <w:trHeight w:val="320"/>
          <w:jc w:val="center"/>
        </w:trPr>
        <w:tc>
          <w:tcPr>
            <w:tcW w:w="42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2</w:t>
            </w:r>
          </w:p>
        </w:tc>
        <w:tc>
          <w:tcPr>
            <w:tcW w:w="728"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Output</w:t>
            </w:r>
          </w:p>
        </w:tc>
        <w:tc>
          <w:tcPr>
            <w:tcW w:w="462"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OI_6c.1_2</w:t>
            </w:r>
          </w:p>
        </w:tc>
        <w:tc>
          <w:tcPr>
            <w:tcW w:w="819"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Number of strategies and action plans developed in the field of natural and cultural heritage and tourism</w:t>
            </w:r>
          </w:p>
        </w:tc>
        <w:tc>
          <w:tcPr>
            <w:tcW w:w="601"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Number</w:t>
            </w:r>
          </w:p>
        </w:tc>
        <w:tc>
          <w:tcPr>
            <w:tcW w:w="49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3</w:t>
            </w:r>
          </w:p>
        </w:tc>
        <w:tc>
          <w:tcPr>
            <w:tcW w:w="359"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30</w:t>
            </w:r>
          </w:p>
        </w:tc>
        <w:tc>
          <w:tcPr>
            <w:tcW w:w="55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Monitoring/ Project progress reports</w:t>
            </w:r>
          </w:p>
        </w:tc>
        <w:tc>
          <w:tcPr>
            <w:tcW w:w="556" w:type="pct"/>
            <w:vAlign w:val="center"/>
          </w:tcPr>
          <w:p w:rsidR="00DF4E40" w:rsidRPr="00304864" w:rsidRDefault="00DF4E40" w:rsidP="00A30AEC">
            <w:pPr>
              <w:pStyle w:val="Text1"/>
              <w:ind w:left="0"/>
              <w:jc w:val="center"/>
              <w:rPr>
                <w:rFonts w:ascii="Arial" w:hAnsi="Arial" w:cs="Arial"/>
                <w:sz w:val="20"/>
                <w:lang w:eastAsia="de-DE"/>
              </w:rPr>
            </w:pPr>
          </w:p>
        </w:tc>
      </w:tr>
      <w:tr w:rsidR="00DF4E40" w:rsidRPr="00304864" w:rsidTr="00A961B0">
        <w:trPr>
          <w:jc w:val="center"/>
        </w:trPr>
        <w:tc>
          <w:tcPr>
            <w:tcW w:w="42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2</w:t>
            </w:r>
          </w:p>
        </w:tc>
        <w:tc>
          <w:tcPr>
            <w:tcW w:w="728"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Output</w:t>
            </w:r>
          </w:p>
        </w:tc>
        <w:tc>
          <w:tcPr>
            <w:tcW w:w="462"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OI_6d.1_2</w:t>
            </w:r>
          </w:p>
        </w:tc>
        <w:tc>
          <w:tcPr>
            <w:tcW w:w="819"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Number of strategies and action plans developed in the field of environmental protection</w:t>
            </w:r>
          </w:p>
        </w:tc>
        <w:tc>
          <w:tcPr>
            <w:tcW w:w="601"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Number</w:t>
            </w:r>
          </w:p>
        </w:tc>
        <w:tc>
          <w:tcPr>
            <w:tcW w:w="49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2</w:t>
            </w:r>
          </w:p>
        </w:tc>
        <w:tc>
          <w:tcPr>
            <w:tcW w:w="359"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15</w:t>
            </w:r>
          </w:p>
        </w:tc>
        <w:tc>
          <w:tcPr>
            <w:tcW w:w="555" w:type="pct"/>
            <w:vAlign w:val="center"/>
          </w:tcPr>
          <w:p w:rsidR="00DF4E40" w:rsidRPr="00304864" w:rsidRDefault="00DF4E40" w:rsidP="00A30AEC">
            <w:pPr>
              <w:pStyle w:val="Text1"/>
              <w:ind w:left="0"/>
              <w:jc w:val="center"/>
              <w:rPr>
                <w:rFonts w:ascii="Arial" w:hAnsi="Arial" w:cs="Arial"/>
                <w:sz w:val="20"/>
                <w:lang w:eastAsia="de-DE"/>
              </w:rPr>
            </w:pPr>
            <w:r w:rsidRPr="00304864">
              <w:rPr>
                <w:rFonts w:ascii="Arial" w:hAnsi="Arial" w:cs="Arial"/>
                <w:sz w:val="20"/>
              </w:rPr>
              <w:t>Monitoring/ Project progress reports</w:t>
            </w:r>
          </w:p>
        </w:tc>
        <w:tc>
          <w:tcPr>
            <w:tcW w:w="556" w:type="pct"/>
            <w:vAlign w:val="center"/>
          </w:tcPr>
          <w:p w:rsidR="00DF4E40" w:rsidRPr="00304864" w:rsidRDefault="00DF4E40" w:rsidP="00A30AEC">
            <w:pPr>
              <w:pStyle w:val="Text1"/>
              <w:ind w:left="0"/>
              <w:jc w:val="center"/>
              <w:rPr>
                <w:rFonts w:ascii="Arial" w:hAnsi="Arial" w:cs="Arial"/>
                <w:sz w:val="20"/>
                <w:lang w:eastAsia="de-DE"/>
              </w:rPr>
            </w:pPr>
          </w:p>
        </w:tc>
      </w:tr>
    </w:tbl>
    <w:p w:rsidR="00DF4E40" w:rsidRPr="00304864" w:rsidRDefault="00DF4E40">
      <w:pPr>
        <w:pStyle w:val="Heading3"/>
        <w:spacing w:before="0" w:after="120"/>
        <w:rPr>
          <w:rFonts w:ascii="Arial" w:hAnsi="Arial" w:cs="Arial"/>
          <w:sz w:val="22"/>
          <w:szCs w:val="22"/>
        </w:rPr>
      </w:pPr>
    </w:p>
    <w:p w:rsidR="00F92654" w:rsidRDefault="00F92654">
      <w:pPr>
        <w:pStyle w:val="Heading3"/>
        <w:spacing w:before="0" w:after="120"/>
        <w:rPr>
          <w:rFonts w:ascii="Arial" w:hAnsi="Arial" w:cs="Arial"/>
          <w:noProof w:val="0"/>
          <w:sz w:val="22"/>
          <w:szCs w:val="22"/>
        </w:rPr>
        <w:sectPr w:rsidR="00F92654" w:rsidSect="00A961B0">
          <w:pgSz w:w="16838" w:h="11906" w:orient="landscape"/>
          <w:pgMar w:top="1417" w:right="1134" w:bottom="1134" w:left="1134" w:header="601" w:footer="1077" w:gutter="0"/>
          <w:cols w:space="720"/>
          <w:docGrid w:linePitch="326"/>
        </w:sectPr>
      </w:pPr>
    </w:p>
    <w:p w:rsidR="00DF4E40" w:rsidRPr="00A30AEC" w:rsidRDefault="00DF4E40">
      <w:pPr>
        <w:pStyle w:val="Heading3"/>
        <w:spacing w:before="0" w:after="120"/>
        <w:ind w:left="0"/>
        <w:rPr>
          <w:rFonts w:ascii="Arial" w:hAnsi="Arial" w:cs="Arial"/>
          <w:b w:val="0"/>
          <w:color w:val="002060"/>
          <w:sz w:val="22"/>
          <w:szCs w:val="22"/>
        </w:rPr>
      </w:pPr>
      <w:bookmarkStart w:id="172" w:name="_Toc420652523"/>
      <w:bookmarkStart w:id="173" w:name="_Toc421076876"/>
      <w:r w:rsidRPr="00A30AEC">
        <w:rPr>
          <w:rFonts w:ascii="Arial" w:hAnsi="Arial" w:cs="Arial"/>
          <w:b w:val="0"/>
          <w:color w:val="002060"/>
          <w:sz w:val="22"/>
          <w:szCs w:val="22"/>
        </w:rPr>
        <w:t>2.A.1. Priority Axis 3</w:t>
      </w:r>
      <w:bookmarkEnd w:id="172"/>
      <w:bookmarkEnd w:id="173"/>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8221"/>
      </w:tblGrid>
      <w:tr w:rsidR="00DA3B3A" w:rsidRPr="00DA3B3A" w:rsidTr="00AD02BA">
        <w:trPr>
          <w:trHeight w:val="408"/>
        </w:trPr>
        <w:tc>
          <w:tcPr>
            <w:tcW w:w="1135"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ID</w:t>
            </w:r>
          </w:p>
        </w:tc>
        <w:tc>
          <w:tcPr>
            <w:tcW w:w="8221"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PRIORITY AXIS 3</w:t>
            </w:r>
          </w:p>
        </w:tc>
      </w:tr>
      <w:tr w:rsidR="00DF4E40" w:rsidRPr="00304864" w:rsidTr="008B30F4">
        <w:tc>
          <w:tcPr>
            <w:tcW w:w="1135" w:type="dxa"/>
            <w:shd w:val="clear" w:color="auto" w:fill="FFFFFF"/>
          </w:tcPr>
          <w:p w:rsidR="00DF4E40" w:rsidRPr="00304864" w:rsidRDefault="00DF4E40">
            <w:pPr>
              <w:rPr>
                <w:rFonts w:ascii="Arial" w:hAnsi="Arial" w:cs="Arial"/>
                <w:b/>
                <w:szCs w:val="22"/>
              </w:rPr>
            </w:pPr>
            <w:r w:rsidRPr="00304864">
              <w:rPr>
                <w:rFonts w:ascii="Arial" w:hAnsi="Arial" w:cs="Arial"/>
                <w:b/>
                <w:sz w:val="22"/>
                <w:szCs w:val="22"/>
              </w:rPr>
              <w:t>Title</w:t>
            </w:r>
          </w:p>
        </w:tc>
        <w:tc>
          <w:tcPr>
            <w:tcW w:w="8221" w:type="dxa"/>
            <w:shd w:val="clear" w:color="auto" w:fill="FFFFFF"/>
          </w:tcPr>
          <w:p w:rsidR="00DF4E40" w:rsidRPr="00304864" w:rsidRDefault="00DF4E40">
            <w:pPr>
              <w:rPr>
                <w:rFonts w:ascii="Arial" w:hAnsi="Arial" w:cs="Arial"/>
                <w:b/>
                <w:szCs w:val="22"/>
              </w:rPr>
            </w:pPr>
            <w:r w:rsidRPr="00304864">
              <w:rPr>
                <w:rFonts w:ascii="Arial" w:hAnsi="Arial" w:cs="Arial"/>
                <w:b/>
                <w:sz w:val="22"/>
                <w:szCs w:val="22"/>
              </w:rPr>
              <w:t xml:space="preserve">Connected Region </w:t>
            </w:r>
          </w:p>
        </w:tc>
      </w:tr>
    </w:tbl>
    <w:p w:rsidR="00DF4E40" w:rsidRPr="00304864" w:rsidRDefault="00DF4E40">
      <w:pPr>
        <w:rPr>
          <w:rFonts w:ascii="Arial" w:hAnsi="Arial" w:cs="Arial"/>
          <w:sz w:val="22"/>
          <w:szCs w:val="22"/>
        </w:rPr>
      </w:pP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solely through financial instruments</w:t>
      </w: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solely through financial instruments set up at Union level</w:t>
      </w: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through community-led local development</w:t>
      </w:r>
    </w:p>
    <w:p w:rsidR="00DF4E40" w:rsidRPr="00304864" w:rsidRDefault="00DF4E40">
      <w:pPr>
        <w:pStyle w:val="Text3"/>
        <w:ind w:left="0"/>
        <w:rPr>
          <w:rFonts w:ascii="Arial" w:hAnsi="Arial" w:cs="Arial"/>
          <w:sz w:val="22"/>
          <w:szCs w:val="22"/>
          <w:lang w:eastAsia="fr-BE"/>
        </w:rPr>
      </w:pPr>
    </w:p>
    <w:p w:rsidR="00DF4E40" w:rsidRPr="00304864" w:rsidRDefault="00DF4E40">
      <w:pPr>
        <w:pStyle w:val="Text3"/>
        <w:ind w:left="0"/>
        <w:rPr>
          <w:rFonts w:ascii="Arial" w:hAnsi="Arial" w:cs="Arial"/>
          <w:sz w:val="22"/>
          <w:szCs w:val="22"/>
          <w:lang w:eastAsia="fr-BE"/>
        </w:rPr>
      </w:pPr>
    </w:p>
    <w:p w:rsidR="00DF4E40" w:rsidRPr="00A30AEC" w:rsidRDefault="00DF4E40">
      <w:pPr>
        <w:pStyle w:val="Heading3"/>
        <w:spacing w:before="0" w:after="120"/>
        <w:ind w:left="0"/>
        <w:rPr>
          <w:rFonts w:ascii="Arial" w:hAnsi="Arial" w:cs="Arial"/>
          <w:b w:val="0"/>
          <w:color w:val="002060"/>
          <w:sz w:val="22"/>
          <w:szCs w:val="22"/>
        </w:rPr>
      </w:pPr>
      <w:bookmarkStart w:id="174" w:name="_Toc420652524"/>
      <w:bookmarkStart w:id="175" w:name="_Toc421076877"/>
      <w:r w:rsidRPr="00A30AEC">
        <w:rPr>
          <w:rFonts w:ascii="Arial" w:hAnsi="Arial" w:cs="Arial"/>
          <w:b w:val="0"/>
          <w:color w:val="002060"/>
          <w:sz w:val="22"/>
          <w:szCs w:val="22"/>
        </w:rPr>
        <w:t>2.A.2. Justification for the establishment of a priority axis covering more than one thematic objective</w:t>
      </w:r>
      <w:bookmarkEnd w:id="174"/>
      <w:bookmarkEnd w:id="175"/>
    </w:p>
    <w:p w:rsidR="007875FA" w:rsidRPr="00A30AEC" w:rsidRDefault="007875FA">
      <w:pPr>
        <w:rPr>
          <w:rFonts w:ascii="Arial" w:hAnsi="Arial" w:cs="Arial"/>
          <w:sz w:val="22"/>
          <w:szCs w:val="22"/>
          <w:lang w:val="en-US"/>
        </w:rPr>
      </w:pPr>
      <w:r w:rsidRPr="00A30AEC">
        <w:rPr>
          <w:rFonts w:ascii="Arial" w:hAnsi="Arial" w:cs="Arial"/>
          <w:sz w:val="22"/>
          <w:szCs w:val="22"/>
          <w:lang w:val="en-US" w:eastAsia="it-IT"/>
        </w:rPr>
        <w:t>(Reference: Article 8(1) of the ETC Regulation)</w:t>
      </w:r>
    </w:p>
    <w:p w:rsidR="00DF4E40" w:rsidRPr="00A30AEC" w:rsidRDefault="00DF4E40">
      <w:pPr>
        <w:pStyle w:val="Text3"/>
        <w:ind w:left="0"/>
        <w:rPr>
          <w:rFonts w:ascii="Arial" w:hAnsi="Arial" w:cs="Arial"/>
          <w:sz w:val="22"/>
          <w:szCs w:val="22"/>
          <w:lang w:eastAsia="fr-BE"/>
        </w:rPr>
      </w:pPr>
      <w:r w:rsidRPr="00A30AEC">
        <w:rPr>
          <w:rFonts w:ascii="Arial" w:hAnsi="Arial" w:cs="Arial"/>
          <w:sz w:val="22"/>
          <w:szCs w:val="22"/>
        </w:rPr>
        <w:t>Not applicable</w:t>
      </w:r>
    </w:p>
    <w:p w:rsidR="00DF4E40" w:rsidRPr="00304864" w:rsidRDefault="00DF4E40">
      <w:pPr>
        <w:pStyle w:val="Text3"/>
        <w:ind w:left="0"/>
        <w:rPr>
          <w:rFonts w:ascii="Arial" w:hAnsi="Arial" w:cs="Arial"/>
          <w:sz w:val="22"/>
          <w:szCs w:val="22"/>
          <w:lang w:eastAsia="fr-BE"/>
        </w:rPr>
      </w:pPr>
    </w:p>
    <w:p w:rsidR="00DF4E40" w:rsidRPr="00304864" w:rsidRDefault="00DF4E40">
      <w:pPr>
        <w:pStyle w:val="Text3"/>
        <w:ind w:left="0"/>
        <w:rPr>
          <w:rFonts w:ascii="Arial" w:hAnsi="Arial" w:cs="Arial"/>
          <w:sz w:val="22"/>
          <w:szCs w:val="22"/>
          <w:lang w:eastAsia="fr-BE"/>
        </w:rPr>
      </w:pPr>
    </w:p>
    <w:p w:rsidR="00DF4E40" w:rsidRPr="00A30AEC" w:rsidRDefault="00DF4E40">
      <w:pPr>
        <w:pStyle w:val="Heading3"/>
        <w:spacing w:before="0" w:after="120"/>
        <w:ind w:left="0"/>
        <w:rPr>
          <w:rFonts w:ascii="Arial" w:hAnsi="Arial" w:cs="Arial"/>
          <w:b w:val="0"/>
          <w:color w:val="002060"/>
          <w:sz w:val="22"/>
          <w:szCs w:val="22"/>
        </w:rPr>
      </w:pPr>
      <w:bookmarkStart w:id="176" w:name="_Toc420652525"/>
      <w:bookmarkStart w:id="177" w:name="_Toc421076878"/>
      <w:r w:rsidRPr="00A30AEC">
        <w:rPr>
          <w:rFonts w:ascii="Arial" w:hAnsi="Arial" w:cs="Arial"/>
          <w:b w:val="0"/>
          <w:color w:val="002060"/>
          <w:sz w:val="22"/>
          <w:szCs w:val="22"/>
        </w:rPr>
        <w:t>2.A.3. Fund and calculation basis for the Union support</w:t>
      </w:r>
      <w:bookmarkEnd w:id="176"/>
      <w:bookmarkEnd w:id="17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528"/>
      </w:tblGrid>
      <w:tr w:rsidR="00DF4E40" w:rsidRPr="00304864" w:rsidTr="00A30AEC">
        <w:tc>
          <w:tcPr>
            <w:tcW w:w="3794" w:type="dxa"/>
            <w:vAlign w:val="center"/>
          </w:tcPr>
          <w:p w:rsidR="00DF4E40" w:rsidRPr="00304864" w:rsidRDefault="00DF4E40">
            <w:pPr>
              <w:pStyle w:val="Text3"/>
              <w:ind w:left="0"/>
              <w:rPr>
                <w:rFonts w:ascii="Arial" w:hAnsi="Arial" w:cs="Arial"/>
                <w:b/>
                <w:szCs w:val="22"/>
                <w:lang w:eastAsia="fr-BE"/>
              </w:rPr>
            </w:pPr>
            <w:r w:rsidRPr="00304864">
              <w:rPr>
                <w:rFonts w:ascii="Arial" w:hAnsi="Arial" w:cs="Arial"/>
                <w:b/>
                <w:sz w:val="22"/>
                <w:szCs w:val="22"/>
                <w:lang w:eastAsia="fr-BE"/>
              </w:rPr>
              <w:t>Fund</w:t>
            </w:r>
          </w:p>
        </w:tc>
        <w:tc>
          <w:tcPr>
            <w:tcW w:w="5528" w:type="dxa"/>
            <w:vAlign w:val="center"/>
          </w:tcPr>
          <w:p w:rsidR="00DF4E40" w:rsidRPr="00304864" w:rsidRDefault="00DF4E40">
            <w:pPr>
              <w:pStyle w:val="Text3"/>
              <w:tabs>
                <w:tab w:val="clear" w:pos="2302"/>
                <w:tab w:val="left" w:pos="-108"/>
              </w:tabs>
              <w:ind w:left="-108"/>
              <w:jc w:val="center"/>
              <w:rPr>
                <w:rFonts w:ascii="Arial" w:hAnsi="Arial" w:cs="Arial"/>
                <w:b/>
                <w:szCs w:val="22"/>
                <w:lang w:eastAsia="fr-BE"/>
              </w:rPr>
            </w:pPr>
            <w:r w:rsidRPr="00304864">
              <w:rPr>
                <w:rFonts w:ascii="Arial" w:hAnsi="Arial" w:cs="Arial"/>
                <w:b/>
                <w:sz w:val="22"/>
                <w:szCs w:val="22"/>
                <w:lang w:eastAsia="fr-BE"/>
              </w:rPr>
              <w:t>ERDF+ IPA</w:t>
            </w:r>
          </w:p>
        </w:tc>
      </w:tr>
      <w:tr w:rsidR="00DF4E40" w:rsidRPr="00304864" w:rsidTr="00A30AEC">
        <w:tc>
          <w:tcPr>
            <w:tcW w:w="3794" w:type="dxa"/>
            <w:vAlign w:val="center"/>
          </w:tcPr>
          <w:p w:rsidR="00DF4E40" w:rsidRPr="00304864" w:rsidRDefault="00DF4E40">
            <w:pPr>
              <w:pStyle w:val="Text3"/>
              <w:ind w:left="0"/>
              <w:jc w:val="left"/>
              <w:rPr>
                <w:rFonts w:ascii="Arial" w:hAnsi="Arial" w:cs="Arial"/>
                <w:b/>
                <w:szCs w:val="22"/>
                <w:lang w:eastAsia="fr-BE"/>
              </w:rPr>
            </w:pPr>
            <w:r w:rsidRPr="00304864">
              <w:rPr>
                <w:rFonts w:ascii="Arial" w:hAnsi="Arial" w:cs="Arial"/>
                <w:b/>
                <w:sz w:val="22"/>
                <w:szCs w:val="22"/>
                <w:lang w:eastAsia="fr-BE"/>
              </w:rPr>
              <w:t xml:space="preserve">Calculation Basis </w:t>
            </w:r>
            <w:r w:rsidRPr="00304864">
              <w:rPr>
                <w:rFonts w:ascii="Arial" w:hAnsi="Arial" w:cs="Arial"/>
                <w:i/>
                <w:sz w:val="22"/>
                <w:szCs w:val="22"/>
                <w:lang w:eastAsia="fr-BE"/>
              </w:rPr>
              <w:t>(total eligible expenditure)</w:t>
            </w:r>
          </w:p>
        </w:tc>
        <w:tc>
          <w:tcPr>
            <w:tcW w:w="5528" w:type="dxa"/>
            <w:vAlign w:val="center"/>
          </w:tcPr>
          <w:p w:rsidR="00DF4E40" w:rsidRPr="00304864" w:rsidRDefault="00DF4E40">
            <w:pPr>
              <w:pStyle w:val="Text3"/>
              <w:tabs>
                <w:tab w:val="clear" w:pos="2302"/>
                <w:tab w:val="left" w:pos="-108"/>
              </w:tabs>
              <w:ind w:left="-108"/>
              <w:jc w:val="center"/>
              <w:rPr>
                <w:rFonts w:ascii="Arial" w:hAnsi="Arial" w:cs="Arial"/>
                <w:szCs w:val="22"/>
                <w:lang w:eastAsia="fr-BE"/>
              </w:rPr>
            </w:pPr>
            <w:r w:rsidRPr="00304864">
              <w:rPr>
                <w:rFonts w:ascii="Arial" w:hAnsi="Arial" w:cs="Arial"/>
                <w:sz w:val="22"/>
                <w:szCs w:val="22"/>
                <w:lang w:eastAsia="fr-BE"/>
              </w:rPr>
              <w:t xml:space="preserve">EUR </w:t>
            </w:r>
            <w:r w:rsidRPr="00A30AEC">
              <w:rPr>
                <w:rFonts w:ascii="Arial" w:hAnsi="Arial" w:cs="Arial"/>
                <w:color w:val="000000"/>
                <w:sz w:val="22"/>
                <w:szCs w:val="22"/>
              </w:rPr>
              <w:t>17.708.524</w:t>
            </w:r>
          </w:p>
        </w:tc>
      </w:tr>
    </w:tbl>
    <w:p w:rsidR="00DF4E40" w:rsidRPr="00304864" w:rsidRDefault="00DF4E40">
      <w:pPr>
        <w:pStyle w:val="Heading3"/>
        <w:spacing w:before="0" w:after="120"/>
        <w:rPr>
          <w:rFonts w:ascii="Arial" w:hAnsi="Arial" w:cs="Arial"/>
          <w:noProof w:val="0"/>
          <w:sz w:val="22"/>
          <w:szCs w:val="22"/>
        </w:rPr>
      </w:pPr>
    </w:p>
    <w:p w:rsidR="00DF4E40" w:rsidRPr="00304864" w:rsidRDefault="00DF4E40">
      <w:pPr>
        <w:pStyle w:val="Heading3"/>
        <w:spacing w:before="0" w:after="120"/>
        <w:rPr>
          <w:rFonts w:ascii="Arial" w:hAnsi="Arial" w:cs="Arial"/>
          <w:noProof w:val="0"/>
          <w:sz w:val="22"/>
          <w:szCs w:val="22"/>
        </w:rPr>
      </w:pPr>
    </w:p>
    <w:p w:rsidR="00DF4E40" w:rsidRDefault="00DF4E40" w:rsidP="00A30AEC">
      <w:pPr>
        <w:pStyle w:val="Heading3"/>
        <w:spacing w:before="0" w:after="120"/>
        <w:ind w:left="0"/>
        <w:rPr>
          <w:rFonts w:ascii="Arial" w:hAnsi="Arial" w:cs="Arial"/>
          <w:b w:val="0"/>
          <w:color w:val="002060"/>
          <w:sz w:val="22"/>
          <w:szCs w:val="22"/>
        </w:rPr>
      </w:pPr>
      <w:bookmarkStart w:id="178" w:name="_Toc420652526"/>
      <w:bookmarkStart w:id="179" w:name="_Toc421076879"/>
      <w:r w:rsidRPr="00A30AEC">
        <w:rPr>
          <w:rFonts w:ascii="Arial" w:hAnsi="Arial" w:cs="Arial"/>
          <w:b w:val="0"/>
          <w:color w:val="002060"/>
          <w:sz w:val="22"/>
          <w:szCs w:val="22"/>
        </w:rPr>
        <w:t>2.A.4. Investment priority 7c</w:t>
      </w:r>
      <w:bookmarkEnd w:id="178"/>
      <w:bookmarkEnd w:id="179"/>
    </w:p>
    <w:p w:rsidR="007875FA" w:rsidRPr="00C71BD4" w:rsidRDefault="007875FA">
      <w:pPr>
        <w:pStyle w:val="Text3"/>
        <w:ind w:left="0"/>
        <w:rPr>
          <w:rFonts w:ascii="Arial" w:hAnsi="Arial" w:cs="Arial"/>
          <w:sz w:val="22"/>
          <w:szCs w:val="22"/>
          <w:lang w:eastAsia="fr-BE"/>
        </w:rPr>
      </w:pPr>
      <w:r w:rsidRPr="00A30AEC">
        <w:rPr>
          <w:rFonts w:ascii="Arial" w:hAnsi="Arial" w:cs="Arial"/>
          <w:sz w:val="22"/>
          <w:szCs w:val="22"/>
        </w:rPr>
        <w:t>(Reference: points (b)(i)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DA3B3A" w:rsidRPr="00DA3B3A" w:rsidTr="00AD02BA">
        <w:tc>
          <w:tcPr>
            <w:tcW w:w="9286"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INVESTMENT PRIORITY 7.c</w:t>
            </w:r>
          </w:p>
        </w:tc>
      </w:tr>
      <w:tr w:rsidR="00DF4E40" w:rsidRPr="00304864" w:rsidTr="009F0217">
        <w:tc>
          <w:tcPr>
            <w:tcW w:w="9286" w:type="dxa"/>
          </w:tcPr>
          <w:p w:rsidR="00DF4E40" w:rsidRPr="00304864" w:rsidRDefault="00DF4E40">
            <w:pPr>
              <w:rPr>
                <w:rFonts w:ascii="Arial" w:hAnsi="Arial" w:cs="Arial"/>
                <w:b/>
                <w:color w:val="FFFFFF"/>
                <w:szCs w:val="22"/>
              </w:rPr>
            </w:pPr>
            <w:r w:rsidRPr="00304864">
              <w:rPr>
                <w:rFonts w:ascii="Arial" w:hAnsi="Arial" w:cs="Arial"/>
                <w:b/>
                <w:sz w:val="22"/>
                <w:szCs w:val="22"/>
              </w:rPr>
              <w:t>Developing and improving environment-friendly (including low-noise) and low-carbon transport systems including inland waterways and maritime transport, ports, multimodal links and airport infrastructure, in order to promote sustainable regional and local mobility</w:t>
            </w:r>
          </w:p>
        </w:tc>
      </w:tr>
    </w:tbl>
    <w:p w:rsidR="00DF4E40" w:rsidRPr="00A30AEC" w:rsidRDefault="00DF4E40">
      <w:pPr>
        <w:pStyle w:val="Heading3"/>
        <w:spacing w:before="0" w:after="120"/>
        <w:ind w:left="0"/>
        <w:rPr>
          <w:rFonts w:ascii="Arial" w:hAnsi="Arial" w:cs="Arial"/>
          <w:noProof w:val="0"/>
          <w:color w:val="auto"/>
          <w:sz w:val="22"/>
          <w:szCs w:val="22"/>
        </w:rPr>
      </w:pPr>
    </w:p>
    <w:p w:rsidR="00DF4E40" w:rsidRPr="00304864" w:rsidRDefault="00DF4E40">
      <w:pPr>
        <w:pStyle w:val="Text3"/>
        <w:ind w:left="0"/>
        <w:rPr>
          <w:rFonts w:ascii="Arial" w:hAnsi="Arial" w:cs="Arial"/>
        </w:rPr>
      </w:pPr>
    </w:p>
    <w:p w:rsidR="00DF4E40" w:rsidRPr="00304864" w:rsidRDefault="00A10A3B">
      <w:pPr>
        <w:pStyle w:val="Heading3"/>
        <w:spacing w:before="0" w:after="120"/>
        <w:ind w:left="0"/>
        <w:rPr>
          <w:rFonts w:ascii="Arial" w:hAnsi="Arial" w:cs="Arial"/>
          <w:noProof w:val="0"/>
          <w:color w:val="002060"/>
          <w:sz w:val="22"/>
          <w:szCs w:val="22"/>
        </w:rPr>
      </w:pPr>
      <w:bookmarkStart w:id="180" w:name="_Toc421076880"/>
      <w:bookmarkStart w:id="181" w:name="_Toc420652527"/>
      <w:r w:rsidRPr="002B7D4C">
        <w:rPr>
          <w:rFonts w:ascii="Arial" w:hAnsi="Arial" w:cs="Arial"/>
          <w:b w:val="0"/>
          <w:color w:val="002060"/>
          <w:sz w:val="22"/>
          <w:szCs w:val="22"/>
        </w:rPr>
        <w:t xml:space="preserve">2.A.5.Specific objective </w:t>
      </w:r>
      <w:r w:rsidRPr="00A30AEC">
        <w:rPr>
          <w:rFonts w:ascii="Arial" w:hAnsi="Arial" w:cs="Arial"/>
          <w:b w:val="0"/>
          <w:color w:val="002060"/>
          <w:sz w:val="22"/>
          <w:szCs w:val="22"/>
        </w:rPr>
        <w:t>corresponding to the investment priority and expected results</w:t>
      </w:r>
      <w:bookmarkEnd w:id="180"/>
      <w:bookmarkEnd w:id="181"/>
    </w:p>
    <w:p w:rsidR="00DF4E40" w:rsidRPr="00C71BD4" w:rsidRDefault="00DF4E40">
      <w:pPr>
        <w:pStyle w:val="Text3"/>
        <w:ind w:left="0"/>
        <w:rPr>
          <w:rFonts w:ascii="Arial" w:hAnsi="Arial" w:cs="Arial"/>
          <w:sz w:val="22"/>
          <w:szCs w:val="22"/>
          <w:lang w:eastAsia="fr-BE"/>
        </w:rPr>
      </w:pPr>
      <w:r w:rsidRPr="00A30AEC">
        <w:rPr>
          <w:rFonts w:ascii="Arial" w:hAnsi="Arial" w:cs="Arial"/>
          <w:sz w:val="22"/>
          <w:szCs w:val="22"/>
        </w:rPr>
        <w:t>(Reference: points (b)(i) and (ii)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1"/>
      </w:tblGrid>
      <w:tr w:rsidR="00DF4E40" w:rsidRPr="00304864" w:rsidTr="00A30AEC">
        <w:tc>
          <w:tcPr>
            <w:tcW w:w="2235"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ID</w:t>
            </w:r>
          </w:p>
        </w:tc>
        <w:tc>
          <w:tcPr>
            <w:tcW w:w="7051" w:type="dxa"/>
            <w:shd w:val="clear" w:color="auto" w:fill="C6D9F1"/>
          </w:tcPr>
          <w:p w:rsidR="00DF4E40" w:rsidRPr="00304864" w:rsidRDefault="00DF4E40">
            <w:pPr>
              <w:jc w:val="left"/>
              <w:rPr>
                <w:rFonts w:ascii="Arial" w:hAnsi="Arial" w:cs="Arial"/>
                <w:b/>
                <w:i/>
                <w:szCs w:val="22"/>
              </w:rPr>
            </w:pPr>
            <w:r w:rsidRPr="00304864">
              <w:rPr>
                <w:rFonts w:ascii="Arial" w:hAnsi="Arial" w:cs="Arial"/>
                <w:b/>
                <w:sz w:val="22"/>
                <w:szCs w:val="22"/>
              </w:rPr>
              <w:t xml:space="preserve">3.1 </w:t>
            </w:r>
          </w:p>
        </w:tc>
      </w:tr>
      <w:tr w:rsidR="00DF4E40" w:rsidRPr="00304864" w:rsidTr="009F0217">
        <w:tc>
          <w:tcPr>
            <w:tcW w:w="2235" w:type="dxa"/>
          </w:tcPr>
          <w:p w:rsidR="00DF4E40" w:rsidRPr="00304864" w:rsidRDefault="00DF4E40">
            <w:pPr>
              <w:jc w:val="left"/>
              <w:rPr>
                <w:rFonts w:ascii="Arial" w:hAnsi="Arial" w:cs="Arial"/>
                <w:b/>
                <w:szCs w:val="22"/>
              </w:rPr>
            </w:pPr>
            <w:r w:rsidRPr="00304864">
              <w:rPr>
                <w:rFonts w:ascii="Arial" w:hAnsi="Arial" w:cs="Arial"/>
                <w:b/>
                <w:sz w:val="22"/>
                <w:szCs w:val="22"/>
              </w:rPr>
              <w:t>Specific Objective</w:t>
            </w:r>
          </w:p>
        </w:tc>
        <w:tc>
          <w:tcPr>
            <w:tcW w:w="7051" w:type="dxa"/>
          </w:tcPr>
          <w:p w:rsidR="00DF4E40" w:rsidRPr="00304864" w:rsidRDefault="00DF4E40">
            <w:pPr>
              <w:pStyle w:val="tablelinks"/>
              <w:spacing w:before="0" w:after="120" w:line="240" w:lineRule="auto"/>
              <w:rPr>
                <w:color w:val="auto"/>
                <w:sz w:val="22"/>
                <w:szCs w:val="22"/>
              </w:rPr>
            </w:pPr>
            <w:r w:rsidRPr="00304864">
              <w:rPr>
                <w:b/>
                <w:color w:val="auto"/>
                <w:sz w:val="22"/>
                <w:szCs w:val="22"/>
                <w:lang w:eastAsia="en-US"/>
              </w:rPr>
              <w:t>Enhance capacity for integrated transport and mobility services and multimodality in the Adriatic-Ionian area</w:t>
            </w:r>
          </w:p>
        </w:tc>
      </w:tr>
      <w:tr w:rsidR="00DF4E40" w:rsidRPr="00304864" w:rsidTr="009F0217">
        <w:tc>
          <w:tcPr>
            <w:tcW w:w="2235" w:type="dxa"/>
          </w:tcPr>
          <w:p w:rsidR="00DF4E40" w:rsidRPr="00304864" w:rsidRDefault="00DF4E40">
            <w:pPr>
              <w:rPr>
                <w:rFonts w:ascii="Arial" w:hAnsi="Arial" w:cs="Arial"/>
                <w:b/>
                <w:szCs w:val="22"/>
              </w:rPr>
            </w:pPr>
            <w:r w:rsidRPr="00304864">
              <w:rPr>
                <w:rFonts w:ascii="Arial" w:hAnsi="Arial" w:cs="Arial"/>
                <w:b/>
                <w:sz w:val="22"/>
                <w:szCs w:val="22"/>
              </w:rPr>
              <w:t>Expected results</w:t>
            </w:r>
          </w:p>
          <w:p w:rsidR="00DF4E40" w:rsidRPr="00304864" w:rsidRDefault="00DF4E40">
            <w:pPr>
              <w:rPr>
                <w:rFonts w:ascii="Arial" w:hAnsi="Arial" w:cs="Arial"/>
                <w:szCs w:val="22"/>
              </w:rPr>
            </w:pPr>
            <w:r w:rsidRPr="00304864">
              <w:rPr>
                <w:rFonts w:ascii="Arial" w:hAnsi="Arial" w:cs="Arial"/>
                <w:i/>
                <w:sz w:val="22"/>
                <w:szCs w:val="22"/>
              </w:rPr>
              <w:t>3500 char. max</w:t>
            </w:r>
            <w:r w:rsidRPr="00304864">
              <w:rPr>
                <w:rFonts w:ascii="Arial" w:hAnsi="Arial" w:cs="Arial"/>
                <w:sz w:val="22"/>
                <w:szCs w:val="22"/>
              </w:rPr>
              <w:t>.</w:t>
            </w:r>
          </w:p>
        </w:tc>
        <w:tc>
          <w:tcPr>
            <w:tcW w:w="7051" w:type="dxa"/>
          </w:tcPr>
          <w:p w:rsidR="00DF4E40" w:rsidRPr="00304864" w:rsidRDefault="00DF4E40">
            <w:pPr>
              <w:rPr>
                <w:rFonts w:ascii="Arial" w:hAnsi="Arial" w:cs="Arial"/>
                <w:szCs w:val="22"/>
              </w:rPr>
            </w:pPr>
            <w:r w:rsidRPr="00304864">
              <w:rPr>
                <w:rFonts w:ascii="Arial" w:hAnsi="Arial" w:cs="Arial"/>
                <w:sz w:val="22"/>
                <w:szCs w:val="22"/>
              </w:rPr>
              <w:t xml:space="preserve">The area is characterised by the dominance of road transport on land bound routes and a large number of smaller and bigger ports at the coast line. The connections to the hinterland are poor with many bottlenecks on multimodal connections, while coordination is also inadequate. This is evident by the maritime traffic congestion at ports and the border waiting times, as the number of visitors and the volume of container transport are increasing in the area. </w:t>
            </w:r>
          </w:p>
          <w:p w:rsidR="00DF4E40" w:rsidRPr="00304864" w:rsidRDefault="00DF4E40">
            <w:pPr>
              <w:rPr>
                <w:rFonts w:ascii="Arial" w:hAnsi="Arial" w:cs="Arial"/>
                <w:szCs w:val="22"/>
              </w:rPr>
            </w:pPr>
            <w:r w:rsidRPr="00304864">
              <w:rPr>
                <w:rFonts w:ascii="Arial" w:hAnsi="Arial" w:cs="Arial"/>
                <w:sz w:val="22"/>
                <w:szCs w:val="22"/>
              </w:rPr>
              <w:t xml:space="preserve">Density of railway network is lower than the EU average. Railroad connections are also more developed in the periphery of the programme area, whereas the centre of the area is poorly served, especially in the East-West direction. </w:t>
            </w:r>
          </w:p>
          <w:p w:rsidR="00DF4E40" w:rsidRPr="00304864" w:rsidRDefault="00DF4E40">
            <w:pPr>
              <w:rPr>
                <w:rFonts w:ascii="Arial" w:hAnsi="Arial" w:cs="Arial"/>
                <w:szCs w:val="22"/>
              </w:rPr>
            </w:pPr>
            <w:r w:rsidRPr="00304864">
              <w:rPr>
                <w:rFonts w:ascii="Arial" w:hAnsi="Arial" w:cs="Arial"/>
                <w:sz w:val="22"/>
                <w:szCs w:val="22"/>
              </w:rPr>
              <w:t xml:space="preserve">Some constraints are dictated by geography and can hardly be overcome; others are rather a consequence of the spatial interactions and planning decisions of the past. Thus, fragmentation and isolation of many areas is evident. </w:t>
            </w:r>
          </w:p>
          <w:p w:rsidR="00DF4E40" w:rsidRPr="00304864" w:rsidRDefault="00DF4E40">
            <w:pPr>
              <w:rPr>
                <w:rFonts w:ascii="Arial" w:hAnsi="Arial" w:cs="Arial"/>
                <w:szCs w:val="22"/>
              </w:rPr>
            </w:pPr>
            <w:r w:rsidRPr="00304864">
              <w:rPr>
                <w:rFonts w:ascii="Arial" w:hAnsi="Arial" w:cs="Arial"/>
                <w:sz w:val="22"/>
                <w:szCs w:val="22"/>
              </w:rPr>
              <w:t>The lack of efficient multimodal networks (road, rail air, water transport) as well as low connectivity and mobility of peripheral areas can be addressed by improving the strategic transport management. Waterway transport plays a key role in this respect, especially since it has a rela</w:t>
            </w:r>
            <w:r w:rsidR="00477EB0">
              <w:rPr>
                <w:rFonts w:ascii="Arial" w:hAnsi="Arial" w:cs="Arial"/>
                <w:sz w:val="22"/>
                <w:szCs w:val="22"/>
              </w:rPr>
              <w:t>tively low environmental impact</w:t>
            </w:r>
            <w:r w:rsidRPr="00304864">
              <w:rPr>
                <w:rFonts w:ascii="Arial" w:hAnsi="Arial" w:cs="Arial"/>
                <w:sz w:val="22"/>
                <w:szCs w:val="22"/>
              </w:rPr>
              <w:t xml:space="preserve">. </w:t>
            </w:r>
            <w:r w:rsidR="00477EB0">
              <w:rPr>
                <w:rFonts w:ascii="Arial" w:hAnsi="Arial" w:cs="Arial"/>
                <w:sz w:val="22"/>
                <w:szCs w:val="22"/>
              </w:rPr>
              <w:t>T</w:t>
            </w:r>
            <w:r w:rsidRPr="00304864">
              <w:rPr>
                <w:rFonts w:ascii="Arial" w:hAnsi="Arial" w:cs="Arial"/>
                <w:sz w:val="22"/>
                <w:szCs w:val="22"/>
              </w:rPr>
              <w:t>here is need for efficient multi-modal freight transport and logistics chains, surveillance and coordination and substantial investments in order to meet technological, industrial, safety, security, environmental and climate change challenges.</w:t>
            </w:r>
          </w:p>
          <w:p w:rsidR="00DF4E40" w:rsidRPr="00304864" w:rsidRDefault="00DF4E40">
            <w:pPr>
              <w:autoSpaceDE w:val="0"/>
              <w:autoSpaceDN w:val="0"/>
              <w:adjustRightInd w:val="0"/>
              <w:rPr>
                <w:rFonts w:ascii="Arial" w:hAnsi="Arial" w:cs="Arial"/>
                <w:color w:val="000000"/>
                <w:szCs w:val="22"/>
                <w:lang w:eastAsia="it-IT"/>
              </w:rPr>
            </w:pPr>
            <w:r w:rsidRPr="00304864">
              <w:rPr>
                <w:rFonts w:ascii="Arial" w:hAnsi="Arial" w:cs="Arial"/>
                <w:color w:val="000000"/>
                <w:sz w:val="22"/>
                <w:szCs w:val="22"/>
                <w:lang w:eastAsia="it-IT"/>
              </w:rPr>
              <w:t xml:space="preserve">Shipping can be a major source of emissions, especially in ports. Emissions of SO2, NO2 and PM can affect people's health, damage cultural heritage and deteriorate ecosystems (see also Impact Assessment of the Clean Air Package). Air quality measures can reduce such effects, and are most effective if coordinated (e.g. plugs for power supply from shore, retrofitting vessels, cleaner port non road mobile machinery such as cranes, LNG facilities to allow fuel switching to clean fuel, favourable port fee structure for clean ships). </w:t>
            </w:r>
            <w:r w:rsidRPr="00304864">
              <w:rPr>
                <w:rFonts w:ascii="Arial" w:hAnsi="Arial" w:cs="Arial"/>
                <w:color w:val="000000"/>
                <w:sz w:val="22"/>
                <w:szCs w:val="22"/>
              </w:rPr>
              <w:t xml:space="preserve">Clean sea shipping in the very touristic Adriatic Sea basin should be promoted, by using clean shipping and retrofitting technologies, in line with EUSAIR. In addition, emissions from shipping and the impact on the port cities and other shore areas should be monitored. Due to the above, one of the objectives will be the reduction of air pollutants (PM, NO2, SO2) from vessels and to include related actions. </w:t>
            </w:r>
            <w:r w:rsidRPr="00304864">
              <w:rPr>
                <w:rFonts w:ascii="Arial" w:hAnsi="Arial" w:cs="Arial"/>
                <w:color w:val="000000"/>
                <w:sz w:val="22"/>
                <w:szCs w:val="22"/>
                <w:lang w:eastAsia="it-IT"/>
              </w:rPr>
              <w:t xml:space="preserve">The reduction of air pollutants (PM, NO2, SO2) from vessels can therefore be addressed by the Programme. </w:t>
            </w:r>
          </w:p>
          <w:p w:rsidR="00DF4E40" w:rsidRPr="00304864" w:rsidRDefault="00DF4E40">
            <w:pPr>
              <w:autoSpaceDE w:val="0"/>
              <w:autoSpaceDN w:val="0"/>
              <w:adjustRightInd w:val="0"/>
              <w:rPr>
                <w:rFonts w:ascii="Arial" w:hAnsi="Arial" w:cs="Arial"/>
                <w:color w:val="000000"/>
                <w:szCs w:val="22"/>
                <w:lang w:eastAsia="it-IT"/>
              </w:rPr>
            </w:pPr>
          </w:p>
          <w:p w:rsidR="00DF4E40" w:rsidRPr="00304864" w:rsidRDefault="00DF4E40">
            <w:pPr>
              <w:rPr>
                <w:rFonts w:ascii="Arial" w:hAnsi="Arial" w:cs="Arial"/>
                <w:b/>
                <w:szCs w:val="22"/>
              </w:rPr>
            </w:pPr>
            <w:r w:rsidRPr="00304864">
              <w:rPr>
                <w:rFonts w:ascii="Arial" w:hAnsi="Arial" w:cs="Arial"/>
                <w:b/>
                <w:sz w:val="22"/>
                <w:szCs w:val="22"/>
              </w:rPr>
              <w:t>The expected results are:</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 xml:space="preserve">Common understanding among ADRION </w:t>
            </w:r>
            <w:r w:rsidRPr="00A30AEC">
              <w:rPr>
                <w:rFonts w:ascii="Arial" w:hAnsi="Arial" w:cs="Arial"/>
                <w:bCs/>
                <w:sz w:val="22"/>
                <w:szCs w:val="22"/>
              </w:rPr>
              <w:t>Partner States of the “status quo” and the potential in the ADRION area for multimodal, environmental-friendly and low carbon transport and mobility infrastructures and services;</w:t>
            </w:r>
          </w:p>
          <w:p w:rsidR="00DF4E40" w:rsidRPr="00A30AEC" w:rsidRDefault="00DF4E40" w:rsidP="00A30AEC">
            <w:pPr>
              <w:pStyle w:val="Text4"/>
              <w:numPr>
                <w:ilvl w:val="0"/>
                <w:numId w:val="129"/>
              </w:numPr>
              <w:ind w:left="459"/>
              <w:rPr>
                <w:rFonts w:ascii="Arial" w:hAnsi="Arial" w:cs="Arial"/>
                <w:bCs/>
                <w:sz w:val="22"/>
                <w:szCs w:val="22"/>
              </w:rPr>
            </w:pPr>
            <w:r w:rsidRPr="00304864">
              <w:rPr>
                <w:rFonts w:ascii="Arial" w:hAnsi="Arial" w:cs="Arial"/>
                <w:bCs/>
                <w:sz w:val="22"/>
                <w:szCs w:val="22"/>
              </w:rPr>
              <w:t>Enhancement of the competencies/skills of the stakeholders and involved parties;</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Increase in the implementation options for multimodal, environmental-friendly and low carbon transport and mobility infrastructures and services;</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Enhanced involveme</w:t>
            </w:r>
            <w:r w:rsidRPr="00587306">
              <w:rPr>
                <w:rFonts w:ascii="Arial" w:hAnsi="Arial" w:cs="Arial"/>
                <w:bCs/>
                <w:sz w:val="22"/>
                <w:szCs w:val="22"/>
              </w:rPr>
              <w:t>nt of touris</w:t>
            </w:r>
            <w:r w:rsidRPr="009956A4">
              <w:rPr>
                <w:rFonts w:ascii="Arial" w:hAnsi="Arial" w:cs="Arial"/>
                <w:bCs/>
                <w:sz w:val="22"/>
                <w:szCs w:val="22"/>
              </w:rPr>
              <w:t>m actors, residents and economic operators for investment in multimodal, environmental-friendly and low carbon transport and mobility infrastructures and services;</w:t>
            </w:r>
          </w:p>
          <w:p w:rsidR="00DF4E40" w:rsidRPr="00A30AEC" w:rsidRDefault="00DF4E40" w:rsidP="00A30AEC">
            <w:pPr>
              <w:pStyle w:val="Text4"/>
              <w:numPr>
                <w:ilvl w:val="0"/>
                <w:numId w:val="129"/>
              </w:numPr>
              <w:ind w:left="459"/>
              <w:rPr>
                <w:rFonts w:ascii="Arial" w:hAnsi="Arial" w:cs="Arial"/>
                <w:bCs/>
                <w:sz w:val="22"/>
                <w:szCs w:val="22"/>
              </w:rPr>
            </w:pPr>
            <w:r w:rsidRPr="003E2F90">
              <w:rPr>
                <w:rFonts w:ascii="Arial" w:hAnsi="Arial" w:cs="Arial"/>
                <w:bCs/>
                <w:sz w:val="22"/>
                <w:szCs w:val="22"/>
              </w:rPr>
              <w:t>Harmonised and/or joint infrastructures, tools and management structures;</w:t>
            </w:r>
          </w:p>
          <w:p w:rsidR="00DF4E40" w:rsidRPr="00304864" w:rsidRDefault="00DF4E40" w:rsidP="00A30AEC">
            <w:pPr>
              <w:pStyle w:val="Text4"/>
              <w:numPr>
                <w:ilvl w:val="0"/>
                <w:numId w:val="129"/>
              </w:numPr>
              <w:ind w:left="459"/>
              <w:rPr>
                <w:rFonts w:ascii="Arial" w:hAnsi="Arial" w:cs="Arial"/>
                <w:b/>
                <w:szCs w:val="22"/>
              </w:rPr>
            </w:pPr>
            <w:r w:rsidRPr="00304864">
              <w:rPr>
                <w:rFonts w:ascii="Arial" w:hAnsi="Arial" w:cs="Arial"/>
                <w:bCs/>
                <w:sz w:val="22"/>
                <w:szCs w:val="22"/>
              </w:rPr>
              <w:t>Enhancement of the maturity and coordination of investments in multimodal, environmental-friendly and low carbon transport and mobility infrastructures and services.</w:t>
            </w:r>
          </w:p>
        </w:tc>
      </w:tr>
    </w:tbl>
    <w:p w:rsidR="00DF4E40" w:rsidRPr="00304864" w:rsidRDefault="00DF4E40" w:rsidP="00A30AEC">
      <w:pPr>
        <w:pStyle w:val="ListBullet"/>
        <w:numPr>
          <w:ilvl w:val="0"/>
          <w:numId w:val="0"/>
        </w:numPr>
        <w:ind w:left="567" w:hanging="283"/>
        <w:rPr>
          <w:rFonts w:ascii="Arial" w:hAnsi="Arial" w:cs="Arial"/>
          <w:sz w:val="22"/>
          <w:szCs w:val="22"/>
        </w:rPr>
      </w:pPr>
    </w:p>
    <w:p w:rsidR="00F92654" w:rsidRDefault="00F92654" w:rsidP="00A30AEC">
      <w:pPr>
        <w:pStyle w:val="ListBullet"/>
        <w:numPr>
          <w:ilvl w:val="0"/>
          <w:numId w:val="0"/>
        </w:numPr>
        <w:ind w:left="567" w:hanging="283"/>
        <w:rPr>
          <w:rFonts w:ascii="Arial" w:hAnsi="Arial" w:cs="Arial"/>
          <w:sz w:val="22"/>
          <w:szCs w:val="22"/>
        </w:rPr>
        <w:sectPr w:rsidR="00F92654" w:rsidSect="00A961B0">
          <w:pgSz w:w="11906" w:h="16838"/>
          <w:pgMar w:top="1417" w:right="1134" w:bottom="1134" w:left="1134" w:header="601" w:footer="1077" w:gutter="0"/>
          <w:cols w:space="720"/>
          <w:docGrid w:linePitch="326"/>
        </w:sectPr>
      </w:pPr>
    </w:p>
    <w:p w:rsidR="00DF4E40" w:rsidRPr="00304864" w:rsidRDefault="00DF4E40">
      <w:pPr>
        <w:rPr>
          <w:rFonts w:ascii="Arial" w:hAnsi="Arial" w:cs="Arial"/>
          <w:b/>
          <w:sz w:val="22"/>
          <w:szCs w:val="22"/>
        </w:rPr>
      </w:pPr>
      <w:r w:rsidRPr="00304864">
        <w:rPr>
          <w:rFonts w:ascii="Arial" w:hAnsi="Arial" w:cs="Arial"/>
          <w:b/>
          <w:sz w:val="22"/>
          <w:szCs w:val="22"/>
        </w:rPr>
        <w:t xml:space="preserve">Table 3: Programme specific result indicators </w:t>
      </w:r>
      <w:r w:rsidRPr="00304864">
        <w:rPr>
          <w:rFonts w:ascii="Arial" w:hAnsi="Arial" w:cs="Arial"/>
          <w:i/>
          <w:sz w:val="22"/>
          <w:szCs w:val="22"/>
        </w:rPr>
        <w:t>(by specific objective)</w:t>
      </w:r>
    </w:p>
    <w:p w:rsidR="00DF4E40" w:rsidRPr="00A30AEC" w:rsidRDefault="00DF4E40">
      <w:pPr>
        <w:rPr>
          <w:rFonts w:ascii="Arial" w:hAnsi="Arial" w:cs="Arial"/>
          <w:sz w:val="22"/>
          <w:szCs w:val="22"/>
        </w:rPr>
      </w:pPr>
      <w:r w:rsidRPr="00A30AEC">
        <w:rPr>
          <w:rFonts w:ascii="Arial" w:hAnsi="Arial" w:cs="Arial"/>
          <w:sz w:val="22"/>
          <w:szCs w:val="22"/>
        </w:rPr>
        <w:t>(Reference: point (b)(ii) of Article 8(2) of Regulation (EU) No 1299/2013)</w:t>
      </w:r>
    </w:p>
    <w:p w:rsidR="00DF4E40" w:rsidRPr="00304864" w:rsidRDefault="00DF4E40">
      <w:pPr>
        <w:rPr>
          <w:rFonts w:ascii="Arial" w:hAnsi="Arial" w:cs="Arial"/>
          <w:i/>
          <w:sz w:val="22"/>
          <w:szCs w:val="22"/>
        </w:rPr>
      </w:pPr>
      <w:r w:rsidRPr="00304864">
        <w:rPr>
          <w:rFonts w:ascii="Arial" w:hAnsi="Arial" w:cs="Arial"/>
          <w:i/>
          <w:sz w:val="22"/>
          <w:szCs w:val="22"/>
        </w:rPr>
        <w:t xml:space="preserve">One (if possible) and no more than two result indicators should be used for each specific objective.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1"/>
        <w:gridCol w:w="3271"/>
        <w:gridCol w:w="1833"/>
        <w:gridCol w:w="1588"/>
        <w:gridCol w:w="1588"/>
        <w:gridCol w:w="1550"/>
        <w:gridCol w:w="1736"/>
        <w:gridCol w:w="1919"/>
      </w:tblGrid>
      <w:tr w:rsidR="00DF4E40" w:rsidRPr="00304864" w:rsidTr="00A961B0">
        <w:trPr>
          <w:trHeight w:val="870"/>
          <w:jc w:val="center"/>
        </w:trPr>
        <w:tc>
          <w:tcPr>
            <w:tcW w:w="440"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1106"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Result Indicator</w:t>
            </w:r>
          </w:p>
        </w:tc>
        <w:tc>
          <w:tcPr>
            <w:tcW w:w="620"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53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Value</w:t>
            </w:r>
          </w:p>
        </w:tc>
        <w:tc>
          <w:tcPr>
            <w:tcW w:w="53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Baseline Year</w:t>
            </w:r>
          </w:p>
        </w:tc>
        <w:tc>
          <w:tcPr>
            <w:tcW w:w="524"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w:t>
            </w:r>
            <w:r w:rsidRPr="00304864">
              <w:rPr>
                <w:rStyle w:val="FootnoteReference"/>
                <w:rFonts w:ascii="Arial" w:hAnsi="Arial" w:cs="Arial"/>
                <w:b/>
                <w:sz w:val="20"/>
              </w:rPr>
              <w:footnoteReference w:id="12"/>
            </w:r>
            <w:r w:rsidRPr="00304864">
              <w:rPr>
                <w:rFonts w:ascii="Arial" w:hAnsi="Arial" w:cs="Arial"/>
                <w:b/>
                <w:sz w:val="20"/>
              </w:rPr>
              <w:t xml:space="preserve"> (2023)</w:t>
            </w:r>
          </w:p>
          <w:p w:rsidR="00DF4E40" w:rsidRPr="00304864" w:rsidRDefault="00DF4E40">
            <w:pPr>
              <w:jc w:val="center"/>
              <w:rPr>
                <w:rFonts w:ascii="Arial" w:hAnsi="Arial" w:cs="Arial"/>
                <w:i/>
                <w:sz w:val="20"/>
              </w:rPr>
            </w:pPr>
            <w:r w:rsidRPr="00304864">
              <w:rPr>
                <w:rFonts w:ascii="Arial" w:hAnsi="Arial" w:cs="Arial"/>
                <w:i/>
                <w:sz w:val="20"/>
              </w:rPr>
              <w:t>100 char.</w:t>
            </w:r>
          </w:p>
        </w:tc>
        <w:tc>
          <w:tcPr>
            <w:tcW w:w="58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pPr>
              <w:jc w:val="center"/>
              <w:rPr>
                <w:rFonts w:ascii="Arial" w:hAnsi="Arial" w:cs="Arial"/>
                <w:i/>
                <w:sz w:val="20"/>
              </w:rPr>
            </w:pPr>
            <w:r w:rsidRPr="00304864">
              <w:rPr>
                <w:rFonts w:ascii="Arial" w:hAnsi="Arial" w:cs="Arial"/>
                <w:i/>
                <w:sz w:val="20"/>
              </w:rPr>
              <w:t>200 char.</w:t>
            </w:r>
          </w:p>
        </w:tc>
        <w:tc>
          <w:tcPr>
            <w:tcW w:w="649"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i/>
                <w:sz w:val="20"/>
              </w:rPr>
            </w:pPr>
            <w:r w:rsidRPr="00304864">
              <w:rPr>
                <w:rFonts w:ascii="Arial" w:hAnsi="Arial" w:cs="Arial"/>
                <w:i/>
                <w:sz w:val="20"/>
              </w:rPr>
              <w:t>100 char.</w:t>
            </w:r>
          </w:p>
        </w:tc>
      </w:tr>
      <w:tr w:rsidR="00DF4E40" w:rsidRPr="00304864" w:rsidTr="00A961B0">
        <w:trPr>
          <w:trHeight w:val="816"/>
          <w:jc w:val="center"/>
        </w:trPr>
        <w:tc>
          <w:tcPr>
            <w:tcW w:w="440"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7c.1</w:t>
            </w:r>
          </w:p>
        </w:tc>
        <w:tc>
          <w:tcPr>
            <w:tcW w:w="1106" w:type="pct"/>
            <w:vAlign w:val="center"/>
          </w:tcPr>
          <w:p w:rsidR="00DF4E40" w:rsidRPr="00304864" w:rsidRDefault="00DF4E40" w:rsidP="00A30AEC">
            <w:pPr>
              <w:jc w:val="center"/>
              <w:rPr>
                <w:rFonts w:ascii="Arial" w:hAnsi="Arial" w:cs="Arial"/>
                <w:color w:val="000000"/>
                <w:sz w:val="20"/>
              </w:rPr>
            </w:pPr>
            <w:r w:rsidRPr="00304864">
              <w:rPr>
                <w:rFonts w:ascii="Arial" w:hAnsi="Arial" w:cs="Arial"/>
                <w:color w:val="000000"/>
                <w:sz w:val="20"/>
              </w:rPr>
              <w:t>Level of capacity of organisations in the field of transport and mobility to transnationally plan and implement sustainable and multimodal transport and mobility solutions</w:t>
            </w:r>
          </w:p>
        </w:tc>
        <w:tc>
          <w:tcPr>
            <w:tcW w:w="620" w:type="pct"/>
            <w:vAlign w:val="center"/>
          </w:tcPr>
          <w:p w:rsidR="00DF4E40" w:rsidRPr="00304864" w:rsidRDefault="00DF4E40" w:rsidP="00A30AEC">
            <w:pPr>
              <w:jc w:val="center"/>
              <w:rPr>
                <w:rFonts w:ascii="Arial" w:hAnsi="Arial" w:cs="Arial"/>
                <w:color w:val="000000"/>
                <w:sz w:val="20"/>
              </w:rPr>
            </w:pPr>
            <w:r w:rsidRPr="00304864">
              <w:rPr>
                <w:rFonts w:ascii="Arial" w:hAnsi="Arial" w:cs="Arial"/>
                <w:color w:val="000000"/>
                <w:sz w:val="20"/>
              </w:rPr>
              <w:t>%</w:t>
            </w:r>
          </w:p>
        </w:tc>
        <w:tc>
          <w:tcPr>
            <w:tcW w:w="537"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66,6%</w:t>
            </w:r>
          </w:p>
        </w:tc>
        <w:tc>
          <w:tcPr>
            <w:tcW w:w="537"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2014</w:t>
            </w:r>
          </w:p>
        </w:tc>
        <w:tc>
          <w:tcPr>
            <w:tcW w:w="524"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Increase</w:t>
            </w:r>
          </w:p>
        </w:tc>
        <w:tc>
          <w:tcPr>
            <w:tcW w:w="587"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Survey</w:t>
            </w:r>
          </w:p>
        </w:tc>
        <w:tc>
          <w:tcPr>
            <w:tcW w:w="649" w:type="pct"/>
            <w:vAlign w:val="center"/>
          </w:tcPr>
          <w:p w:rsidR="00DF4E40" w:rsidRPr="00304864" w:rsidRDefault="00DF4E40">
            <w:pPr>
              <w:jc w:val="center"/>
              <w:rPr>
                <w:rFonts w:ascii="Arial" w:hAnsi="Arial" w:cs="Arial"/>
                <w:color w:val="000000"/>
                <w:sz w:val="20"/>
              </w:rPr>
            </w:pPr>
            <w:r w:rsidRPr="00304864">
              <w:rPr>
                <w:rFonts w:ascii="Arial" w:hAnsi="Arial" w:cs="Arial"/>
                <w:color w:val="000000"/>
                <w:sz w:val="20"/>
              </w:rPr>
              <w:t>2018</w:t>
            </w:r>
          </w:p>
          <w:p w:rsidR="00DF4E40" w:rsidRPr="00304864" w:rsidRDefault="00DF4E40">
            <w:pPr>
              <w:jc w:val="center"/>
              <w:rPr>
                <w:rFonts w:ascii="Arial" w:hAnsi="Arial" w:cs="Arial"/>
                <w:color w:val="000000"/>
                <w:sz w:val="20"/>
              </w:rPr>
            </w:pPr>
            <w:r w:rsidRPr="00304864">
              <w:rPr>
                <w:rFonts w:ascii="Arial" w:hAnsi="Arial" w:cs="Arial"/>
                <w:color w:val="000000"/>
                <w:sz w:val="20"/>
              </w:rPr>
              <w:t>2020</w:t>
            </w:r>
          </w:p>
          <w:p w:rsidR="00DF4E40" w:rsidRPr="00304864" w:rsidRDefault="00DF4E40">
            <w:pPr>
              <w:jc w:val="center"/>
              <w:rPr>
                <w:rFonts w:ascii="Arial" w:hAnsi="Arial" w:cs="Arial"/>
                <w:color w:val="000000"/>
                <w:sz w:val="20"/>
              </w:rPr>
            </w:pPr>
            <w:r w:rsidRPr="00304864">
              <w:rPr>
                <w:rFonts w:ascii="Arial" w:hAnsi="Arial" w:cs="Arial"/>
                <w:color w:val="000000"/>
                <w:sz w:val="20"/>
              </w:rPr>
              <w:t>2023</w:t>
            </w:r>
          </w:p>
        </w:tc>
      </w:tr>
    </w:tbl>
    <w:p w:rsidR="00DF4E40" w:rsidRPr="00304864" w:rsidRDefault="00DF4E40">
      <w:pPr>
        <w:rPr>
          <w:rFonts w:ascii="Arial" w:hAnsi="Arial" w:cs="Arial"/>
          <w:sz w:val="22"/>
          <w:szCs w:val="22"/>
        </w:rPr>
      </w:pPr>
    </w:p>
    <w:p w:rsidR="00F92654" w:rsidRDefault="00F92654">
      <w:pPr>
        <w:pStyle w:val="Text3"/>
        <w:rPr>
          <w:rFonts w:ascii="Arial" w:hAnsi="Arial" w:cs="Arial"/>
          <w:sz w:val="22"/>
          <w:szCs w:val="22"/>
          <w:lang w:eastAsia="fr-BE"/>
        </w:rPr>
        <w:sectPr w:rsidR="00F92654" w:rsidSect="00A961B0">
          <w:pgSz w:w="16838" w:h="11906" w:orient="landscape"/>
          <w:pgMar w:top="1417" w:right="1134" w:bottom="1134" w:left="1134" w:header="601" w:footer="1077" w:gutter="0"/>
          <w:cols w:space="720"/>
          <w:docGrid w:linePitch="326"/>
        </w:sectPr>
      </w:pPr>
    </w:p>
    <w:p w:rsidR="00DF4E40" w:rsidRDefault="00DF4E40">
      <w:pPr>
        <w:pStyle w:val="Heading3"/>
        <w:spacing w:before="0" w:after="120"/>
        <w:ind w:left="0"/>
        <w:rPr>
          <w:rFonts w:ascii="Arial" w:hAnsi="Arial" w:cs="Arial"/>
          <w:b w:val="0"/>
          <w:color w:val="002060"/>
          <w:sz w:val="22"/>
          <w:szCs w:val="22"/>
        </w:rPr>
      </w:pPr>
      <w:bookmarkStart w:id="182" w:name="_Toc420652528"/>
      <w:bookmarkStart w:id="183" w:name="_Toc421076881"/>
      <w:r w:rsidRPr="00A30AEC">
        <w:rPr>
          <w:rFonts w:ascii="Arial" w:hAnsi="Arial" w:cs="Arial"/>
          <w:b w:val="0"/>
          <w:color w:val="002060"/>
          <w:sz w:val="22"/>
          <w:szCs w:val="22"/>
        </w:rPr>
        <w:t>2.A.6.Actions to be supported under the investment priority</w:t>
      </w:r>
      <w:bookmarkEnd w:id="182"/>
      <w:bookmarkEnd w:id="183"/>
    </w:p>
    <w:p w:rsidR="007875FA" w:rsidRPr="00A30AEC" w:rsidRDefault="007875FA" w:rsidP="00A30AEC">
      <w:pPr>
        <w:pStyle w:val="Text3"/>
        <w:ind w:left="0"/>
        <w:rPr>
          <w:rFonts w:ascii="Arial" w:hAnsi="Arial" w:cs="Arial"/>
          <w:sz w:val="22"/>
          <w:szCs w:val="22"/>
        </w:rPr>
      </w:pPr>
    </w:p>
    <w:p w:rsidR="007875FA" w:rsidRPr="00A30AEC" w:rsidRDefault="007875FA" w:rsidP="00A30AEC">
      <w:pPr>
        <w:pStyle w:val="Text3"/>
        <w:ind w:left="0"/>
        <w:rPr>
          <w:rFonts w:ascii="Arial" w:hAnsi="Arial" w:cs="Arial"/>
          <w:sz w:val="22"/>
          <w:szCs w:val="22"/>
        </w:rPr>
      </w:pPr>
    </w:p>
    <w:p w:rsidR="00A10A3B" w:rsidRDefault="00A10A3B" w:rsidP="00A30AEC">
      <w:pPr>
        <w:pStyle w:val="Heading2"/>
        <w:spacing w:after="120"/>
        <w:rPr>
          <w:strike/>
          <w:color w:val="17365D"/>
        </w:rPr>
      </w:pPr>
      <w:bookmarkStart w:id="184" w:name="_Toc421076882"/>
      <w:bookmarkStart w:id="185" w:name="_Toc420652529"/>
      <w:r w:rsidRPr="002B7D4C">
        <w:rPr>
          <w:color w:val="17365D"/>
        </w:rPr>
        <w:t xml:space="preserve">2.A.6.1 </w:t>
      </w:r>
      <w:r w:rsidRPr="002B7D4C">
        <w:rPr>
          <w:color w:val="17365D"/>
        </w:rPr>
        <w:tab/>
        <w:t xml:space="preserve">A description of the </w:t>
      </w:r>
      <w:r w:rsidRPr="002B7D4C">
        <w:t>type and examples of actions  to be supported and their expected contribution to the specific objectives, including, where appropriate, identification of the main target groups, specific territories targeted and types of beneficiaries</w:t>
      </w:r>
      <w:bookmarkEnd w:id="184"/>
    </w:p>
    <w:p w:rsidR="00A10A3B" w:rsidRPr="00A30AEC" w:rsidRDefault="00A10A3B">
      <w:pPr>
        <w:rPr>
          <w:rFonts w:ascii="Arial" w:hAnsi="Arial" w:cs="Arial"/>
          <w:sz w:val="22"/>
          <w:szCs w:val="22"/>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bookmarkEnd w:id="185"/>
          <w:p w:rsidR="00DF4E40" w:rsidRPr="00304864" w:rsidRDefault="00DF4E40">
            <w:pPr>
              <w:jc w:val="left"/>
              <w:rPr>
                <w:rFonts w:ascii="Arial" w:hAnsi="Arial" w:cs="Arial"/>
                <w:b/>
                <w:szCs w:val="22"/>
              </w:rPr>
            </w:pPr>
            <w:r w:rsidRPr="00304864">
              <w:rPr>
                <w:rFonts w:ascii="Arial" w:hAnsi="Arial" w:cs="Arial"/>
                <w:b/>
                <w:sz w:val="22"/>
                <w:szCs w:val="22"/>
              </w:rPr>
              <w:t>Investment Priority 7.c</w:t>
            </w:r>
          </w:p>
        </w:tc>
        <w:tc>
          <w:tcPr>
            <w:tcW w:w="6484"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Developing and improving environment-friendly (including low-noise) and low-carbon transport systems including inland waterways and maritime transport, ports, multimodal links and airport infrastructure, in order to promote sustainable regional and local mobility</w:t>
            </w:r>
          </w:p>
        </w:tc>
      </w:tr>
      <w:tr w:rsidR="00DF4E40" w:rsidRPr="00304864" w:rsidTr="009F0217">
        <w:tc>
          <w:tcPr>
            <w:tcW w:w="9286" w:type="dxa"/>
            <w:gridSpan w:val="2"/>
          </w:tcPr>
          <w:p w:rsidR="00DF4E40" w:rsidRPr="00304864" w:rsidRDefault="00DF4E40">
            <w:pPr>
              <w:rPr>
                <w:rFonts w:ascii="Arial" w:hAnsi="Arial" w:cs="Arial"/>
                <w:b/>
                <w:szCs w:val="22"/>
              </w:rPr>
            </w:pPr>
            <w:r w:rsidRPr="00304864">
              <w:rPr>
                <w:rFonts w:ascii="Arial" w:hAnsi="Arial" w:cs="Arial"/>
                <w:b/>
                <w:sz w:val="22"/>
                <w:szCs w:val="22"/>
              </w:rPr>
              <w:t>Indicative Actions to be supported are:</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Set up of transnational frameworks, platforms and networks for the identification of existing potentials and obstacles in the fields of integrated transport, mobility services and multimodality (mapping of resources, studies, pilots and strategies, market demand e.g. for freight routes, prerequisites and “soft” factors for implementation and the monitoring of the outcomes of integrated transport and mobility services and multimodality nodes;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Development of joint approaches and instruments in the field of maritime transport, such as a modern ship reporting system in the Adriatic Sea (Common Adriatic-Ionian Vessel Traffic Monitoring and Information System ADRIREP), motorways of the sea, and related port infrastructures and ITS (Intelligent Transport System);</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Building up of networks and working groups for the standardisation of legal requirements, technical specifications and capacity building in the field of planning and environmental impact assessment of intermodal transport investments and related operation and logistics services along with related communication activities;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Establishment of networks and working groups on issues related to the design, coordination and operation of integrated environmental-friendly and low carbon transport and mobility services and multimodality structures especially in metropolises, functional urban areas and in areas under land use pressure (e.g. coasts);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Support the transfer and uptake of existing local/regional solutions and instruments; capitalisation of on-going technological innovations for a more sustainable organisation of environmental-friendly - low carbon transport and mobility services and multimodality nodes, as well as new technologies applications;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Study, design and testing of operational, technological and funding models for the preparation of infrastructure investments for environmental-friendly and low carbon transport and mobility services and multimodality;</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Development of transnational platforms for the coordination of environmental-friendly and low carbon transport and mobility services and infrastructures taking into account the possibilities offered by modern technologies, the environmental and seasonal constraints and the synergies of the demand by tourism, resident population and economic operators.</w:t>
            </w:r>
          </w:p>
          <w:p w:rsidR="00DF4E40" w:rsidRPr="00304864" w:rsidRDefault="00DF4E40">
            <w:pPr>
              <w:ind w:left="360"/>
              <w:rPr>
                <w:rFonts w:ascii="Arial" w:hAnsi="Arial" w:cs="Arial"/>
                <w:b/>
                <w:szCs w:val="22"/>
              </w:rPr>
            </w:pPr>
          </w:p>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Target groups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General public;</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Enterprises, including SME;</w:t>
            </w:r>
          </w:p>
          <w:p w:rsidR="00DF4E40" w:rsidRPr="00A30AEC" w:rsidRDefault="00DF4E40" w:rsidP="00A30AEC">
            <w:pPr>
              <w:pStyle w:val="ListParagraph"/>
              <w:numPr>
                <w:ilvl w:val="0"/>
                <w:numId w:val="130"/>
              </w:numPr>
              <w:ind w:left="426"/>
              <w:rPr>
                <w:rFonts w:ascii="Arial" w:hAnsi="Arial" w:cs="Arial"/>
                <w:color w:val="000000"/>
                <w:sz w:val="22"/>
                <w:szCs w:val="22"/>
                <w:lang w:val="en-US" w:eastAsia="it-IT"/>
              </w:rPr>
            </w:pPr>
            <w:r w:rsidRPr="00A30AEC">
              <w:rPr>
                <w:rFonts w:ascii="Arial" w:hAnsi="Arial" w:cs="Arial"/>
                <w:color w:val="000000"/>
                <w:sz w:val="22"/>
                <w:szCs w:val="22"/>
                <w:lang w:val="en-GB" w:eastAsia="it-IT"/>
              </w:rPr>
              <w:t>Those groups listed under the caption “Indicative types of beneficiaries”.</w:t>
            </w:r>
          </w:p>
          <w:p w:rsidR="00DF4E40" w:rsidRPr="00304864" w:rsidRDefault="00DF4E40">
            <w:pPr>
              <w:pStyle w:val="Text4"/>
              <w:ind w:left="0"/>
              <w:rPr>
                <w:rFonts w:ascii="Arial" w:hAnsi="Arial" w:cs="Arial"/>
                <w:b/>
                <w:szCs w:val="22"/>
                <w:lang w:eastAsia="fr-BE"/>
              </w:rPr>
            </w:pPr>
          </w:p>
          <w:p w:rsidR="00DF4E40" w:rsidRPr="00304864" w:rsidRDefault="00DF4E40">
            <w:pPr>
              <w:pStyle w:val="Text4"/>
              <w:ind w:left="0"/>
              <w:rPr>
                <w:rFonts w:ascii="Arial" w:hAnsi="Arial" w:cs="Arial"/>
                <w:b/>
                <w:szCs w:val="22"/>
                <w:lang w:eastAsia="fr-BE"/>
              </w:rPr>
            </w:pPr>
            <w:r w:rsidRPr="00304864">
              <w:rPr>
                <w:rFonts w:ascii="Arial" w:hAnsi="Arial" w:cs="Arial"/>
                <w:b/>
                <w:sz w:val="22"/>
                <w:szCs w:val="22"/>
                <w:lang w:eastAsia="fr-BE"/>
              </w:rPr>
              <w:t>Indicative types of beneficiaries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Local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Regional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National Authorities;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Agencies;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Infrastructure and (public) service providers;</w:t>
            </w:r>
          </w:p>
          <w:p w:rsidR="00DF4E40" w:rsidRPr="00A30AEC" w:rsidRDefault="00DF4E40" w:rsidP="00A30AEC">
            <w:pPr>
              <w:pStyle w:val="ListParagraph"/>
              <w:numPr>
                <w:ilvl w:val="0"/>
                <w:numId w:val="130"/>
              </w:numPr>
              <w:ind w:left="426"/>
              <w:rPr>
                <w:rFonts w:ascii="Arial" w:hAnsi="Arial" w:cs="Arial"/>
                <w:color w:val="000000"/>
                <w:sz w:val="22"/>
                <w:szCs w:val="22"/>
                <w:lang w:val="en-GB" w:eastAsia="it-IT"/>
              </w:rPr>
            </w:pPr>
            <w:r w:rsidRPr="00A30AEC">
              <w:rPr>
                <w:rFonts w:ascii="Arial" w:hAnsi="Arial" w:cs="Arial"/>
                <w:color w:val="000000"/>
                <w:sz w:val="22"/>
                <w:szCs w:val="22"/>
                <w:lang w:val="en-GB" w:eastAsia="it-IT"/>
              </w:rPr>
              <w:t>Research &amp; Engineering Institutions;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Higher education institutions;</w:t>
            </w:r>
          </w:p>
          <w:p w:rsidR="00DF4E40" w:rsidRPr="00A30AEC" w:rsidRDefault="00DF4E40" w:rsidP="00A30AEC">
            <w:pPr>
              <w:pStyle w:val="ListParagraph"/>
              <w:numPr>
                <w:ilvl w:val="0"/>
                <w:numId w:val="130"/>
              </w:numPr>
              <w:ind w:left="426"/>
              <w:rPr>
                <w:rFonts w:ascii="Arial" w:hAnsi="Arial" w:cs="Arial"/>
                <w:color w:val="000000"/>
                <w:sz w:val="22"/>
                <w:szCs w:val="22"/>
                <w:lang w:val="en-GB" w:eastAsia="it-IT"/>
              </w:rPr>
            </w:pPr>
            <w:r w:rsidRPr="00A30AEC">
              <w:rPr>
                <w:rFonts w:ascii="Arial" w:hAnsi="Arial" w:cs="Arial"/>
                <w:color w:val="000000"/>
                <w:sz w:val="22"/>
                <w:szCs w:val="22"/>
                <w:lang w:val="en-GB" w:eastAsia="it-IT"/>
              </w:rPr>
              <w:t>Business support organisations;</w:t>
            </w:r>
          </w:p>
          <w:p w:rsidR="00DF4E40" w:rsidRPr="00304864" w:rsidRDefault="00DF4E40" w:rsidP="00A30AEC">
            <w:pPr>
              <w:pStyle w:val="ListParagraph"/>
              <w:numPr>
                <w:ilvl w:val="0"/>
                <w:numId w:val="130"/>
              </w:numPr>
              <w:ind w:left="426"/>
              <w:rPr>
                <w:rFonts w:ascii="Arial" w:hAnsi="Arial" w:cs="Arial"/>
                <w:szCs w:val="22"/>
                <w:lang w:val="en-GB"/>
              </w:rPr>
            </w:pPr>
            <w:r w:rsidRPr="00A30AEC">
              <w:rPr>
                <w:rFonts w:ascii="Arial" w:hAnsi="Arial" w:cs="Arial"/>
                <w:color w:val="000000"/>
                <w:sz w:val="22"/>
                <w:szCs w:val="22"/>
                <w:lang w:val="en-GB" w:eastAsia="it-IT"/>
              </w:rPr>
              <w:t>Interest groups including NGOs and citizen associations.</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A10A3B" w:rsidRDefault="00DF4E40" w:rsidP="00A30AEC">
      <w:pPr>
        <w:pStyle w:val="Heading2"/>
        <w:spacing w:after="120"/>
      </w:pPr>
      <w:bookmarkStart w:id="186" w:name="_Toc420652530"/>
      <w:bookmarkStart w:id="187" w:name="_Toc421076883"/>
      <w:r w:rsidRPr="00A10A3B">
        <w:t>2.A.6.2.The guiding principles for the selection of operations</w:t>
      </w:r>
      <w:bookmarkEnd w:id="186"/>
      <w:bookmarkEnd w:id="187"/>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 7.c</w:t>
            </w:r>
          </w:p>
        </w:tc>
        <w:tc>
          <w:tcPr>
            <w:tcW w:w="6484"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Developing and improving environment-friendly (including low-noise) and low-carbon transport systems including inland waterways and maritime transport, ports, multimodal links and airport infrastructure, in order to promote sustainable regional and local mobility</w:t>
            </w:r>
          </w:p>
        </w:tc>
      </w:tr>
      <w:tr w:rsidR="00DF4E40" w:rsidRPr="00304864" w:rsidTr="009F0217">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 xml:space="preserve">The selection of projects will be carried out in accordance with Article 12 of the ETC regulation, following a standardised assessment procedure, the objectives of which include: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Assessment of the relevance of a project proposal;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Assessment of the feasibility of the proposed approach;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Definition of a transparent and objective basis for decision making on proposal rejection or approval;</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Provision of a base for communication and improvement among Programme bodies and applicants. </w:t>
            </w:r>
          </w:p>
          <w:p w:rsidR="00DF4E40" w:rsidRPr="00304864" w:rsidRDefault="00DF4E40">
            <w:pPr>
              <w:pStyle w:val="tablelinks"/>
              <w:spacing w:before="0" w:after="120" w:line="240" w:lineRule="auto"/>
              <w:rPr>
                <w:color w:val="auto"/>
                <w:sz w:val="22"/>
                <w:szCs w:val="22"/>
              </w:rPr>
            </w:pPr>
            <w:r w:rsidRPr="00304864">
              <w:rPr>
                <w:color w:val="auto"/>
                <w:sz w:val="22"/>
                <w:szCs w:val="22"/>
              </w:rPr>
              <w:t>The assessment will be conducted using the following sets of criteria:</w:t>
            </w:r>
          </w:p>
          <w:p w:rsidR="00DF4E40" w:rsidRPr="00304864" w:rsidRDefault="00DF4E40">
            <w:pPr>
              <w:pStyle w:val="tablelinks"/>
              <w:spacing w:before="0" w:after="120" w:line="240" w:lineRule="auto"/>
              <w:rPr>
                <w:b/>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 xml:space="preserve">Strategic Assessment Criteria: </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coherence and contribution of each project proposal to the ADRION Programme Objectives and especially the relevant SO addressed;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contribution to the envisaged results per IP;</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soundness of the concept and demonstration of the need for the proposed intervention in its thematic and territorial context;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The added value of transnational cooperation;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proposed partnership relevance to the above;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the EUSAIR strategy and the contribution to the achievement of its objectives;</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The relevance and coherence of the project with other relevant EU strategies and or policies.</w:t>
            </w:r>
          </w:p>
          <w:p w:rsidR="00DF4E40" w:rsidRPr="00304864" w:rsidRDefault="00DF4E40">
            <w:pPr>
              <w:pStyle w:val="tablelinks"/>
              <w:spacing w:before="0" w:after="120" w:line="240" w:lineRule="auto"/>
              <w:ind w:left="360"/>
              <w:rPr>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Operational Assessment Criteria</w:t>
            </w:r>
          </w:p>
          <w:p w:rsidR="00DF4E40" w:rsidRPr="00304864" w:rsidRDefault="00DF4E40">
            <w:pPr>
              <w:pStyle w:val="tablelinks"/>
              <w:spacing w:before="0" w:after="120" w:line="240" w:lineRule="auto"/>
              <w:rPr>
                <w:b/>
                <w:color w:val="auto"/>
                <w:sz w:val="22"/>
                <w:szCs w:val="22"/>
              </w:rPr>
            </w:pPr>
            <w:r w:rsidRPr="00304864">
              <w:rPr>
                <w:b/>
                <w:color w:val="auto"/>
                <w:sz w:val="22"/>
                <w:szCs w:val="22"/>
              </w:rPr>
              <w:t>These criteria shall examine:</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adequacy of the management provisions in terms of structures, procedures and competences; </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quality and effectiveness of communication provisions;</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quality of the Work Plan in relation to clarity and coherence of the operational objectives, activities and means, feasibility, efficiency of the project and its results, potential for uptake and embedment into operative procedures of the partners involved;</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 The adequacy of the budget provisions to guarantee the project implementation and generate value for money. </w:t>
            </w:r>
          </w:p>
          <w:p w:rsidR="00DF4E40" w:rsidRPr="00304864" w:rsidRDefault="00DF4E40">
            <w:pPr>
              <w:pStyle w:val="tablelinks"/>
              <w:spacing w:before="0" w:after="120" w:line="240" w:lineRule="auto"/>
              <w:rPr>
                <w:b/>
                <w:color w:val="auto"/>
                <w:sz w:val="22"/>
                <w:szCs w:val="22"/>
              </w:rPr>
            </w:pPr>
          </w:p>
          <w:p w:rsidR="00DF4E40" w:rsidRPr="00304864" w:rsidRDefault="00DF4E40">
            <w:pPr>
              <w:pStyle w:val="tablelinks"/>
              <w:spacing w:before="0" w:after="120" w:line="240" w:lineRule="auto"/>
              <w:rPr>
                <w:b/>
                <w:color w:val="auto"/>
                <w:sz w:val="22"/>
                <w:szCs w:val="22"/>
              </w:rPr>
            </w:pPr>
            <w:r w:rsidRPr="00304864">
              <w:rPr>
                <w:b/>
                <w:color w:val="auto"/>
                <w:sz w:val="22"/>
                <w:szCs w:val="22"/>
              </w:rPr>
              <w:t>Coherence to Horizontal Principles Criteria</w:t>
            </w:r>
          </w:p>
          <w:p w:rsidR="00DF4E40" w:rsidRPr="00304864" w:rsidRDefault="00DF4E40">
            <w:pPr>
              <w:pStyle w:val="tablelinks"/>
              <w:spacing w:before="0" w:after="120" w:line="240" w:lineRule="auto"/>
              <w:rPr>
                <w:color w:val="auto"/>
                <w:sz w:val="22"/>
                <w:szCs w:val="22"/>
              </w:rPr>
            </w:pPr>
            <w:r w:rsidRPr="00304864">
              <w:rPr>
                <w:color w:val="auto"/>
                <w:sz w:val="22"/>
                <w:szCs w:val="22"/>
              </w:rPr>
              <w:t>This criterion shall examine the extent to which projects have integrated within their intervention logic:</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 xml:space="preserve">PA 3 </w:t>
            </w:r>
            <w:r w:rsidR="0076697B" w:rsidRPr="00A30AEC">
              <w:rPr>
                <w:rFonts w:ascii="Arial" w:hAnsi="Arial" w:cs="Arial"/>
                <w:color w:val="000000"/>
                <w:sz w:val="22"/>
                <w:szCs w:val="22"/>
                <w:lang w:val="en-GB" w:eastAsia="it-IT"/>
              </w:rPr>
              <w:t>h</w:t>
            </w:r>
            <w:r w:rsidRPr="00A30AEC">
              <w:rPr>
                <w:rFonts w:ascii="Arial" w:hAnsi="Arial" w:cs="Arial"/>
                <w:color w:val="000000"/>
                <w:sz w:val="22"/>
                <w:szCs w:val="22"/>
                <w:lang w:val="en-GB" w:eastAsia="it-IT"/>
              </w:rPr>
              <w:t>orizontal principles, such as promotion of energy and resource efficiency and consideration of the principles of open access to innovation benefits and reproducibility;</w:t>
            </w:r>
          </w:p>
          <w:p w:rsidR="00DF4E40" w:rsidRPr="00A30AEC" w:rsidRDefault="00DF4E40" w:rsidP="00A30AEC">
            <w:pPr>
              <w:pStyle w:val="ListParagraph"/>
              <w:numPr>
                <w:ilvl w:val="0"/>
                <w:numId w:val="131"/>
              </w:numPr>
              <w:ind w:left="426" w:hanging="284"/>
              <w:rPr>
                <w:color w:val="000000"/>
                <w:sz w:val="22"/>
                <w:szCs w:val="22"/>
                <w:lang w:val="en-US" w:eastAsia="it-IT"/>
              </w:rPr>
            </w:pPr>
            <w:r w:rsidRPr="00A30AEC">
              <w:rPr>
                <w:rFonts w:ascii="Arial" w:hAnsi="Arial" w:cs="Arial"/>
                <w:color w:val="000000"/>
                <w:sz w:val="22"/>
                <w:szCs w:val="22"/>
                <w:lang w:val="en-GB" w:eastAsia="it-IT"/>
              </w:rPr>
              <w:t>ADRION cross-cutting dimensions as defined in Section 1 of the CP; equal opportunities and non-discrimination, equality between men and women, social cohesion and social innovation, data and knowledge management, use of ICT, territorial and eco-systemic approach</w:t>
            </w:r>
            <w:r w:rsidR="00983CB8">
              <w:rPr>
                <w:rFonts w:ascii="Arial" w:hAnsi="Arial" w:cs="Arial"/>
                <w:color w:val="000000"/>
                <w:sz w:val="22"/>
                <w:szCs w:val="22"/>
                <w:lang w:val="en-GB" w:eastAsia="it-IT"/>
              </w:rPr>
              <w:t>.</w:t>
            </w: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 above elements should not be considered as a “check list”, but should rather encourage projects to proactively develop their project ideas within the logic of the Programme. </w:t>
            </w:r>
          </w:p>
          <w:p w:rsidR="00DF4E40" w:rsidRPr="00304864" w:rsidRDefault="00DF4E40">
            <w:pPr>
              <w:pStyle w:val="tablelinks"/>
              <w:spacing w:before="0" w:after="120" w:line="240" w:lineRule="auto"/>
              <w:rPr>
                <w:color w:val="auto"/>
                <w:sz w:val="22"/>
                <w:szCs w:val="22"/>
              </w:rPr>
            </w:pPr>
          </w:p>
          <w:p w:rsidR="00DF4E40" w:rsidRPr="00304864" w:rsidRDefault="00DF4E40">
            <w:pPr>
              <w:pStyle w:val="tablelinks"/>
              <w:spacing w:before="0" w:after="120" w:line="240" w:lineRule="auto"/>
              <w:rPr>
                <w:color w:val="auto"/>
                <w:sz w:val="22"/>
                <w:szCs w:val="22"/>
              </w:rPr>
            </w:pPr>
            <w:r w:rsidRPr="00304864">
              <w:rPr>
                <w:color w:val="auto"/>
                <w:sz w:val="22"/>
                <w:szCs w:val="22"/>
              </w:rPr>
              <w:t xml:space="preserve">These three criteria are presented in the order of importance for the project. The Strategic Assessment Criteria examine the relevance of the project proposal; hence they retain absolute primacy over the other two criteria. The Operational Assessment Criterion ensure the successful delivery of results; hence they have more weight than the Coherence to Horizontal Principles Criteria, which are basically oriented towards integration of a “relevant and feasible” proposal into the ADRION logic. </w:t>
            </w:r>
          </w:p>
          <w:p w:rsidR="00DF4E40" w:rsidRPr="00304864" w:rsidRDefault="00DF4E40">
            <w:pPr>
              <w:rPr>
                <w:rFonts w:ascii="Arial" w:hAnsi="Arial" w:cs="Arial"/>
                <w:szCs w:val="22"/>
              </w:rPr>
            </w:pPr>
            <w:r w:rsidRPr="00304864">
              <w:rPr>
                <w:rFonts w:ascii="Arial" w:hAnsi="Arial" w:cs="Arial"/>
                <w:sz w:val="22"/>
                <w:szCs w:val="22"/>
              </w:rPr>
              <w:t>The detailed assessment criteria will be laid down and made available to potential applicants in the programme related manual.</w:t>
            </w:r>
          </w:p>
          <w:p w:rsidR="00DF4E40" w:rsidRPr="00304864" w:rsidRDefault="00DF4E40">
            <w:pPr>
              <w:rPr>
                <w:rFonts w:ascii="Arial" w:hAnsi="Arial" w:cs="Arial"/>
                <w:szCs w:val="22"/>
              </w:rPr>
            </w:pPr>
            <w:r w:rsidRPr="00304864">
              <w:rPr>
                <w:rFonts w:ascii="Arial" w:hAnsi="Arial" w:cs="Arial"/>
                <w:sz w:val="22"/>
                <w:szCs w:val="22"/>
              </w:rPr>
              <w:t>Preparatory cost will be eligible under the PA 3 funds.</w:t>
            </w:r>
          </w:p>
        </w:tc>
      </w:tr>
    </w:tbl>
    <w:p w:rsidR="00DF4E40" w:rsidRPr="00304864" w:rsidRDefault="00DF4E40" w:rsidP="00A30AEC">
      <w:pPr>
        <w:pStyle w:val="Heading2"/>
      </w:pPr>
      <w:r w:rsidRPr="00304864">
        <w:br w:type="page"/>
      </w:r>
    </w:p>
    <w:p w:rsidR="00DF4E40" w:rsidRPr="00A10A3B" w:rsidRDefault="00DF4E40" w:rsidP="00A30AEC">
      <w:pPr>
        <w:pStyle w:val="Heading2"/>
        <w:spacing w:after="120"/>
      </w:pPr>
      <w:bookmarkStart w:id="188" w:name="_Toc420652531"/>
      <w:bookmarkStart w:id="189" w:name="_Toc421076884"/>
      <w:r w:rsidRPr="00A10A3B">
        <w:t>2.A.6.3.Planned use of financial instruments</w:t>
      </w:r>
      <w:bookmarkEnd w:id="188"/>
      <w:bookmarkEnd w:id="189"/>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jc w:val="left"/>
              <w:rPr>
                <w:rFonts w:ascii="Arial" w:hAnsi="Arial" w:cs="Arial"/>
                <w:b/>
                <w:szCs w:val="22"/>
              </w:rPr>
            </w:pPr>
            <w:r w:rsidRPr="00304864">
              <w:rPr>
                <w:rFonts w:ascii="Arial" w:hAnsi="Arial" w:cs="Arial"/>
                <w:b/>
                <w:sz w:val="22"/>
                <w:szCs w:val="22"/>
              </w:rPr>
              <w:t>Investment Priority 7.c</w:t>
            </w:r>
          </w:p>
        </w:tc>
        <w:tc>
          <w:tcPr>
            <w:tcW w:w="6484"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Developing and improving environment-friendly (including low-noise) and low-carbon transport systems including inland waterways and maritime transport, ports, multimodal links and airport infrastructure, in order to promote sustainable regional and local mobility</w:t>
            </w:r>
          </w:p>
        </w:tc>
      </w:tr>
      <w:tr w:rsidR="00DF4E40" w:rsidRPr="00304864" w:rsidTr="009F0217">
        <w:tc>
          <w:tcPr>
            <w:tcW w:w="2802" w:type="dxa"/>
          </w:tcPr>
          <w:p w:rsidR="00DF4E40" w:rsidRPr="00304864" w:rsidRDefault="00DF4E40">
            <w:pPr>
              <w:rPr>
                <w:rFonts w:ascii="Arial" w:hAnsi="Arial" w:cs="Arial"/>
                <w:szCs w:val="22"/>
              </w:rPr>
            </w:pPr>
            <w:r w:rsidRPr="00304864">
              <w:rPr>
                <w:rFonts w:ascii="Arial" w:hAnsi="Arial" w:cs="Arial"/>
                <w:sz w:val="22"/>
                <w:szCs w:val="22"/>
              </w:rPr>
              <w:t>Planned use of financial instruments</w:t>
            </w:r>
          </w:p>
        </w:tc>
        <w:tc>
          <w:tcPr>
            <w:tcW w:w="6484" w:type="dxa"/>
          </w:tcPr>
          <w:p w:rsidR="00DF4E40" w:rsidRPr="00304864" w:rsidRDefault="00DF4E40">
            <w:pPr>
              <w:rPr>
                <w:rFonts w:ascii="Arial" w:hAnsi="Arial" w:cs="Arial"/>
                <w:szCs w:val="22"/>
              </w:rPr>
            </w:pPr>
          </w:p>
        </w:tc>
      </w:tr>
      <w:tr w:rsidR="00DF4E40" w:rsidRPr="00304864" w:rsidTr="009F0217">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The opportunity of the elaboration and implementation of financial instruments will be debated during the implementation of the Programme</w:t>
            </w:r>
            <w:r w:rsidR="00BD24B7">
              <w:rPr>
                <w:rFonts w:ascii="Arial" w:hAnsi="Arial" w:cs="Arial"/>
                <w:sz w:val="22"/>
                <w:szCs w:val="22"/>
              </w:rPr>
              <w:t>.</w:t>
            </w:r>
          </w:p>
        </w:tc>
      </w:tr>
    </w:tbl>
    <w:p w:rsidR="00DF4E40" w:rsidRPr="00A30AEC" w:rsidRDefault="00DF4E40">
      <w:pPr>
        <w:rPr>
          <w:rFonts w:ascii="Arial" w:hAnsi="Arial" w:cs="Arial"/>
          <w:i/>
          <w:sz w:val="22"/>
          <w:szCs w:val="22"/>
        </w:rPr>
      </w:pPr>
    </w:p>
    <w:p w:rsidR="00DF4E40" w:rsidRPr="00A30AEC" w:rsidRDefault="00DF4E40">
      <w:pPr>
        <w:rPr>
          <w:rFonts w:ascii="Arial" w:hAnsi="Arial" w:cs="Arial"/>
          <w:i/>
          <w:sz w:val="22"/>
          <w:szCs w:val="22"/>
        </w:rPr>
      </w:pPr>
    </w:p>
    <w:p w:rsidR="00DF4E40" w:rsidRPr="00A10A3B" w:rsidRDefault="00DF4E40" w:rsidP="00A30AEC">
      <w:pPr>
        <w:pStyle w:val="Heading2"/>
        <w:spacing w:after="120"/>
      </w:pPr>
      <w:bookmarkStart w:id="190" w:name="_Toc420652532"/>
      <w:bookmarkStart w:id="191" w:name="_Toc421076885"/>
      <w:r w:rsidRPr="00A10A3B">
        <w:t>2.A.6.4. Planned use of major projects</w:t>
      </w:r>
      <w:bookmarkEnd w:id="190"/>
      <w:bookmarkEnd w:id="191"/>
    </w:p>
    <w:p w:rsidR="00C463AF" w:rsidRPr="00A30AEC" w:rsidRDefault="00C463AF">
      <w:pPr>
        <w:rPr>
          <w:rFonts w:ascii="Arial" w:hAnsi="Arial" w:cs="Arial"/>
          <w:sz w:val="22"/>
          <w:szCs w:val="22"/>
        </w:rPr>
      </w:pPr>
      <w:r w:rsidRPr="00A30AEC">
        <w:rPr>
          <w:rFonts w:ascii="Arial" w:hAnsi="Arial" w:cs="Arial"/>
          <w:sz w:val="22"/>
          <w:szCs w:val="22"/>
        </w:rPr>
        <w:t>(Reference: point (b)(iii) of Article 8(2) of the ETC Regulation)</w:t>
      </w:r>
    </w:p>
    <w:p w:rsidR="00DF4E40" w:rsidRPr="00A30AEC" w:rsidRDefault="00DF4E40">
      <w:pPr>
        <w:rPr>
          <w:rFonts w:ascii="Arial" w:hAnsi="Arial" w:cs="Arial"/>
          <w:sz w:val="22"/>
          <w:szCs w:val="22"/>
        </w:rPr>
      </w:pPr>
      <w:r w:rsidRPr="00A30AEC">
        <w:rPr>
          <w:rFonts w:ascii="Arial" w:hAnsi="Arial" w:cs="Arial"/>
          <w:sz w:val="22"/>
          <w:szCs w:val="22"/>
        </w:rPr>
        <w:t>Not applicable</w:t>
      </w:r>
    </w:p>
    <w:p w:rsidR="00DF4E40" w:rsidRDefault="00DF4E40">
      <w:pPr>
        <w:rPr>
          <w:rFonts w:ascii="Arial" w:hAnsi="Arial" w:cs="Arial"/>
          <w:i/>
          <w:sz w:val="22"/>
          <w:szCs w:val="22"/>
        </w:rPr>
      </w:pPr>
    </w:p>
    <w:p w:rsidR="00C463AF" w:rsidRPr="00304864" w:rsidRDefault="00C463AF">
      <w:pPr>
        <w:rPr>
          <w:rFonts w:ascii="Arial" w:hAnsi="Arial" w:cs="Arial"/>
          <w:i/>
          <w:sz w:val="22"/>
          <w:szCs w:val="22"/>
        </w:rPr>
      </w:pPr>
    </w:p>
    <w:p w:rsidR="00A10A3B" w:rsidRDefault="00A10A3B" w:rsidP="00A30AEC">
      <w:pPr>
        <w:pStyle w:val="Heading2"/>
        <w:spacing w:after="120"/>
      </w:pPr>
      <w:bookmarkStart w:id="192" w:name="_Toc421076886"/>
      <w:bookmarkStart w:id="193" w:name="_Toc420652533"/>
      <w:r w:rsidRPr="002B7D4C">
        <w:t>2.A.6.5.Output indicators</w:t>
      </w:r>
      <w:bookmarkEnd w:id="192"/>
    </w:p>
    <w:p w:rsidR="00C463AF" w:rsidRPr="00A30AEC" w:rsidRDefault="00C463AF">
      <w:pPr>
        <w:rPr>
          <w:rFonts w:ascii="Arial" w:hAnsi="Arial" w:cs="Arial"/>
          <w:sz w:val="22"/>
          <w:szCs w:val="22"/>
        </w:rPr>
      </w:pPr>
      <w:r w:rsidRPr="00A30AEC">
        <w:rPr>
          <w:rFonts w:ascii="Arial" w:hAnsi="Arial" w:cs="Arial"/>
          <w:sz w:val="22"/>
          <w:szCs w:val="22"/>
        </w:rPr>
        <w:t>(Reference: point (b)(iv) of Article 8(2) of Regulation (EU) No 1299/2013)</w:t>
      </w:r>
    </w:p>
    <w:bookmarkEnd w:id="193"/>
    <w:p w:rsidR="00DF4E40" w:rsidRPr="00304864" w:rsidRDefault="00DF4E40">
      <w:pPr>
        <w:rPr>
          <w:rFonts w:ascii="Arial" w:hAnsi="Arial" w:cs="Arial"/>
          <w:i/>
          <w:sz w:val="22"/>
          <w:szCs w:val="22"/>
        </w:rPr>
      </w:pPr>
      <w:r w:rsidRPr="00304864">
        <w:rPr>
          <w:rFonts w:ascii="Arial" w:hAnsi="Arial" w:cs="Arial"/>
          <w:b/>
          <w:sz w:val="22"/>
          <w:szCs w:val="22"/>
        </w:rPr>
        <w:t xml:space="preserve">Table 4: Common and programme specific output indicators </w:t>
      </w:r>
      <w:r w:rsidRPr="00304864">
        <w:rPr>
          <w:rFonts w:ascii="Arial" w:hAnsi="Arial" w:cs="Arial"/>
          <w:i/>
          <w:sz w:val="22"/>
          <w:szCs w:val="22"/>
        </w:rPr>
        <w:t xml:space="preserve">(by investment priority)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8"/>
        <w:gridCol w:w="2051"/>
        <w:gridCol w:w="1559"/>
        <w:gridCol w:w="1134"/>
        <w:gridCol w:w="2126"/>
        <w:gridCol w:w="1559"/>
      </w:tblGrid>
      <w:tr w:rsidR="00DF4E40" w:rsidRPr="00304864" w:rsidTr="00A961B0">
        <w:trPr>
          <w:trHeight w:val="919"/>
          <w:jc w:val="center"/>
        </w:trPr>
        <w:tc>
          <w:tcPr>
            <w:tcW w:w="1318"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2051"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Output Indicator</w:t>
            </w:r>
          </w:p>
        </w:tc>
        <w:tc>
          <w:tcPr>
            <w:tcW w:w="1559"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1134"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 (2023)</w:t>
            </w:r>
          </w:p>
        </w:tc>
        <w:tc>
          <w:tcPr>
            <w:tcW w:w="2126"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pPr>
              <w:jc w:val="center"/>
              <w:rPr>
                <w:rFonts w:ascii="Arial" w:hAnsi="Arial" w:cs="Arial"/>
                <w:i/>
                <w:sz w:val="20"/>
              </w:rPr>
            </w:pPr>
            <w:r w:rsidRPr="00304864">
              <w:rPr>
                <w:rFonts w:ascii="Arial" w:hAnsi="Arial" w:cs="Arial"/>
                <w:i/>
                <w:sz w:val="20"/>
              </w:rPr>
              <w:t>200 char. Max</w:t>
            </w:r>
          </w:p>
        </w:tc>
        <w:tc>
          <w:tcPr>
            <w:tcW w:w="1559"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i/>
                <w:sz w:val="20"/>
              </w:rPr>
            </w:pPr>
            <w:r w:rsidRPr="00304864">
              <w:rPr>
                <w:rFonts w:ascii="Arial" w:hAnsi="Arial" w:cs="Arial"/>
                <w:i/>
                <w:sz w:val="20"/>
              </w:rPr>
              <w:t>100 char. Max</w:t>
            </w:r>
          </w:p>
        </w:tc>
      </w:tr>
      <w:tr w:rsidR="00DF4E40" w:rsidRPr="00304864" w:rsidTr="00A961B0">
        <w:trPr>
          <w:trHeight w:val="700"/>
          <w:jc w:val="center"/>
        </w:trPr>
        <w:tc>
          <w:tcPr>
            <w:tcW w:w="1318"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OI_7c.1_1</w:t>
            </w:r>
          </w:p>
        </w:tc>
        <w:tc>
          <w:tcPr>
            <w:tcW w:w="2051" w:type="dxa"/>
            <w:vAlign w:val="center"/>
          </w:tcPr>
          <w:p w:rsidR="00DF4E40" w:rsidRPr="00304864" w:rsidRDefault="00DF4E40">
            <w:pPr>
              <w:jc w:val="center"/>
              <w:rPr>
                <w:rFonts w:ascii="Arial" w:hAnsi="Arial" w:cs="Arial"/>
                <w:sz w:val="20"/>
              </w:rPr>
            </w:pPr>
            <w:r w:rsidRPr="00304864">
              <w:rPr>
                <w:rFonts w:ascii="Arial" w:hAnsi="Arial" w:cs="Arial"/>
                <w:sz w:val="20"/>
              </w:rPr>
              <w:t>Number of supported transnational cooperation networks in the field of environment-friendly and low-carbon transport systems</w:t>
            </w:r>
          </w:p>
        </w:tc>
        <w:tc>
          <w:tcPr>
            <w:tcW w:w="1559" w:type="dxa"/>
            <w:vAlign w:val="center"/>
          </w:tcPr>
          <w:p w:rsidR="00DF4E40" w:rsidRPr="00304864" w:rsidRDefault="00DF4E40">
            <w:pPr>
              <w:jc w:val="center"/>
              <w:rPr>
                <w:rFonts w:ascii="Arial" w:hAnsi="Arial" w:cs="Arial"/>
                <w:sz w:val="20"/>
              </w:rPr>
            </w:pPr>
            <w:r w:rsidRPr="00304864">
              <w:rPr>
                <w:rFonts w:ascii="Arial" w:hAnsi="Arial" w:cs="Arial"/>
                <w:sz w:val="20"/>
              </w:rPr>
              <w:t>Number</w:t>
            </w:r>
          </w:p>
        </w:tc>
        <w:tc>
          <w:tcPr>
            <w:tcW w:w="1134" w:type="dxa"/>
            <w:vAlign w:val="center"/>
          </w:tcPr>
          <w:p w:rsidR="00DF4E40" w:rsidRPr="00304864" w:rsidRDefault="00DF4E40">
            <w:pPr>
              <w:jc w:val="center"/>
              <w:rPr>
                <w:rFonts w:ascii="Arial" w:hAnsi="Arial" w:cs="Arial"/>
                <w:sz w:val="20"/>
              </w:rPr>
            </w:pPr>
            <w:r w:rsidRPr="00304864">
              <w:rPr>
                <w:rFonts w:ascii="Arial" w:hAnsi="Arial" w:cs="Arial"/>
                <w:sz w:val="20"/>
              </w:rPr>
              <w:t>6</w:t>
            </w:r>
          </w:p>
        </w:tc>
        <w:tc>
          <w:tcPr>
            <w:tcW w:w="2126" w:type="dxa"/>
            <w:vAlign w:val="center"/>
          </w:tcPr>
          <w:p w:rsidR="00DF4E40" w:rsidRPr="00304864" w:rsidRDefault="00DF4E40">
            <w:pPr>
              <w:jc w:val="center"/>
              <w:rPr>
                <w:rFonts w:ascii="Arial" w:hAnsi="Arial" w:cs="Arial"/>
                <w:sz w:val="20"/>
              </w:rPr>
            </w:pPr>
            <w:r w:rsidRPr="00304864">
              <w:rPr>
                <w:rFonts w:ascii="Arial" w:hAnsi="Arial" w:cs="Arial"/>
                <w:sz w:val="20"/>
              </w:rPr>
              <w:t>Monitoring/Project progress reports</w:t>
            </w:r>
          </w:p>
        </w:tc>
        <w:tc>
          <w:tcPr>
            <w:tcW w:w="1559" w:type="dxa"/>
            <w:vAlign w:val="center"/>
          </w:tcPr>
          <w:p w:rsidR="00DF4E40" w:rsidRPr="00304864" w:rsidRDefault="00DF4E40">
            <w:pPr>
              <w:jc w:val="center"/>
              <w:rPr>
                <w:rFonts w:ascii="Arial" w:hAnsi="Arial" w:cs="Arial"/>
                <w:sz w:val="20"/>
              </w:rPr>
            </w:pPr>
            <w:r w:rsidRPr="00304864">
              <w:rPr>
                <w:rFonts w:ascii="Arial" w:hAnsi="Arial" w:cs="Arial"/>
                <w:sz w:val="20"/>
              </w:rPr>
              <w:t>Annually</w:t>
            </w:r>
          </w:p>
        </w:tc>
      </w:tr>
      <w:tr w:rsidR="00DF4E40" w:rsidRPr="00304864" w:rsidTr="00A961B0">
        <w:trPr>
          <w:trHeight w:val="700"/>
          <w:jc w:val="center"/>
        </w:trPr>
        <w:tc>
          <w:tcPr>
            <w:tcW w:w="1318"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OI_7c.1_2</w:t>
            </w:r>
          </w:p>
        </w:tc>
        <w:tc>
          <w:tcPr>
            <w:tcW w:w="2051" w:type="dxa"/>
            <w:vAlign w:val="center"/>
          </w:tcPr>
          <w:p w:rsidR="00DF4E40" w:rsidRPr="00304864" w:rsidRDefault="00DF4E40">
            <w:pPr>
              <w:jc w:val="center"/>
              <w:rPr>
                <w:rFonts w:ascii="Arial" w:hAnsi="Arial" w:cs="Arial"/>
                <w:sz w:val="20"/>
              </w:rPr>
            </w:pPr>
            <w:r w:rsidRPr="00304864">
              <w:rPr>
                <w:rFonts w:ascii="Arial" w:hAnsi="Arial" w:cs="Arial"/>
                <w:sz w:val="20"/>
              </w:rPr>
              <w:t>Number of strategies and action plans developed in the field of environment-friendly and low-carbon transport systems</w:t>
            </w:r>
          </w:p>
        </w:tc>
        <w:tc>
          <w:tcPr>
            <w:tcW w:w="1559" w:type="dxa"/>
            <w:vAlign w:val="center"/>
          </w:tcPr>
          <w:p w:rsidR="00DF4E40" w:rsidRPr="00304864" w:rsidRDefault="00DF4E40">
            <w:pPr>
              <w:jc w:val="center"/>
              <w:rPr>
                <w:rFonts w:ascii="Arial" w:hAnsi="Arial" w:cs="Arial"/>
                <w:sz w:val="20"/>
              </w:rPr>
            </w:pPr>
            <w:r w:rsidRPr="00304864">
              <w:rPr>
                <w:rFonts w:ascii="Arial" w:hAnsi="Arial" w:cs="Arial"/>
                <w:sz w:val="20"/>
              </w:rPr>
              <w:t>Number</w:t>
            </w:r>
          </w:p>
        </w:tc>
        <w:tc>
          <w:tcPr>
            <w:tcW w:w="1134" w:type="dxa"/>
            <w:vAlign w:val="center"/>
          </w:tcPr>
          <w:p w:rsidR="00DF4E40" w:rsidRPr="00304864" w:rsidRDefault="00DF4E40">
            <w:pPr>
              <w:jc w:val="center"/>
              <w:rPr>
                <w:rFonts w:ascii="Arial" w:hAnsi="Arial" w:cs="Arial"/>
                <w:sz w:val="20"/>
              </w:rPr>
            </w:pPr>
            <w:r w:rsidRPr="00304864">
              <w:rPr>
                <w:rFonts w:ascii="Arial" w:hAnsi="Arial" w:cs="Arial"/>
                <w:sz w:val="20"/>
              </w:rPr>
              <w:t>12</w:t>
            </w:r>
          </w:p>
        </w:tc>
        <w:tc>
          <w:tcPr>
            <w:tcW w:w="2126" w:type="dxa"/>
            <w:vAlign w:val="center"/>
          </w:tcPr>
          <w:p w:rsidR="00DF4E40" w:rsidRPr="00304864" w:rsidRDefault="00DF4E40">
            <w:pPr>
              <w:jc w:val="center"/>
              <w:rPr>
                <w:rFonts w:ascii="Arial" w:hAnsi="Arial" w:cs="Arial"/>
                <w:sz w:val="20"/>
              </w:rPr>
            </w:pPr>
            <w:r w:rsidRPr="00304864">
              <w:rPr>
                <w:rFonts w:ascii="Arial" w:hAnsi="Arial" w:cs="Arial"/>
                <w:sz w:val="20"/>
              </w:rPr>
              <w:t>Monitoring/Project progress reports</w:t>
            </w:r>
          </w:p>
        </w:tc>
        <w:tc>
          <w:tcPr>
            <w:tcW w:w="1559" w:type="dxa"/>
            <w:vAlign w:val="center"/>
          </w:tcPr>
          <w:p w:rsidR="00DF4E40" w:rsidRPr="00304864" w:rsidRDefault="00DF4E40">
            <w:pPr>
              <w:jc w:val="center"/>
              <w:rPr>
                <w:rFonts w:ascii="Arial" w:hAnsi="Arial" w:cs="Arial"/>
                <w:sz w:val="20"/>
              </w:rPr>
            </w:pPr>
            <w:r w:rsidRPr="00304864">
              <w:rPr>
                <w:rFonts w:ascii="Arial" w:hAnsi="Arial" w:cs="Arial"/>
                <w:sz w:val="20"/>
              </w:rPr>
              <w:t>Annually</w:t>
            </w:r>
          </w:p>
        </w:tc>
      </w:tr>
    </w:tbl>
    <w:p w:rsidR="00DF4E40" w:rsidRPr="00304864" w:rsidRDefault="00DF4E40">
      <w:pPr>
        <w:rPr>
          <w:rFonts w:ascii="Arial" w:hAnsi="Arial" w:cs="Arial"/>
          <w:sz w:val="22"/>
          <w:szCs w:val="22"/>
        </w:rPr>
      </w:pPr>
    </w:p>
    <w:p w:rsidR="00DF4E40" w:rsidRPr="003E2F90" w:rsidRDefault="00DF4E40">
      <w:pPr>
        <w:pStyle w:val="mStandard"/>
        <w:spacing w:before="0" w:after="120" w:line="240" w:lineRule="auto"/>
        <w:rPr>
          <w:rFonts w:cs="Arial"/>
          <w:b/>
          <w:lang w:val="en-GB"/>
        </w:rPr>
      </w:pPr>
    </w:p>
    <w:p w:rsidR="004A0CC2" w:rsidRDefault="004A0CC2">
      <w:pPr>
        <w:pStyle w:val="Heading2"/>
        <w:sectPr w:rsidR="004A0CC2" w:rsidSect="00A961B0">
          <w:pgSz w:w="11906" w:h="16838"/>
          <w:pgMar w:top="1417" w:right="1134" w:bottom="1134" w:left="1134" w:header="601" w:footer="1077" w:gutter="0"/>
          <w:cols w:space="708"/>
          <w:docGrid w:linePitch="326"/>
        </w:sectPr>
      </w:pPr>
    </w:p>
    <w:p w:rsidR="00DF4E40" w:rsidRPr="00A30AEC" w:rsidRDefault="00DF4E40" w:rsidP="00A30AEC">
      <w:pPr>
        <w:pStyle w:val="Heading2"/>
        <w:spacing w:after="120"/>
        <w:rPr>
          <w:noProof/>
        </w:rPr>
      </w:pPr>
      <w:bookmarkStart w:id="194" w:name="_Toc420652534"/>
      <w:bookmarkStart w:id="195" w:name="_Toc421076887"/>
      <w:r w:rsidRPr="00A30AEC">
        <w:rPr>
          <w:noProof/>
        </w:rPr>
        <w:t>2.A.7. Performance framework</w:t>
      </w:r>
      <w:bookmarkEnd w:id="194"/>
      <w:bookmarkEnd w:id="195"/>
    </w:p>
    <w:p w:rsidR="00DF4E40" w:rsidRPr="00587306" w:rsidRDefault="00DF4E40">
      <w:pPr>
        <w:pStyle w:val="mStandard"/>
        <w:spacing w:before="0" w:after="120" w:line="240" w:lineRule="auto"/>
        <w:rPr>
          <w:rFonts w:cs="Arial"/>
          <w:b/>
          <w:lang w:val="en-GB"/>
        </w:rPr>
      </w:pPr>
      <w:r w:rsidRPr="003E2F90">
        <w:rPr>
          <w:rFonts w:cs="Arial"/>
          <w:b/>
          <w:lang w:val="en-GB"/>
        </w:rPr>
        <w:t>Table</w:t>
      </w:r>
      <w:r w:rsidR="00A10A3B">
        <w:rPr>
          <w:rFonts w:cs="Arial"/>
          <w:b/>
          <w:lang w:val="en-GB"/>
        </w:rPr>
        <w:t xml:space="preserve"> 5</w:t>
      </w:r>
      <w:r w:rsidR="0036192A">
        <w:rPr>
          <w:rFonts w:cs="Arial"/>
          <w:b/>
          <w:lang w:val="en-GB"/>
        </w:rPr>
        <w:t xml:space="preserve">: </w:t>
      </w:r>
      <w:r w:rsidRPr="003E2F90">
        <w:rPr>
          <w:rFonts w:cs="Arial"/>
          <w:b/>
          <w:lang w:val="en-GB"/>
        </w:rPr>
        <w:t>Performance framework of the priority axis</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0"/>
        <w:gridCol w:w="2136"/>
        <w:gridCol w:w="1357"/>
        <w:gridCol w:w="2403"/>
        <w:gridCol w:w="1768"/>
        <w:gridCol w:w="1456"/>
        <w:gridCol w:w="1252"/>
        <w:gridCol w:w="1573"/>
        <w:gridCol w:w="1786"/>
      </w:tblGrid>
      <w:tr w:rsidR="00AD02BA" w:rsidRPr="00304864" w:rsidTr="00C779B8">
        <w:trPr>
          <w:trHeight w:val="1758"/>
          <w:jc w:val="center"/>
        </w:trPr>
        <w:tc>
          <w:tcPr>
            <w:tcW w:w="417"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Priority axis</w:t>
            </w:r>
          </w:p>
        </w:tc>
        <w:tc>
          <w:tcPr>
            <w:tcW w:w="713"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Indicator Type (key implementation step, financial, output or, where appropriate, result indicator</w:t>
            </w:r>
          </w:p>
        </w:tc>
        <w:tc>
          <w:tcPr>
            <w:tcW w:w="453"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ID</w:t>
            </w:r>
          </w:p>
        </w:tc>
        <w:tc>
          <w:tcPr>
            <w:tcW w:w="802"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Indicator or key implementation step</w:t>
            </w:r>
          </w:p>
        </w:tc>
        <w:tc>
          <w:tcPr>
            <w:tcW w:w="590"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Measurement unit, where appropriate</w:t>
            </w:r>
          </w:p>
        </w:tc>
        <w:tc>
          <w:tcPr>
            <w:tcW w:w="486"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Milestone for 2018</w:t>
            </w:r>
          </w:p>
        </w:tc>
        <w:tc>
          <w:tcPr>
            <w:tcW w:w="418"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Final target (2023)</w:t>
            </w:r>
          </w:p>
        </w:tc>
        <w:tc>
          <w:tcPr>
            <w:tcW w:w="525" w:type="pct"/>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Source of data</w:t>
            </w:r>
          </w:p>
        </w:tc>
        <w:tc>
          <w:tcPr>
            <w:tcW w:w="597"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Explanation of the relevance of the indicator, where appropriate</w:t>
            </w:r>
          </w:p>
        </w:tc>
      </w:tr>
      <w:tr w:rsidR="00DF4E40" w:rsidRPr="00304864" w:rsidTr="00C779B8">
        <w:trPr>
          <w:trHeight w:val="64"/>
          <w:jc w:val="center"/>
        </w:trPr>
        <w:tc>
          <w:tcPr>
            <w:tcW w:w="417"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3</w:t>
            </w:r>
          </w:p>
        </w:tc>
        <w:tc>
          <w:tcPr>
            <w:tcW w:w="713"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Financial</w:t>
            </w:r>
          </w:p>
        </w:tc>
        <w:tc>
          <w:tcPr>
            <w:tcW w:w="453" w:type="pct"/>
            <w:vAlign w:val="center"/>
          </w:tcPr>
          <w:p w:rsidR="00DF4E40" w:rsidRPr="00304864" w:rsidRDefault="00DF4E40" w:rsidP="00A30AEC">
            <w:pPr>
              <w:pStyle w:val="Text1"/>
              <w:ind w:left="0"/>
              <w:jc w:val="center"/>
              <w:rPr>
                <w:rFonts w:ascii="Arial" w:hAnsi="Arial" w:cs="Arial"/>
                <w:sz w:val="20"/>
              </w:rPr>
            </w:pPr>
          </w:p>
        </w:tc>
        <w:tc>
          <w:tcPr>
            <w:tcW w:w="802"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Financial</w:t>
            </w:r>
          </w:p>
        </w:tc>
        <w:tc>
          <w:tcPr>
            <w:tcW w:w="590"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EUR</w:t>
            </w:r>
          </w:p>
        </w:tc>
        <w:tc>
          <w:tcPr>
            <w:tcW w:w="486" w:type="pct"/>
            <w:vAlign w:val="center"/>
          </w:tcPr>
          <w:p w:rsidR="00DF4E40" w:rsidRPr="00C779B8" w:rsidRDefault="00DF4E40" w:rsidP="00415612">
            <w:pPr>
              <w:jc w:val="center"/>
              <w:rPr>
                <w:rFonts w:ascii="Arial" w:hAnsi="Arial" w:cs="Arial"/>
              </w:rPr>
            </w:pPr>
            <w:r w:rsidRPr="00C779B8">
              <w:rPr>
                <w:rFonts w:ascii="Arial" w:hAnsi="Arial" w:cs="Arial"/>
                <w:color w:val="000000"/>
                <w:sz w:val="20"/>
              </w:rPr>
              <w:t>1.770.852</w:t>
            </w:r>
          </w:p>
        </w:tc>
        <w:tc>
          <w:tcPr>
            <w:tcW w:w="418" w:type="pct"/>
            <w:vAlign w:val="center"/>
          </w:tcPr>
          <w:p w:rsidR="00DF4E40" w:rsidRPr="00C779B8" w:rsidRDefault="00415612" w:rsidP="00A30AEC">
            <w:pPr>
              <w:pStyle w:val="Text1"/>
              <w:ind w:left="0"/>
              <w:jc w:val="center"/>
              <w:rPr>
                <w:rFonts w:ascii="Arial" w:hAnsi="Arial" w:cs="Arial"/>
                <w:strike/>
                <w:sz w:val="20"/>
              </w:rPr>
            </w:pPr>
            <w:r w:rsidRPr="00C779B8">
              <w:rPr>
                <w:rFonts w:ascii="Arial" w:hAnsi="Arial" w:cs="Arial"/>
                <w:sz w:val="20"/>
                <w:lang w:eastAsia="es-ES"/>
              </w:rPr>
              <w:t>17.708.524</w:t>
            </w:r>
          </w:p>
        </w:tc>
        <w:tc>
          <w:tcPr>
            <w:tcW w:w="525"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Monitoring</w:t>
            </w:r>
          </w:p>
        </w:tc>
        <w:tc>
          <w:tcPr>
            <w:tcW w:w="597" w:type="pct"/>
            <w:vAlign w:val="center"/>
          </w:tcPr>
          <w:p w:rsidR="00DF4E40" w:rsidRPr="00304864" w:rsidRDefault="00DF4E40" w:rsidP="00A30AEC">
            <w:pPr>
              <w:jc w:val="center"/>
              <w:rPr>
                <w:rFonts w:ascii="Arial" w:hAnsi="Arial" w:cs="Arial"/>
                <w:sz w:val="20"/>
              </w:rPr>
            </w:pPr>
          </w:p>
        </w:tc>
      </w:tr>
      <w:tr w:rsidR="00DF4E40" w:rsidRPr="00304864" w:rsidTr="00C779B8">
        <w:trPr>
          <w:trHeight w:val="320"/>
          <w:jc w:val="center"/>
        </w:trPr>
        <w:tc>
          <w:tcPr>
            <w:tcW w:w="417"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3</w:t>
            </w:r>
          </w:p>
        </w:tc>
        <w:tc>
          <w:tcPr>
            <w:tcW w:w="713"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Output</w:t>
            </w:r>
          </w:p>
        </w:tc>
        <w:tc>
          <w:tcPr>
            <w:tcW w:w="453"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OI_7c</w:t>
            </w:r>
            <w:r w:rsidRPr="00304864">
              <w:rPr>
                <w:rFonts w:ascii="Arial" w:hAnsi="Arial" w:cs="Arial"/>
                <w:b/>
                <w:sz w:val="20"/>
              </w:rPr>
              <w:t>.</w:t>
            </w:r>
            <w:r w:rsidRPr="00304864">
              <w:rPr>
                <w:rFonts w:ascii="Arial" w:hAnsi="Arial" w:cs="Arial"/>
                <w:sz w:val="20"/>
              </w:rPr>
              <w:t>1_2</w:t>
            </w:r>
          </w:p>
        </w:tc>
        <w:tc>
          <w:tcPr>
            <w:tcW w:w="802"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Number of strategies and action plans developed in the field of environment-friendly and low-carbon transport systems</w:t>
            </w:r>
          </w:p>
        </w:tc>
        <w:tc>
          <w:tcPr>
            <w:tcW w:w="590"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Number</w:t>
            </w:r>
          </w:p>
        </w:tc>
        <w:tc>
          <w:tcPr>
            <w:tcW w:w="486"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2</w:t>
            </w:r>
          </w:p>
        </w:tc>
        <w:tc>
          <w:tcPr>
            <w:tcW w:w="418"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12</w:t>
            </w:r>
          </w:p>
        </w:tc>
        <w:tc>
          <w:tcPr>
            <w:tcW w:w="525"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Monitoring/ Project progress reports</w:t>
            </w:r>
          </w:p>
        </w:tc>
        <w:tc>
          <w:tcPr>
            <w:tcW w:w="597" w:type="pct"/>
            <w:vAlign w:val="center"/>
          </w:tcPr>
          <w:p w:rsidR="00DF4E40" w:rsidRPr="00304864" w:rsidRDefault="00DF4E40" w:rsidP="00A30AEC">
            <w:pPr>
              <w:pStyle w:val="Text1"/>
              <w:ind w:left="0"/>
              <w:jc w:val="center"/>
              <w:rPr>
                <w:rFonts w:ascii="Arial" w:hAnsi="Arial" w:cs="Arial"/>
                <w:sz w:val="20"/>
              </w:rPr>
            </w:pPr>
          </w:p>
        </w:tc>
      </w:tr>
    </w:tbl>
    <w:p w:rsidR="00DF4E40" w:rsidRPr="00304864" w:rsidRDefault="00DF4E40">
      <w:pPr>
        <w:rPr>
          <w:rFonts w:ascii="Arial" w:hAnsi="Arial" w:cs="Arial"/>
          <w:sz w:val="22"/>
          <w:szCs w:val="22"/>
        </w:rPr>
      </w:pPr>
    </w:p>
    <w:p w:rsidR="00F92654" w:rsidRDefault="00F92654">
      <w:pPr>
        <w:rPr>
          <w:rFonts w:ascii="Arial" w:hAnsi="Arial" w:cs="Arial"/>
          <w:sz w:val="22"/>
          <w:szCs w:val="22"/>
        </w:rPr>
        <w:sectPr w:rsidR="00F92654" w:rsidSect="00A961B0">
          <w:pgSz w:w="16838" w:h="11906" w:orient="landscape"/>
          <w:pgMar w:top="1417" w:right="1134" w:bottom="1134" w:left="1134" w:header="601" w:footer="1077" w:gutter="0"/>
          <w:cols w:space="708"/>
          <w:docGrid w:linePitch="326"/>
        </w:sectPr>
      </w:pPr>
    </w:p>
    <w:p w:rsidR="00DF4E40" w:rsidRPr="00304864" w:rsidRDefault="00DF4E40">
      <w:pPr>
        <w:rPr>
          <w:rFonts w:ascii="Arial" w:hAnsi="Arial" w:cs="Arial"/>
          <w:sz w:val="22"/>
          <w:szCs w:val="22"/>
        </w:rPr>
      </w:pPr>
    </w:p>
    <w:p w:rsidR="00DF4E40" w:rsidRPr="00A30AEC" w:rsidRDefault="00DF4E40">
      <w:pPr>
        <w:pStyle w:val="Heading3"/>
        <w:spacing w:before="0" w:after="120"/>
        <w:ind w:left="0"/>
        <w:rPr>
          <w:rFonts w:ascii="Arial" w:hAnsi="Arial" w:cs="Arial"/>
          <w:b w:val="0"/>
          <w:color w:val="002060"/>
          <w:sz w:val="22"/>
          <w:szCs w:val="22"/>
        </w:rPr>
      </w:pPr>
      <w:bookmarkStart w:id="196" w:name="_Toc420652535"/>
      <w:bookmarkStart w:id="197" w:name="_Toc421076888"/>
      <w:r w:rsidRPr="00A30AEC">
        <w:rPr>
          <w:rFonts w:ascii="Arial" w:hAnsi="Arial" w:cs="Arial"/>
          <w:b w:val="0"/>
          <w:color w:val="002060"/>
          <w:sz w:val="22"/>
          <w:szCs w:val="22"/>
        </w:rPr>
        <w:t>2.A.1 Priority Axis 4</w:t>
      </w:r>
      <w:bookmarkEnd w:id="196"/>
      <w:bookmarkEnd w:id="19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7477"/>
      </w:tblGrid>
      <w:tr w:rsidR="00DF4E40" w:rsidRPr="00304864" w:rsidTr="00A30AEC">
        <w:trPr>
          <w:trHeight w:val="332"/>
        </w:trPr>
        <w:tc>
          <w:tcPr>
            <w:tcW w:w="1843"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ID</w:t>
            </w:r>
          </w:p>
        </w:tc>
        <w:tc>
          <w:tcPr>
            <w:tcW w:w="7477"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PRIORITY AXIS 4</w:t>
            </w:r>
          </w:p>
        </w:tc>
      </w:tr>
      <w:tr w:rsidR="00DF4E40" w:rsidRPr="00304864" w:rsidTr="00A961B0">
        <w:trPr>
          <w:trHeight w:val="559"/>
        </w:trPr>
        <w:tc>
          <w:tcPr>
            <w:tcW w:w="1843" w:type="dxa"/>
          </w:tcPr>
          <w:p w:rsidR="00DF4E40" w:rsidRPr="00304864" w:rsidRDefault="00DF4E40">
            <w:pPr>
              <w:rPr>
                <w:rFonts w:ascii="Arial" w:hAnsi="Arial" w:cs="Arial"/>
                <w:szCs w:val="22"/>
              </w:rPr>
            </w:pPr>
            <w:r w:rsidRPr="00304864">
              <w:rPr>
                <w:rFonts w:ascii="Arial" w:hAnsi="Arial" w:cs="Arial"/>
                <w:b/>
                <w:sz w:val="22"/>
                <w:szCs w:val="22"/>
              </w:rPr>
              <w:t>Title</w:t>
            </w:r>
          </w:p>
        </w:tc>
        <w:tc>
          <w:tcPr>
            <w:tcW w:w="7477" w:type="dxa"/>
          </w:tcPr>
          <w:p w:rsidR="00DF4E40" w:rsidRPr="00304864" w:rsidRDefault="00DF4E40">
            <w:pPr>
              <w:rPr>
                <w:rFonts w:ascii="Arial" w:hAnsi="Arial" w:cs="Arial"/>
                <w:b/>
                <w:i/>
                <w:szCs w:val="22"/>
              </w:rPr>
            </w:pPr>
            <w:r w:rsidRPr="00304864">
              <w:rPr>
                <w:rFonts w:ascii="Arial" w:hAnsi="Arial" w:cs="Arial"/>
                <w:b/>
                <w:sz w:val="22"/>
                <w:szCs w:val="22"/>
                <w:lang w:eastAsia="fr-BE"/>
              </w:rPr>
              <w:t>Supporting the governance of the EUSAIR</w:t>
            </w:r>
          </w:p>
        </w:tc>
      </w:tr>
    </w:tbl>
    <w:p w:rsidR="00DF4E40" w:rsidRPr="00304864" w:rsidRDefault="00DF4E40">
      <w:pPr>
        <w:rPr>
          <w:rFonts w:ascii="Arial" w:hAnsi="Arial" w:cs="Arial"/>
          <w:sz w:val="22"/>
          <w:szCs w:val="22"/>
        </w:rPr>
      </w:pP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solely through financial instruments</w:t>
      </w: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solely through financial instruments set up at Union level</w:t>
      </w:r>
    </w:p>
    <w:p w:rsidR="00DF4E40" w:rsidRPr="00304864" w:rsidRDefault="00365F12">
      <w:pPr>
        <w:rPr>
          <w:rFonts w:ascii="Arial" w:hAnsi="Arial" w:cs="Arial"/>
          <w:sz w:val="22"/>
          <w:szCs w:val="22"/>
        </w:rPr>
      </w:pPr>
      <w:r w:rsidRPr="00A30AEC">
        <w:rPr>
          <w:rFonts w:ascii="Arial" w:hAnsi="Arial" w:cs="Arial"/>
          <w:sz w:val="22"/>
          <w:szCs w:val="22"/>
        </w:rPr>
        <w:fldChar w:fldCharType="begin">
          <w:ffData>
            <w:name w:val="Check1"/>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entire priority axis will be implemented through community-led local development</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A30AEC" w:rsidRDefault="00DF4E40">
      <w:pPr>
        <w:pStyle w:val="Heading3"/>
        <w:spacing w:before="0" w:after="120"/>
        <w:ind w:left="0"/>
        <w:rPr>
          <w:rFonts w:ascii="Arial" w:hAnsi="Arial" w:cs="Arial"/>
          <w:b w:val="0"/>
          <w:color w:val="002060"/>
          <w:sz w:val="22"/>
          <w:szCs w:val="22"/>
        </w:rPr>
      </w:pPr>
      <w:bookmarkStart w:id="198" w:name="_Toc420652536"/>
      <w:bookmarkStart w:id="199" w:name="_Toc421076889"/>
      <w:r w:rsidRPr="00A30AEC">
        <w:rPr>
          <w:rFonts w:ascii="Arial" w:hAnsi="Arial" w:cs="Arial"/>
          <w:b w:val="0"/>
          <w:color w:val="002060"/>
          <w:sz w:val="22"/>
          <w:szCs w:val="22"/>
        </w:rPr>
        <w:t>2.A.2. Justification for the establishment of a priority axis covering more than one thematic objective</w:t>
      </w:r>
      <w:bookmarkEnd w:id="198"/>
      <w:bookmarkEnd w:id="199"/>
    </w:p>
    <w:p w:rsidR="00C463AF" w:rsidRPr="00A30AEC" w:rsidRDefault="00C463AF">
      <w:pPr>
        <w:rPr>
          <w:rFonts w:ascii="Arial" w:hAnsi="Arial" w:cs="Arial"/>
          <w:sz w:val="22"/>
          <w:szCs w:val="22"/>
          <w:lang w:val="en-US"/>
        </w:rPr>
      </w:pPr>
      <w:r w:rsidRPr="00A30AEC">
        <w:rPr>
          <w:rFonts w:ascii="Arial" w:hAnsi="Arial" w:cs="Arial"/>
          <w:sz w:val="22"/>
          <w:szCs w:val="22"/>
          <w:lang w:val="en-US" w:eastAsia="it-IT"/>
        </w:rPr>
        <w:t>(Reference: Article 8(1) of the ETC Regulation)</w:t>
      </w:r>
    </w:p>
    <w:p w:rsidR="00DF4E40" w:rsidRPr="00A30AEC" w:rsidRDefault="00DF4E40">
      <w:pPr>
        <w:pStyle w:val="Text3"/>
        <w:ind w:left="0"/>
        <w:rPr>
          <w:rFonts w:ascii="Arial" w:hAnsi="Arial" w:cs="Arial"/>
          <w:sz w:val="22"/>
          <w:szCs w:val="22"/>
          <w:lang w:eastAsia="fr-BE"/>
        </w:rPr>
      </w:pPr>
      <w:r w:rsidRPr="00A30AEC">
        <w:rPr>
          <w:rFonts w:ascii="Arial" w:hAnsi="Arial" w:cs="Arial"/>
          <w:sz w:val="22"/>
          <w:szCs w:val="22"/>
          <w:lang w:eastAsia="fr-BE"/>
        </w:rPr>
        <w:t>Not applicable</w:t>
      </w:r>
    </w:p>
    <w:p w:rsidR="00DF4E40" w:rsidRDefault="00DF4E40">
      <w:pPr>
        <w:rPr>
          <w:rFonts w:ascii="Arial" w:hAnsi="Arial" w:cs="Arial"/>
          <w:sz w:val="22"/>
          <w:szCs w:val="22"/>
        </w:rPr>
      </w:pPr>
    </w:p>
    <w:p w:rsidR="007142EE" w:rsidRPr="00304864" w:rsidRDefault="007142EE">
      <w:pPr>
        <w:rPr>
          <w:rFonts w:ascii="Arial" w:hAnsi="Arial" w:cs="Arial"/>
          <w:sz w:val="22"/>
          <w:szCs w:val="22"/>
        </w:rPr>
      </w:pPr>
    </w:p>
    <w:p w:rsidR="00DF4E40" w:rsidRPr="00A30AEC" w:rsidRDefault="00DF4E40">
      <w:pPr>
        <w:pStyle w:val="Heading3"/>
        <w:spacing w:before="0" w:after="120"/>
        <w:ind w:left="0"/>
        <w:rPr>
          <w:rFonts w:ascii="Arial" w:hAnsi="Arial" w:cs="Arial"/>
          <w:b w:val="0"/>
          <w:color w:val="002060"/>
          <w:sz w:val="22"/>
          <w:szCs w:val="22"/>
        </w:rPr>
      </w:pPr>
      <w:bookmarkStart w:id="200" w:name="_Toc420652537"/>
      <w:bookmarkStart w:id="201" w:name="_Toc421076890"/>
      <w:r w:rsidRPr="00A30AEC">
        <w:rPr>
          <w:rFonts w:ascii="Arial" w:hAnsi="Arial" w:cs="Arial"/>
          <w:b w:val="0"/>
          <w:color w:val="002060"/>
          <w:sz w:val="22"/>
          <w:szCs w:val="22"/>
        </w:rPr>
        <w:t>2.A.3. Fund and calculation basis for the Union support</w:t>
      </w:r>
      <w:bookmarkEnd w:id="200"/>
      <w:bookmarkEnd w:id="20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528"/>
      </w:tblGrid>
      <w:tr w:rsidR="00DF4E40" w:rsidRPr="00304864" w:rsidTr="00A30AEC">
        <w:tc>
          <w:tcPr>
            <w:tcW w:w="3794" w:type="dxa"/>
            <w:vAlign w:val="center"/>
          </w:tcPr>
          <w:p w:rsidR="00DF4E40" w:rsidRPr="00304864" w:rsidRDefault="00DF4E40">
            <w:pPr>
              <w:pStyle w:val="Text3"/>
              <w:ind w:left="0"/>
              <w:rPr>
                <w:rFonts w:ascii="Arial" w:hAnsi="Arial" w:cs="Arial"/>
                <w:b/>
                <w:szCs w:val="22"/>
                <w:lang w:eastAsia="fr-BE"/>
              </w:rPr>
            </w:pPr>
            <w:r w:rsidRPr="00304864">
              <w:rPr>
                <w:rFonts w:ascii="Arial" w:hAnsi="Arial" w:cs="Arial"/>
                <w:b/>
                <w:sz w:val="22"/>
                <w:szCs w:val="22"/>
                <w:lang w:eastAsia="fr-BE"/>
              </w:rPr>
              <w:t>Fund</w:t>
            </w:r>
          </w:p>
        </w:tc>
        <w:tc>
          <w:tcPr>
            <w:tcW w:w="5528" w:type="dxa"/>
            <w:vAlign w:val="center"/>
          </w:tcPr>
          <w:p w:rsidR="00DF4E40" w:rsidRPr="00304864" w:rsidRDefault="00DF4E40">
            <w:pPr>
              <w:pStyle w:val="Text3"/>
              <w:tabs>
                <w:tab w:val="clear" w:pos="2302"/>
                <w:tab w:val="left" w:pos="-108"/>
              </w:tabs>
              <w:ind w:left="-108"/>
              <w:jc w:val="center"/>
              <w:rPr>
                <w:rFonts w:ascii="Arial" w:hAnsi="Arial" w:cs="Arial"/>
                <w:b/>
                <w:szCs w:val="22"/>
                <w:lang w:eastAsia="fr-BE"/>
              </w:rPr>
            </w:pPr>
            <w:r w:rsidRPr="00304864">
              <w:rPr>
                <w:rFonts w:ascii="Arial" w:hAnsi="Arial" w:cs="Arial"/>
                <w:b/>
                <w:sz w:val="22"/>
                <w:szCs w:val="22"/>
                <w:lang w:eastAsia="fr-BE"/>
              </w:rPr>
              <w:t>ERDF+ IPA</w:t>
            </w:r>
          </w:p>
        </w:tc>
      </w:tr>
      <w:tr w:rsidR="00DF4E40" w:rsidRPr="00304864" w:rsidTr="00A30AEC">
        <w:tc>
          <w:tcPr>
            <w:tcW w:w="3794" w:type="dxa"/>
            <w:vAlign w:val="center"/>
          </w:tcPr>
          <w:p w:rsidR="00DF4E40" w:rsidRPr="00304864" w:rsidRDefault="00DF4E40">
            <w:pPr>
              <w:pStyle w:val="Text3"/>
              <w:ind w:left="0"/>
              <w:jc w:val="left"/>
              <w:rPr>
                <w:rFonts w:ascii="Arial" w:hAnsi="Arial" w:cs="Arial"/>
                <w:b/>
                <w:szCs w:val="22"/>
                <w:lang w:eastAsia="fr-BE"/>
              </w:rPr>
            </w:pPr>
            <w:r w:rsidRPr="00304864">
              <w:rPr>
                <w:rFonts w:ascii="Arial" w:hAnsi="Arial" w:cs="Arial"/>
                <w:b/>
                <w:sz w:val="22"/>
                <w:szCs w:val="22"/>
                <w:lang w:eastAsia="fr-BE"/>
              </w:rPr>
              <w:t xml:space="preserve">Calculation Basis </w:t>
            </w:r>
            <w:r w:rsidRPr="00304864">
              <w:rPr>
                <w:rFonts w:ascii="Arial" w:hAnsi="Arial" w:cs="Arial"/>
                <w:i/>
                <w:sz w:val="22"/>
                <w:szCs w:val="22"/>
                <w:lang w:eastAsia="fr-BE"/>
              </w:rPr>
              <w:t>(total eligible expenditure)</w:t>
            </w:r>
          </w:p>
        </w:tc>
        <w:tc>
          <w:tcPr>
            <w:tcW w:w="5528" w:type="dxa"/>
            <w:vAlign w:val="center"/>
          </w:tcPr>
          <w:p w:rsidR="00DF4E40" w:rsidRPr="00304864" w:rsidRDefault="00DF4E40">
            <w:pPr>
              <w:pStyle w:val="Text3"/>
              <w:tabs>
                <w:tab w:val="clear" w:pos="2302"/>
                <w:tab w:val="left" w:pos="-108"/>
              </w:tabs>
              <w:ind w:left="-108"/>
              <w:jc w:val="center"/>
              <w:rPr>
                <w:rFonts w:ascii="Arial" w:hAnsi="Arial" w:cs="Arial"/>
                <w:szCs w:val="22"/>
                <w:lang w:eastAsia="fr-BE"/>
              </w:rPr>
            </w:pPr>
            <w:r w:rsidRPr="00304864">
              <w:rPr>
                <w:rFonts w:ascii="Arial" w:hAnsi="Arial" w:cs="Arial"/>
                <w:sz w:val="22"/>
                <w:szCs w:val="22"/>
                <w:lang w:eastAsia="fr-BE"/>
              </w:rPr>
              <w:t>EUR</w:t>
            </w:r>
            <w:r w:rsidRPr="00A30AEC">
              <w:rPr>
                <w:rFonts w:ascii="Arial" w:hAnsi="Arial" w:cs="Arial"/>
                <w:color w:val="000000"/>
                <w:sz w:val="22"/>
                <w:szCs w:val="22"/>
              </w:rPr>
              <w:t>9.775.995</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Default="00DF4E40">
      <w:pPr>
        <w:pStyle w:val="Heading3"/>
        <w:spacing w:before="0" w:after="120"/>
        <w:ind w:left="0"/>
        <w:rPr>
          <w:rFonts w:ascii="Arial" w:hAnsi="Arial" w:cs="Arial"/>
          <w:b w:val="0"/>
          <w:color w:val="002060"/>
          <w:sz w:val="22"/>
          <w:szCs w:val="22"/>
        </w:rPr>
      </w:pPr>
      <w:bookmarkStart w:id="202" w:name="_Toc420652538"/>
      <w:bookmarkStart w:id="203" w:name="_Toc421076891"/>
      <w:r w:rsidRPr="00A30AEC">
        <w:rPr>
          <w:rFonts w:ascii="Arial" w:hAnsi="Arial" w:cs="Arial"/>
          <w:b w:val="0"/>
          <w:color w:val="002060"/>
          <w:sz w:val="22"/>
          <w:szCs w:val="22"/>
        </w:rPr>
        <w:t>2.A.4. Investment priority 11</w:t>
      </w:r>
      <w:bookmarkEnd w:id="202"/>
      <w:bookmarkEnd w:id="203"/>
    </w:p>
    <w:p w:rsidR="00C463AF" w:rsidRPr="00C71BD4" w:rsidRDefault="00C463AF">
      <w:pPr>
        <w:pStyle w:val="Text3"/>
        <w:ind w:left="0"/>
        <w:rPr>
          <w:rFonts w:ascii="Arial" w:hAnsi="Arial" w:cs="Arial"/>
          <w:sz w:val="22"/>
          <w:szCs w:val="22"/>
          <w:lang w:eastAsia="fr-BE"/>
        </w:rPr>
      </w:pPr>
      <w:r w:rsidRPr="00A30AEC">
        <w:rPr>
          <w:rFonts w:ascii="Arial" w:hAnsi="Arial" w:cs="Arial"/>
          <w:sz w:val="22"/>
          <w:szCs w:val="22"/>
        </w:rPr>
        <w:t>(Reference: points (b)(i)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B65FF2" w:rsidRPr="00B65FF2" w:rsidTr="00AD02BA">
        <w:tc>
          <w:tcPr>
            <w:tcW w:w="9286"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INVESTMENT PRIORITY 11</w:t>
            </w:r>
          </w:p>
        </w:tc>
      </w:tr>
      <w:tr w:rsidR="00DF4E40" w:rsidRPr="00304864" w:rsidTr="00012FDC">
        <w:tc>
          <w:tcPr>
            <w:tcW w:w="9286" w:type="dxa"/>
          </w:tcPr>
          <w:p w:rsidR="00DF4E40" w:rsidRPr="00304864" w:rsidRDefault="00DF4E40">
            <w:pPr>
              <w:widowControl w:val="0"/>
              <w:rPr>
                <w:rFonts w:ascii="Arial" w:hAnsi="Arial" w:cs="Arial"/>
                <w:b/>
                <w:i/>
                <w:szCs w:val="22"/>
              </w:rPr>
            </w:pPr>
            <w:r w:rsidRPr="00304864">
              <w:rPr>
                <w:rFonts w:ascii="Arial" w:hAnsi="Arial" w:cs="Arial"/>
                <w:b/>
                <w:sz w:val="22"/>
                <w:szCs w:val="22"/>
                <w:lang w:eastAsia="fr-BE"/>
              </w:rPr>
              <w:t>Enhancing institutional capacity of public authorities and stakeholders and efficient public administration by developing and coordinating macro-regional and sea-basin strategies[article. 7 (b) Regulation (EU) No 1299/2013]</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A30AEC" w:rsidRDefault="00A10A3B">
      <w:pPr>
        <w:pStyle w:val="Heading3"/>
        <w:spacing w:before="0" w:after="120"/>
        <w:ind w:left="0"/>
        <w:rPr>
          <w:rFonts w:ascii="Arial" w:hAnsi="Arial" w:cs="Arial"/>
          <w:b w:val="0"/>
          <w:color w:val="002060"/>
          <w:sz w:val="22"/>
          <w:szCs w:val="22"/>
        </w:rPr>
      </w:pPr>
      <w:bookmarkStart w:id="204" w:name="_Toc421076892"/>
      <w:bookmarkStart w:id="205" w:name="_Toc420652539"/>
      <w:r w:rsidRPr="002B7D4C">
        <w:rPr>
          <w:rFonts w:ascii="Arial" w:hAnsi="Arial" w:cs="Arial"/>
          <w:b w:val="0"/>
          <w:color w:val="002060"/>
          <w:sz w:val="22"/>
          <w:szCs w:val="22"/>
        </w:rPr>
        <w:t xml:space="preserve">2.A.5.Specific objective </w:t>
      </w:r>
      <w:r w:rsidRPr="00A30AEC">
        <w:rPr>
          <w:rFonts w:ascii="Arial" w:hAnsi="Arial" w:cs="Arial"/>
          <w:b w:val="0"/>
          <w:color w:val="002060"/>
          <w:sz w:val="22"/>
          <w:szCs w:val="22"/>
        </w:rPr>
        <w:t>corresponding to the investment priority and expected results</w:t>
      </w:r>
      <w:bookmarkEnd w:id="204"/>
      <w:bookmarkEnd w:id="205"/>
    </w:p>
    <w:p w:rsidR="00C463AF" w:rsidRPr="00C71BD4" w:rsidRDefault="00C463AF" w:rsidP="00C463AF">
      <w:pPr>
        <w:pStyle w:val="Text3"/>
        <w:ind w:left="0"/>
        <w:rPr>
          <w:rFonts w:ascii="Arial" w:hAnsi="Arial" w:cs="Arial"/>
          <w:sz w:val="22"/>
          <w:szCs w:val="22"/>
          <w:lang w:eastAsia="fr-BE"/>
        </w:rPr>
      </w:pPr>
      <w:r w:rsidRPr="00A30AEC">
        <w:rPr>
          <w:rFonts w:ascii="Arial" w:hAnsi="Arial" w:cs="Arial"/>
          <w:sz w:val="22"/>
          <w:szCs w:val="22"/>
        </w:rPr>
        <w:t>(Reference: points (b)(i) and (ii)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1"/>
      </w:tblGrid>
      <w:tr w:rsidR="00DF4E40" w:rsidRPr="00304864" w:rsidTr="00A30AEC">
        <w:trPr>
          <w:trHeight w:val="304"/>
        </w:trPr>
        <w:tc>
          <w:tcPr>
            <w:tcW w:w="2235" w:type="dxa"/>
            <w:shd w:val="clear" w:color="auto" w:fill="C6D9F1"/>
          </w:tcPr>
          <w:p w:rsidR="00DF4E40" w:rsidRPr="00B65FF2" w:rsidRDefault="00DF4E40">
            <w:pPr>
              <w:rPr>
                <w:rFonts w:ascii="Arial" w:hAnsi="Arial" w:cs="Arial"/>
                <w:b/>
                <w:szCs w:val="22"/>
              </w:rPr>
            </w:pPr>
            <w:r w:rsidRPr="00B65FF2">
              <w:rPr>
                <w:rFonts w:ascii="Arial" w:hAnsi="Arial" w:cs="Arial"/>
                <w:b/>
                <w:sz w:val="22"/>
                <w:szCs w:val="22"/>
              </w:rPr>
              <w:t>ID</w:t>
            </w:r>
          </w:p>
        </w:tc>
        <w:tc>
          <w:tcPr>
            <w:tcW w:w="7051" w:type="dxa"/>
            <w:shd w:val="clear" w:color="auto" w:fill="C6D9F1"/>
          </w:tcPr>
          <w:p w:rsidR="00DF4E40" w:rsidRPr="00B65FF2" w:rsidRDefault="00DF4E40">
            <w:pPr>
              <w:rPr>
                <w:rFonts w:ascii="Arial" w:hAnsi="Arial" w:cs="Arial"/>
                <w:b/>
                <w:i/>
                <w:szCs w:val="22"/>
              </w:rPr>
            </w:pPr>
            <w:r w:rsidRPr="00B65FF2">
              <w:rPr>
                <w:rFonts w:ascii="Arial" w:hAnsi="Arial" w:cs="Arial"/>
                <w:b/>
                <w:sz w:val="22"/>
                <w:szCs w:val="22"/>
              </w:rPr>
              <w:t>4.1</w:t>
            </w:r>
          </w:p>
        </w:tc>
      </w:tr>
      <w:tr w:rsidR="00DF4E40" w:rsidRPr="00304864" w:rsidTr="00A961B0">
        <w:trPr>
          <w:trHeight w:val="1213"/>
        </w:trPr>
        <w:tc>
          <w:tcPr>
            <w:tcW w:w="2235" w:type="dxa"/>
          </w:tcPr>
          <w:p w:rsidR="00DF4E40" w:rsidRPr="00304864" w:rsidRDefault="00DF4E40">
            <w:pPr>
              <w:rPr>
                <w:rFonts w:ascii="Arial" w:hAnsi="Arial" w:cs="Arial"/>
                <w:b/>
                <w:szCs w:val="22"/>
              </w:rPr>
            </w:pPr>
            <w:r w:rsidRPr="00304864">
              <w:rPr>
                <w:rFonts w:ascii="Arial" w:hAnsi="Arial" w:cs="Arial"/>
                <w:b/>
                <w:sz w:val="22"/>
                <w:szCs w:val="22"/>
              </w:rPr>
              <w:t>Specific Objective</w:t>
            </w:r>
          </w:p>
        </w:tc>
        <w:tc>
          <w:tcPr>
            <w:tcW w:w="7051" w:type="dxa"/>
          </w:tcPr>
          <w:p w:rsidR="00DF4E40" w:rsidRPr="00304864" w:rsidRDefault="00DF4E40">
            <w:pPr>
              <w:rPr>
                <w:rFonts w:ascii="Arial" w:hAnsi="Arial" w:cs="Arial"/>
                <w:szCs w:val="22"/>
              </w:rPr>
            </w:pPr>
            <w:r w:rsidRPr="00304864">
              <w:rPr>
                <w:rFonts w:ascii="Arial" w:hAnsi="Arial" w:cs="Arial"/>
                <w:b/>
                <w:sz w:val="22"/>
                <w:szCs w:val="22"/>
                <w:lang w:eastAsia="fr-BE"/>
              </w:rPr>
              <w:t>SO 4.1</w:t>
            </w:r>
            <w:r w:rsidRPr="00304864">
              <w:rPr>
                <w:rFonts w:ascii="Arial" w:hAnsi="Arial" w:cs="Arial"/>
                <w:sz w:val="22"/>
                <w:szCs w:val="22"/>
                <w:lang w:eastAsia="fr-BE"/>
              </w:rPr>
              <w:t xml:space="preserve">:Facilitate the coordination and implementation of the EUSAIR by enhancing the </w:t>
            </w:r>
            <w:r w:rsidRPr="00304864">
              <w:rPr>
                <w:rFonts w:ascii="Arial" w:hAnsi="Arial" w:cs="Arial"/>
                <w:sz w:val="22"/>
                <w:szCs w:val="22"/>
              </w:rPr>
              <w:t>institutional capacity of public administrations and key stakeholders and by assisting the progress of implementation of joint priorities</w:t>
            </w:r>
          </w:p>
        </w:tc>
      </w:tr>
      <w:tr w:rsidR="00DF4E40" w:rsidRPr="00304864" w:rsidTr="00012FDC">
        <w:tc>
          <w:tcPr>
            <w:tcW w:w="2235" w:type="dxa"/>
          </w:tcPr>
          <w:p w:rsidR="00DF4E40" w:rsidRPr="00304864" w:rsidRDefault="00DF4E40">
            <w:pPr>
              <w:rPr>
                <w:rFonts w:ascii="Arial" w:hAnsi="Arial" w:cs="Arial"/>
                <w:b/>
                <w:szCs w:val="22"/>
              </w:rPr>
            </w:pPr>
            <w:r w:rsidRPr="00304864">
              <w:rPr>
                <w:rFonts w:ascii="Arial" w:hAnsi="Arial" w:cs="Arial"/>
                <w:b/>
                <w:sz w:val="22"/>
                <w:szCs w:val="22"/>
              </w:rPr>
              <w:t>Expected results</w:t>
            </w:r>
          </w:p>
          <w:p w:rsidR="00DF4E40" w:rsidRPr="00304864" w:rsidRDefault="00DF4E40">
            <w:pPr>
              <w:rPr>
                <w:rFonts w:ascii="Arial" w:hAnsi="Arial" w:cs="Arial"/>
                <w:szCs w:val="22"/>
              </w:rPr>
            </w:pPr>
            <w:r w:rsidRPr="00304864">
              <w:rPr>
                <w:rFonts w:ascii="Arial" w:hAnsi="Arial" w:cs="Arial"/>
                <w:i/>
                <w:sz w:val="22"/>
                <w:szCs w:val="22"/>
              </w:rPr>
              <w:t>3500 char. max</w:t>
            </w:r>
            <w:r w:rsidRPr="00304864">
              <w:rPr>
                <w:rFonts w:ascii="Arial" w:hAnsi="Arial" w:cs="Arial"/>
                <w:sz w:val="22"/>
                <w:szCs w:val="22"/>
              </w:rPr>
              <w:t>.</w:t>
            </w:r>
          </w:p>
        </w:tc>
        <w:tc>
          <w:tcPr>
            <w:tcW w:w="7051" w:type="dxa"/>
          </w:tcPr>
          <w:p w:rsidR="003634BE" w:rsidRPr="003634BE" w:rsidRDefault="00DF4E40">
            <w:pPr>
              <w:rPr>
                <w:rFonts w:ascii="Arial" w:hAnsi="Arial" w:cs="Arial"/>
                <w:color w:val="222222"/>
                <w:sz w:val="22"/>
                <w:szCs w:val="22"/>
                <w:lang w:eastAsia="es-ES"/>
              </w:rPr>
            </w:pPr>
            <w:r w:rsidRPr="00304864">
              <w:rPr>
                <w:rFonts w:ascii="Arial" w:hAnsi="Arial" w:cs="Arial"/>
                <w:sz w:val="22"/>
                <w:szCs w:val="22"/>
              </w:rPr>
              <w:t xml:space="preserve">The </w:t>
            </w:r>
            <w:r w:rsidR="004A0CC2">
              <w:rPr>
                <w:rFonts w:ascii="Arial" w:hAnsi="Arial" w:cs="Arial"/>
                <w:sz w:val="22"/>
                <w:szCs w:val="22"/>
              </w:rPr>
              <w:t>PA</w:t>
            </w:r>
            <w:r w:rsidRPr="00304864">
              <w:rPr>
                <w:rFonts w:ascii="Arial" w:hAnsi="Arial" w:cs="Arial"/>
                <w:sz w:val="22"/>
                <w:szCs w:val="22"/>
              </w:rPr>
              <w:t xml:space="preserve"> 4 constitutes the framework for providing operational and administrative support to the key EUSAIR governance structures at the two main levels: the coordinating level represented by the Governing Board (GB), and the implementation level represented by the Thematic Steering Groups (TSGs). The “key implementers” are </w:t>
            </w:r>
            <w:r w:rsidR="00752692" w:rsidRPr="00C779B8">
              <w:rPr>
                <w:rFonts w:ascii="Arial" w:hAnsi="Arial" w:cs="Arial"/>
                <w:color w:val="222222"/>
                <w:sz w:val="22"/>
                <w:szCs w:val="22"/>
                <w:lang w:eastAsia="es-ES"/>
              </w:rPr>
              <w:t>are the National Coordinators, Pillar Coordinators and members of the Thematic Steering Groups</w:t>
            </w:r>
            <w:r w:rsidR="00752692">
              <w:rPr>
                <w:rFonts w:ascii="Calibri" w:hAnsi="Calibri"/>
                <w:color w:val="222222"/>
                <w:sz w:val="20"/>
                <w:lang w:eastAsia="es-ES"/>
              </w:rPr>
              <w:t xml:space="preserve">. </w:t>
            </w:r>
            <w:r w:rsidR="003634BE" w:rsidRPr="00C779B8">
              <w:rPr>
                <w:rFonts w:ascii="Arial" w:hAnsi="Arial" w:cs="Arial"/>
                <w:iCs/>
                <w:sz w:val="22"/>
                <w:szCs w:val="22"/>
              </w:rPr>
              <w:t>Support to EUSAIR governance structures will be provided through assistance and coordination mechanisms, including support to the functioning of networks, intended to facilitate the GB and the TSGs in the fulfilment of their respective roles</w:t>
            </w:r>
            <w:r w:rsidR="003634BE" w:rsidRPr="00817827">
              <w:rPr>
                <w:rFonts w:ascii="Arial" w:hAnsi="Arial" w:cs="Arial"/>
                <w:iCs/>
                <w:sz w:val="22"/>
                <w:szCs w:val="22"/>
              </w:rPr>
              <w:t>.</w:t>
            </w:r>
          </w:p>
          <w:p w:rsidR="00DF4E40" w:rsidRPr="00304864" w:rsidRDefault="00DF4E40">
            <w:pPr>
              <w:rPr>
                <w:rFonts w:ascii="Arial" w:hAnsi="Arial" w:cs="Arial"/>
                <w:szCs w:val="22"/>
              </w:rPr>
            </w:pPr>
            <w:r w:rsidRPr="00304864">
              <w:rPr>
                <w:rFonts w:ascii="Arial" w:hAnsi="Arial" w:cs="Arial"/>
                <w:sz w:val="22"/>
                <w:szCs w:val="22"/>
              </w:rPr>
              <w:t xml:space="preserve">These objectives will be achieved only if the countries and regions, come together and committedly join forces also in the perspective of future EU enlargement. To fully exploit the potential offered by the EUSAIR, it is paramount to ensure adequate support to EUSAIR governance structures and heterogeneous stakeholders (local, regional, national, EU, economic and social actors, civil society, etc.) and to facilitate the process of coordination between different programmes and funds in the Adriatic Ionian Region as a whole and in each Partner State in particular. </w:t>
            </w:r>
          </w:p>
          <w:p w:rsidR="00DF4E40" w:rsidRPr="00304864" w:rsidRDefault="00DF4E40">
            <w:pPr>
              <w:rPr>
                <w:rFonts w:ascii="Arial" w:hAnsi="Arial" w:cs="Arial"/>
                <w:szCs w:val="22"/>
              </w:rPr>
            </w:pPr>
            <w:r w:rsidRPr="00304864">
              <w:rPr>
                <w:rFonts w:ascii="Arial" w:hAnsi="Arial" w:cs="Arial"/>
                <w:sz w:val="22"/>
                <w:szCs w:val="22"/>
              </w:rPr>
              <w:t>In order to facilitate the coordination and implementation of the EUSAIR, a strategic project will be set up within the ADRION Programme under TO 11 aiming at supporting good and stable governance mechanisms and facilitating the implementation of the EUSAIR.</w:t>
            </w:r>
          </w:p>
          <w:p w:rsidR="00DF4E40" w:rsidRPr="00304864" w:rsidRDefault="00DF4E40">
            <w:pPr>
              <w:rPr>
                <w:rFonts w:ascii="Arial" w:hAnsi="Arial" w:cs="Arial"/>
                <w:szCs w:val="22"/>
              </w:rPr>
            </w:pPr>
          </w:p>
          <w:p w:rsidR="00DF4E40" w:rsidRPr="00304864" w:rsidRDefault="00DF4E40">
            <w:pPr>
              <w:rPr>
                <w:rFonts w:ascii="Arial" w:hAnsi="Arial" w:cs="Arial"/>
                <w:b/>
                <w:szCs w:val="22"/>
              </w:rPr>
            </w:pPr>
            <w:r w:rsidRPr="00304864">
              <w:rPr>
                <w:rFonts w:ascii="Arial" w:hAnsi="Arial" w:cs="Arial"/>
                <w:b/>
                <w:sz w:val="22"/>
                <w:szCs w:val="22"/>
              </w:rPr>
              <w:t>The expected result is:</w:t>
            </w:r>
          </w:p>
          <w:p w:rsidR="00DF4E40" w:rsidRPr="00304864" w:rsidRDefault="00DF4E40" w:rsidP="00A30AEC">
            <w:pPr>
              <w:pStyle w:val="Text4"/>
              <w:numPr>
                <w:ilvl w:val="0"/>
                <w:numId w:val="129"/>
              </w:numPr>
              <w:ind w:left="459"/>
              <w:rPr>
                <w:rFonts w:ascii="Arial" w:hAnsi="Arial" w:cs="Arial"/>
                <w:szCs w:val="22"/>
              </w:rPr>
            </w:pPr>
            <w:r w:rsidRPr="003E2F90">
              <w:rPr>
                <w:rFonts w:ascii="Arial" w:hAnsi="Arial" w:cs="Arial"/>
                <w:bCs/>
                <w:sz w:val="22"/>
                <w:szCs w:val="22"/>
              </w:rPr>
              <w:t>Built up capacity of governance actors and stakeholders to effectively implement EUSAIR;</w:t>
            </w:r>
          </w:p>
        </w:tc>
      </w:tr>
    </w:tbl>
    <w:p w:rsidR="00F92654" w:rsidRDefault="00F92654">
      <w:pPr>
        <w:rPr>
          <w:rFonts w:ascii="Arial" w:hAnsi="Arial" w:cs="Arial"/>
          <w:sz w:val="22"/>
          <w:szCs w:val="22"/>
        </w:rPr>
        <w:sectPr w:rsidR="00F92654" w:rsidSect="00A961B0">
          <w:pgSz w:w="11906" w:h="16838"/>
          <w:pgMar w:top="1417" w:right="1134" w:bottom="1134" w:left="1134" w:header="601" w:footer="1077" w:gutter="0"/>
          <w:cols w:space="708"/>
          <w:docGrid w:linePitch="326"/>
        </w:sectPr>
      </w:pPr>
    </w:p>
    <w:p w:rsidR="00DF4E40" w:rsidRPr="00304864" w:rsidRDefault="00DF4E40">
      <w:pPr>
        <w:rPr>
          <w:rFonts w:ascii="Arial" w:hAnsi="Arial" w:cs="Arial"/>
          <w:sz w:val="22"/>
          <w:szCs w:val="22"/>
        </w:rPr>
      </w:pPr>
    </w:p>
    <w:p w:rsidR="00DF4E40" w:rsidRPr="00304864" w:rsidRDefault="00DF4E40">
      <w:pPr>
        <w:rPr>
          <w:rFonts w:ascii="Arial" w:hAnsi="Arial" w:cs="Arial"/>
          <w:b/>
          <w:sz w:val="22"/>
          <w:szCs w:val="22"/>
        </w:rPr>
      </w:pPr>
      <w:r w:rsidRPr="00304864">
        <w:rPr>
          <w:rFonts w:ascii="Arial" w:hAnsi="Arial" w:cs="Arial"/>
          <w:b/>
          <w:sz w:val="22"/>
          <w:szCs w:val="22"/>
        </w:rPr>
        <w:t xml:space="preserve">Table 3: Programme specific result indicators </w:t>
      </w:r>
      <w:r w:rsidRPr="00304864">
        <w:rPr>
          <w:rFonts w:ascii="Arial" w:hAnsi="Arial" w:cs="Arial"/>
          <w:i/>
          <w:sz w:val="22"/>
          <w:szCs w:val="22"/>
        </w:rPr>
        <w:t>(by specific objective)</w:t>
      </w:r>
    </w:p>
    <w:p w:rsidR="00DF4E40" w:rsidRPr="00A30AEC" w:rsidRDefault="00DF4E40">
      <w:pPr>
        <w:rPr>
          <w:rFonts w:ascii="Arial" w:hAnsi="Arial" w:cs="Arial"/>
          <w:sz w:val="22"/>
          <w:szCs w:val="22"/>
        </w:rPr>
      </w:pPr>
      <w:r w:rsidRPr="00A30AEC">
        <w:rPr>
          <w:rFonts w:ascii="Arial" w:hAnsi="Arial" w:cs="Arial"/>
          <w:sz w:val="22"/>
          <w:szCs w:val="22"/>
        </w:rPr>
        <w:t>(Reference: point (b)(ii) of Article 8(2) of Regulation (EU) No 1299/2013)</w:t>
      </w:r>
    </w:p>
    <w:p w:rsidR="00DF4E40" w:rsidRPr="00304864" w:rsidRDefault="00DF4E40">
      <w:pPr>
        <w:rPr>
          <w:rFonts w:ascii="Arial" w:hAnsi="Arial" w:cs="Arial"/>
          <w:i/>
          <w:sz w:val="22"/>
          <w:szCs w:val="22"/>
        </w:rPr>
      </w:pPr>
      <w:r w:rsidRPr="00304864">
        <w:rPr>
          <w:rFonts w:ascii="Arial" w:hAnsi="Arial" w:cs="Arial"/>
          <w:i/>
          <w:sz w:val="22"/>
          <w:szCs w:val="22"/>
        </w:rPr>
        <w:t xml:space="preserve">One (if possible) and no more than two result indicators should be used for each specific objective.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0"/>
        <w:gridCol w:w="3694"/>
        <w:gridCol w:w="1952"/>
        <w:gridCol w:w="1399"/>
        <w:gridCol w:w="1236"/>
        <w:gridCol w:w="1550"/>
        <w:gridCol w:w="1736"/>
        <w:gridCol w:w="1919"/>
      </w:tblGrid>
      <w:tr w:rsidR="00DF4E40" w:rsidRPr="00BD24B7" w:rsidTr="00A961B0">
        <w:trPr>
          <w:trHeight w:val="870"/>
          <w:jc w:val="center"/>
        </w:trPr>
        <w:tc>
          <w:tcPr>
            <w:tcW w:w="440"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ID</w:t>
            </w:r>
          </w:p>
        </w:tc>
        <w:tc>
          <w:tcPr>
            <w:tcW w:w="1249"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Result Indicator</w:t>
            </w:r>
          </w:p>
        </w:tc>
        <w:tc>
          <w:tcPr>
            <w:tcW w:w="660"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Measurement Unit</w:t>
            </w:r>
          </w:p>
        </w:tc>
        <w:tc>
          <w:tcPr>
            <w:tcW w:w="473"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Baseline Value</w:t>
            </w:r>
          </w:p>
        </w:tc>
        <w:tc>
          <w:tcPr>
            <w:tcW w:w="418"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Baseline Year</w:t>
            </w:r>
          </w:p>
        </w:tc>
        <w:tc>
          <w:tcPr>
            <w:tcW w:w="524"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Target Value</w:t>
            </w:r>
            <w:r w:rsidRPr="00BD24B7">
              <w:rPr>
                <w:rStyle w:val="FootnoteReference"/>
                <w:rFonts w:ascii="Arial" w:hAnsi="Arial" w:cs="Arial"/>
                <w:b/>
                <w:sz w:val="20"/>
              </w:rPr>
              <w:footnoteReference w:id="13"/>
            </w:r>
            <w:r w:rsidRPr="00BD24B7">
              <w:rPr>
                <w:rFonts w:ascii="Arial" w:hAnsi="Arial" w:cs="Arial"/>
                <w:b/>
                <w:sz w:val="20"/>
              </w:rPr>
              <w:t xml:space="preserve"> (2023)</w:t>
            </w:r>
          </w:p>
          <w:p w:rsidR="00DF4E40" w:rsidRPr="00BD24B7" w:rsidRDefault="00DF4E40">
            <w:pPr>
              <w:jc w:val="center"/>
              <w:rPr>
                <w:rFonts w:ascii="Arial" w:hAnsi="Arial" w:cs="Arial"/>
                <w:b/>
                <w:sz w:val="20"/>
              </w:rPr>
            </w:pPr>
            <w:r w:rsidRPr="00BD24B7">
              <w:rPr>
                <w:rFonts w:ascii="Arial" w:hAnsi="Arial" w:cs="Arial"/>
                <w:i/>
                <w:sz w:val="20"/>
              </w:rPr>
              <w:t>100 char. max</w:t>
            </w:r>
          </w:p>
        </w:tc>
        <w:tc>
          <w:tcPr>
            <w:tcW w:w="587"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Source of Data</w:t>
            </w:r>
          </w:p>
          <w:p w:rsidR="00DF4E40" w:rsidRPr="00BD24B7" w:rsidRDefault="00DF4E40" w:rsidP="00A30AEC">
            <w:pPr>
              <w:jc w:val="center"/>
              <w:rPr>
                <w:rFonts w:ascii="Arial" w:hAnsi="Arial" w:cs="Arial"/>
                <w:i/>
                <w:sz w:val="20"/>
              </w:rPr>
            </w:pPr>
            <w:r w:rsidRPr="00BD24B7">
              <w:rPr>
                <w:rFonts w:ascii="Arial" w:hAnsi="Arial" w:cs="Arial"/>
                <w:i/>
                <w:sz w:val="20"/>
              </w:rPr>
              <w:t>200 char. max</w:t>
            </w:r>
          </w:p>
        </w:tc>
        <w:tc>
          <w:tcPr>
            <w:tcW w:w="649" w:type="pct"/>
            <w:shd w:val="clear" w:color="auto" w:fill="DBE5F1"/>
            <w:vAlign w:val="center"/>
          </w:tcPr>
          <w:p w:rsidR="00DF4E40" w:rsidRPr="00BD24B7" w:rsidRDefault="00DF4E40">
            <w:pPr>
              <w:jc w:val="center"/>
              <w:rPr>
                <w:rFonts w:ascii="Arial" w:hAnsi="Arial" w:cs="Arial"/>
                <w:b/>
                <w:sz w:val="20"/>
              </w:rPr>
            </w:pPr>
            <w:r w:rsidRPr="00BD24B7">
              <w:rPr>
                <w:rFonts w:ascii="Arial" w:hAnsi="Arial" w:cs="Arial"/>
                <w:b/>
                <w:sz w:val="20"/>
              </w:rPr>
              <w:t>Frequency of reporting</w:t>
            </w:r>
          </w:p>
          <w:p w:rsidR="00DF4E40" w:rsidRPr="00BD24B7" w:rsidRDefault="00DF4E40" w:rsidP="00A30AEC">
            <w:pPr>
              <w:jc w:val="center"/>
              <w:rPr>
                <w:rFonts w:ascii="Arial" w:hAnsi="Arial" w:cs="Arial"/>
                <w:i/>
                <w:sz w:val="20"/>
              </w:rPr>
            </w:pPr>
            <w:r w:rsidRPr="00BD24B7">
              <w:rPr>
                <w:rFonts w:ascii="Arial" w:hAnsi="Arial" w:cs="Arial"/>
                <w:i/>
                <w:sz w:val="20"/>
              </w:rPr>
              <w:t>100 char. max</w:t>
            </w:r>
          </w:p>
        </w:tc>
      </w:tr>
      <w:tr w:rsidR="00DF4E40" w:rsidRPr="00BD24B7" w:rsidTr="00A961B0">
        <w:trPr>
          <w:trHeight w:val="434"/>
          <w:jc w:val="center"/>
        </w:trPr>
        <w:tc>
          <w:tcPr>
            <w:tcW w:w="440" w:type="pct"/>
            <w:vAlign w:val="center"/>
          </w:tcPr>
          <w:p w:rsidR="00DF4E40" w:rsidRPr="00BD24B7" w:rsidRDefault="00DF4E40">
            <w:pPr>
              <w:jc w:val="center"/>
              <w:rPr>
                <w:rFonts w:ascii="Arial" w:hAnsi="Arial" w:cs="Arial"/>
                <w:b/>
                <w:color w:val="000000"/>
                <w:sz w:val="20"/>
              </w:rPr>
            </w:pPr>
            <w:r w:rsidRPr="00BD24B7">
              <w:rPr>
                <w:rFonts w:ascii="Arial" w:hAnsi="Arial" w:cs="Arial"/>
                <w:b/>
                <w:color w:val="000000"/>
                <w:sz w:val="20"/>
              </w:rPr>
              <w:t>IP 11</w:t>
            </w:r>
          </w:p>
          <w:p w:rsidR="00DF4E40" w:rsidRPr="00BD24B7" w:rsidRDefault="00DF4E40">
            <w:pPr>
              <w:jc w:val="center"/>
              <w:rPr>
                <w:rFonts w:ascii="Arial" w:hAnsi="Arial" w:cs="Arial"/>
                <w:color w:val="000000"/>
                <w:sz w:val="20"/>
              </w:rPr>
            </w:pPr>
            <w:r w:rsidRPr="00BD24B7">
              <w:rPr>
                <w:rFonts w:ascii="Arial" w:hAnsi="Arial" w:cs="Arial"/>
                <w:b/>
                <w:color w:val="000000"/>
                <w:sz w:val="20"/>
              </w:rPr>
              <w:t>SO 4.1</w:t>
            </w:r>
          </w:p>
        </w:tc>
        <w:tc>
          <w:tcPr>
            <w:tcW w:w="1249" w:type="pct"/>
            <w:vAlign w:val="center"/>
          </w:tcPr>
          <w:p w:rsidR="00DF4E40" w:rsidRPr="00BD24B7" w:rsidRDefault="00DF4E40" w:rsidP="00A30AEC">
            <w:pPr>
              <w:jc w:val="center"/>
              <w:rPr>
                <w:rFonts w:ascii="Arial" w:hAnsi="Arial" w:cs="Arial"/>
                <w:bCs/>
                <w:color w:val="000000"/>
                <w:sz w:val="20"/>
                <w:lang w:eastAsia="fr-FR"/>
              </w:rPr>
            </w:pPr>
            <w:r w:rsidRPr="00A30AEC">
              <w:rPr>
                <w:rFonts w:ascii="Arial" w:hAnsi="Arial" w:cs="Arial"/>
                <w:color w:val="000000"/>
                <w:sz w:val="20"/>
                <w:lang w:val="en-US"/>
              </w:rPr>
              <w:t>The status of management capacities of EUSAIR governance structures to effectively implement the EUSAIR and its Action plan, achieving their objectives and targets</w:t>
            </w:r>
          </w:p>
        </w:tc>
        <w:tc>
          <w:tcPr>
            <w:tcW w:w="660" w:type="pct"/>
            <w:vAlign w:val="center"/>
          </w:tcPr>
          <w:p w:rsidR="00DF4E40" w:rsidRPr="00BD24B7" w:rsidRDefault="00DF4E40">
            <w:pPr>
              <w:jc w:val="center"/>
              <w:rPr>
                <w:rFonts w:ascii="Arial" w:hAnsi="Arial" w:cs="Arial"/>
                <w:color w:val="000000"/>
                <w:sz w:val="20"/>
              </w:rPr>
            </w:pPr>
            <w:r w:rsidRPr="00BD24B7">
              <w:rPr>
                <w:rFonts w:ascii="Arial" w:hAnsi="Arial" w:cs="Arial"/>
                <w:color w:val="000000"/>
                <w:sz w:val="20"/>
              </w:rPr>
              <w:t>Semi-quantitative scale</w:t>
            </w:r>
          </w:p>
        </w:tc>
        <w:tc>
          <w:tcPr>
            <w:tcW w:w="473" w:type="pct"/>
            <w:vAlign w:val="center"/>
          </w:tcPr>
          <w:p w:rsidR="00DF4E40" w:rsidRPr="00BD24B7" w:rsidRDefault="00B23FE5">
            <w:pPr>
              <w:jc w:val="center"/>
              <w:rPr>
                <w:rFonts w:ascii="Arial" w:hAnsi="Arial" w:cs="Arial"/>
                <w:color w:val="000000"/>
                <w:sz w:val="20"/>
              </w:rPr>
            </w:pPr>
            <w:r>
              <w:rPr>
                <w:rFonts w:ascii="Arial" w:hAnsi="Arial" w:cs="Arial"/>
                <w:color w:val="000000"/>
                <w:sz w:val="20"/>
              </w:rPr>
              <w:t>Zero level (0,00)</w:t>
            </w:r>
            <w:r w:rsidR="00DF4E40" w:rsidRPr="00BD24B7">
              <w:rPr>
                <w:rFonts w:ascii="Arial" w:hAnsi="Arial" w:cs="Arial"/>
                <w:color w:val="000000"/>
                <w:sz w:val="20"/>
              </w:rPr>
              <w:t xml:space="preserve"> Established through a survey</w:t>
            </w:r>
          </w:p>
        </w:tc>
        <w:tc>
          <w:tcPr>
            <w:tcW w:w="418" w:type="pct"/>
            <w:vAlign w:val="center"/>
          </w:tcPr>
          <w:p w:rsidR="00DF4E40" w:rsidRPr="00BD24B7" w:rsidRDefault="00DF4E40">
            <w:pPr>
              <w:jc w:val="center"/>
              <w:rPr>
                <w:rFonts w:ascii="Arial" w:hAnsi="Arial" w:cs="Arial"/>
                <w:color w:val="000000"/>
                <w:sz w:val="20"/>
              </w:rPr>
            </w:pPr>
            <w:r w:rsidRPr="00BD24B7">
              <w:rPr>
                <w:rFonts w:ascii="Arial" w:hAnsi="Arial" w:cs="Arial"/>
                <w:color w:val="000000"/>
                <w:sz w:val="20"/>
              </w:rPr>
              <w:t>2015</w:t>
            </w:r>
          </w:p>
        </w:tc>
        <w:tc>
          <w:tcPr>
            <w:tcW w:w="524" w:type="pct"/>
            <w:vAlign w:val="center"/>
          </w:tcPr>
          <w:p w:rsidR="00DF4E40" w:rsidRPr="00BD24B7" w:rsidRDefault="00DF4E40">
            <w:pPr>
              <w:jc w:val="center"/>
              <w:rPr>
                <w:rFonts w:ascii="Arial" w:hAnsi="Arial" w:cs="Arial"/>
                <w:color w:val="000000"/>
                <w:sz w:val="20"/>
              </w:rPr>
            </w:pPr>
            <w:r w:rsidRPr="00BD24B7">
              <w:rPr>
                <w:rFonts w:ascii="Arial" w:hAnsi="Arial" w:cs="Arial"/>
                <w:color w:val="000000"/>
                <w:sz w:val="20"/>
              </w:rPr>
              <w:t>Improvement (qualitative target)</w:t>
            </w:r>
          </w:p>
        </w:tc>
        <w:tc>
          <w:tcPr>
            <w:tcW w:w="587" w:type="pct"/>
            <w:vAlign w:val="center"/>
          </w:tcPr>
          <w:p w:rsidR="00DF4E40" w:rsidRPr="00BD24B7" w:rsidRDefault="00DF4E40">
            <w:pPr>
              <w:jc w:val="center"/>
              <w:rPr>
                <w:rFonts w:ascii="Arial" w:hAnsi="Arial" w:cs="Arial"/>
                <w:color w:val="000000"/>
                <w:sz w:val="20"/>
              </w:rPr>
            </w:pPr>
            <w:r w:rsidRPr="00BD24B7">
              <w:rPr>
                <w:rFonts w:ascii="Arial" w:hAnsi="Arial" w:cs="Arial"/>
                <w:sz w:val="20"/>
              </w:rPr>
              <w:t>Survey (questionnaire) among the members of EUSAIR GB and TSGs</w:t>
            </w:r>
          </w:p>
        </w:tc>
        <w:tc>
          <w:tcPr>
            <w:tcW w:w="649" w:type="pct"/>
            <w:vAlign w:val="center"/>
          </w:tcPr>
          <w:p w:rsidR="00DF4E40" w:rsidRPr="00BD24B7" w:rsidRDefault="00DF4E40">
            <w:pPr>
              <w:jc w:val="center"/>
              <w:rPr>
                <w:rFonts w:ascii="Arial" w:hAnsi="Arial" w:cs="Arial"/>
                <w:color w:val="000000"/>
                <w:sz w:val="20"/>
              </w:rPr>
            </w:pPr>
            <w:r w:rsidRPr="00BD24B7">
              <w:rPr>
                <w:rFonts w:ascii="Arial" w:hAnsi="Arial" w:cs="Arial"/>
                <w:color w:val="000000"/>
                <w:sz w:val="20"/>
              </w:rPr>
              <w:t>2017</w:t>
            </w:r>
          </w:p>
          <w:p w:rsidR="00DF4E40" w:rsidRPr="00BD24B7" w:rsidRDefault="00DF4E40">
            <w:pPr>
              <w:jc w:val="center"/>
              <w:rPr>
                <w:rFonts w:ascii="Arial" w:hAnsi="Arial" w:cs="Arial"/>
                <w:color w:val="000000"/>
                <w:sz w:val="20"/>
              </w:rPr>
            </w:pPr>
            <w:r w:rsidRPr="00BD24B7">
              <w:rPr>
                <w:rFonts w:ascii="Arial" w:hAnsi="Arial" w:cs="Arial"/>
                <w:color w:val="000000"/>
                <w:sz w:val="20"/>
              </w:rPr>
              <w:t>2020</w:t>
            </w:r>
          </w:p>
          <w:p w:rsidR="00DF4E40" w:rsidRPr="00BD24B7" w:rsidRDefault="00DF4E40">
            <w:pPr>
              <w:jc w:val="center"/>
              <w:rPr>
                <w:rFonts w:ascii="Arial" w:hAnsi="Arial" w:cs="Arial"/>
                <w:color w:val="000000"/>
                <w:sz w:val="20"/>
              </w:rPr>
            </w:pPr>
            <w:r w:rsidRPr="00BD24B7">
              <w:rPr>
                <w:rFonts w:ascii="Arial" w:hAnsi="Arial" w:cs="Arial"/>
                <w:color w:val="000000"/>
                <w:sz w:val="20"/>
              </w:rPr>
              <w:t>2023</w:t>
            </w:r>
          </w:p>
        </w:tc>
      </w:tr>
    </w:tbl>
    <w:p w:rsidR="00DF4E40" w:rsidRPr="00304864" w:rsidRDefault="00DF4E40">
      <w:pPr>
        <w:rPr>
          <w:rFonts w:ascii="Arial" w:hAnsi="Arial" w:cs="Arial"/>
          <w:sz w:val="22"/>
          <w:szCs w:val="22"/>
        </w:rPr>
      </w:pPr>
    </w:p>
    <w:p w:rsidR="00F92654" w:rsidRDefault="00F92654">
      <w:pPr>
        <w:pStyle w:val="Text3"/>
        <w:ind w:left="0"/>
        <w:rPr>
          <w:rFonts w:ascii="Arial" w:hAnsi="Arial" w:cs="Arial"/>
          <w:sz w:val="22"/>
          <w:szCs w:val="22"/>
          <w:lang w:eastAsia="fr-BE"/>
        </w:rPr>
        <w:sectPr w:rsidR="00F92654" w:rsidSect="00A961B0">
          <w:pgSz w:w="16838" w:h="11906" w:orient="landscape"/>
          <w:pgMar w:top="1417" w:right="1134" w:bottom="1134" w:left="1134" w:header="601" w:footer="1077" w:gutter="0"/>
          <w:cols w:space="708"/>
          <w:docGrid w:linePitch="326"/>
        </w:sectPr>
      </w:pPr>
    </w:p>
    <w:p w:rsidR="00DF4E40" w:rsidRPr="00A30AEC" w:rsidRDefault="00DF4E40">
      <w:pPr>
        <w:pStyle w:val="Heading3"/>
        <w:spacing w:before="0" w:after="120"/>
        <w:ind w:left="0"/>
        <w:rPr>
          <w:rFonts w:ascii="Arial" w:hAnsi="Arial" w:cs="Arial"/>
          <w:b w:val="0"/>
          <w:color w:val="002060"/>
          <w:sz w:val="22"/>
          <w:szCs w:val="22"/>
        </w:rPr>
      </w:pPr>
      <w:bookmarkStart w:id="206" w:name="_Toc420652540"/>
      <w:bookmarkStart w:id="207" w:name="_Toc421076893"/>
      <w:r w:rsidRPr="00A30AEC">
        <w:rPr>
          <w:rFonts w:ascii="Arial" w:hAnsi="Arial" w:cs="Arial"/>
          <w:b w:val="0"/>
          <w:color w:val="002060"/>
          <w:sz w:val="22"/>
          <w:szCs w:val="22"/>
        </w:rPr>
        <w:t>2.A.6.Actions to be supported under the investment priority</w:t>
      </w:r>
      <w:bookmarkEnd w:id="206"/>
      <w:bookmarkEnd w:id="207"/>
    </w:p>
    <w:p w:rsidR="007142EE" w:rsidRDefault="007142EE" w:rsidP="00A30AEC">
      <w:pPr>
        <w:pStyle w:val="Text3"/>
        <w:ind w:left="0"/>
      </w:pPr>
    </w:p>
    <w:p w:rsidR="007142EE" w:rsidRPr="00A30AEC" w:rsidRDefault="007142EE" w:rsidP="00A30AEC">
      <w:pPr>
        <w:pStyle w:val="Text3"/>
        <w:ind w:left="0"/>
      </w:pPr>
    </w:p>
    <w:p w:rsidR="00A10A3B" w:rsidRPr="002B7D4C" w:rsidRDefault="00A10A3B" w:rsidP="00A30AEC">
      <w:pPr>
        <w:pStyle w:val="Heading2"/>
        <w:spacing w:after="120"/>
        <w:rPr>
          <w:color w:val="17365D"/>
        </w:rPr>
      </w:pPr>
      <w:bookmarkStart w:id="208" w:name="_Toc421076894"/>
      <w:bookmarkStart w:id="209" w:name="_Toc420652541"/>
      <w:r w:rsidRPr="002B7D4C">
        <w:rPr>
          <w:color w:val="17365D"/>
        </w:rPr>
        <w:t xml:space="preserve">2.A.6.1 </w:t>
      </w:r>
      <w:r w:rsidRPr="002B7D4C">
        <w:rPr>
          <w:color w:val="17365D"/>
        </w:rPr>
        <w:tab/>
        <w:t xml:space="preserve">A description of the </w:t>
      </w:r>
      <w:r w:rsidRPr="002B7D4C">
        <w:t>type and examples of actions  to be supported and their expected contribution to the specific objectives, including, where appropriate, identification of the main target groups, specific territories targeted and types of beneficiaries</w:t>
      </w:r>
      <w:bookmarkEnd w:id="208"/>
    </w:p>
    <w:bookmarkEnd w:id="209"/>
    <w:p w:rsidR="00DF4E40" w:rsidRPr="00A30AEC" w:rsidRDefault="00DF4E40">
      <w:pPr>
        <w:rPr>
          <w:rFonts w:ascii="Arial" w:hAnsi="Arial" w:cs="Arial"/>
          <w:i/>
          <w:sz w:val="22"/>
          <w:szCs w:val="22"/>
        </w:rPr>
      </w:pPr>
      <w:r w:rsidRPr="00C71BD4">
        <w:rPr>
          <w:rFonts w:ascii="Arial" w:hAnsi="Arial" w:cs="Arial"/>
          <w:i/>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917"/>
      </w:tblGrid>
      <w:tr w:rsidR="00DF4E40" w:rsidRPr="00304864" w:rsidTr="00A30AEC">
        <w:tc>
          <w:tcPr>
            <w:tcW w:w="3369"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Investment Priority 11</w:t>
            </w:r>
          </w:p>
        </w:tc>
        <w:tc>
          <w:tcPr>
            <w:tcW w:w="5917" w:type="dxa"/>
            <w:shd w:val="clear" w:color="auto" w:fill="C6D9F1"/>
          </w:tcPr>
          <w:p w:rsidR="00DF4E40" w:rsidRPr="00304864" w:rsidRDefault="00DF4E40">
            <w:pPr>
              <w:widowControl w:val="0"/>
              <w:rPr>
                <w:rFonts w:ascii="Arial" w:hAnsi="Arial" w:cs="Arial"/>
                <w:b/>
                <w:i/>
                <w:szCs w:val="22"/>
              </w:rPr>
            </w:pPr>
            <w:r w:rsidRPr="00304864">
              <w:rPr>
                <w:rFonts w:ascii="Arial" w:hAnsi="Arial" w:cs="Arial"/>
                <w:b/>
                <w:sz w:val="22"/>
                <w:szCs w:val="22"/>
                <w:lang w:eastAsia="fr-BE"/>
              </w:rPr>
              <w:t>Enhancing institutional capacity of public authorities and stakeholders and efficient public administration by developing and coordinating macro-regional and sea-basin strategies[article. 7 (b) Regulation (EU) No 1299/2013]</w:t>
            </w:r>
          </w:p>
        </w:tc>
      </w:tr>
      <w:tr w:rsidR="00DF4E40" w:rsidRPr="00304864" w:rsidTr="00A961B0">
        <w:trPr>
          <w:trHeight w:val="1124"/>
        </w:trPr>
        <w:tc>
          <w:tcPr>
            <w:tcW w:w="9286" w:type="dxa"/>
            <w:gridSpan w:val="2"/>
          </w:tcPr>
          <w:p w:rsidR="00DF4E40" w:rsidRPr="00304864" w:rsidRDefault="00DF4E40">
            <w:pPr>
              <w:pStyle w:val="Default"/>
              <w:spacing w:after="120"/>
              <w:jc w:val="both"/>
              <w:rPr>
                <w:sz w:val="22"/>
                <w:szCs w:val="22"/>
              </w:rPr>
            </w:pPr>
            <w:r w:rsidRPr="00304864">
              <w:rPr>
                <w:sz w:val="22"/>
                <w:szCs w:val="22"/>
              </w:rPr>
              <w:t xml:space="preserve">The EUSAIR governance structure is responsible for the management and the implementation of the Strategy. The countries involved in the EUSAIR take their share of responsibility for implementation and coordination of the Strategy. </w:t>
            </w:r>
          </w:p>
          <w:p w:rsidR="00DF4E40" w:rsidRPr="00304864" w:rsidRDefault="00DF4E40">
            <w:pPr>
              <w:pStyle w:val="Default"/>
              <w:spacing w:after="120"/>
              <w:jc w:val="both"/>
              <w:rPr>
                <w:sz w:val="22"/>
                <w:szCs w:val="22"/>
              </w:rPr>
            </w:pPr>
            <w:r w:rsidRPr="00304864">
              <w:rPr>
                <w:sz w:val="22"/>
                <w:szCs w:val="22"/>
              </w:rPr>
              <w:t xml:space="preserve">The </w:t>
            </w:r>
            <w:r w:rsidRPr="00304864">
              <w:rPr>
                <w:color w:val="auto"/>
                <w:sz w:val="22"/>
                <w:szCs w:val="22"/>
              </w:rPr>
              <w:t xml:space="preserve">aim of this PA is to establish an operational tool to support the EUSAIR governance through strategic project to be managed by Slovenia in close cooperation with project partners in all Partner States relying on existing structures since the capacity should be built at the level of each country as well of the whole area. </w:t>
            </w:r>
          </w:p>
          <w:p w:rsidR="00DF4E40" w:rsidRPr="00304864" w:rsidRDefault="00DF4E40">
            <w:pPr>
              <w:pStyle w:val="ListParagraph"/>
              <w:ind w:left="0"/>
              <w:rPr>
                <w:rFonts w:ascii="Arial" w:hAnsi="Arial" w:cs="Arial"/>
                <w:szCs w:val="22"/>
                <w:lang w:val="en-GB"/>
              </w:rPr>
            </w:pPr>
            <w:r w:rsidRPr="00304864">
              <w:rPr>
                <w:rFonts w:ascii="Arial" w:hAnsi="Arial" w:cs="Arial"/>
                <w:sz w:val="22"/>
                <w:szCs w:val="22"/>
                <w:lang w:val="en-GB"/>
              </w:rPr>
              <w:t xml:space="preserve">Within this framework, one Action is envisaged: </w:t>
            </w:r>
          </w:p>
          <w:p w:rsidR="00DF4E40" w:rsidRPr="00304864" w:rsidRDefault="00DF4E40" w:rsidP="00A30AEC">
            <w:pPr>
              <w:pStyle w:val="Text4"/>
              <w:numPr>
                <w:ilvl w:val="0"/>
                <w:numId w:val="121"/>
              </w:numPr>
              <w:ind w:left="284" w:hanging="284"/>
              <w:rPr>
                <w:rFonts w:ascii="Arial" w:hAnsi="Arial" w:cs="Arial"/>
                <w:bCs/>
                <w:szCs w:val="22"/>
              </w:rPr>
            </w:pPr>
            <w:r w:rsidRPr="003E2F90">
              <w:rPr>
                <w:rFonts w:ascii="Arial" w:hAnsi="Arial" w:cs="Arial"/>
                <w:bCs/>
                <w:sz w:val="22"/>
                <w:szCs w:val="22"/>
              </w:rPr>
              <w:t>Operational</w:t>
            </w:r>
            <w:r w:rsidRPr="00304864">
              <w:rPr>
                <w:rFonts w:ascii="Arial" w:hAnsi="Arial" w:cs="Arial"/>
                <w:bCs/>
                <w:sz w:val="22"/>
                <w:szCs w:val="22"/>
              </w:rPr>
              <w:t xml:space="preserve"> support to the key EUSAIR governance actors and stakeholders in their respective roles.</w:t>
            </w:r>
          </w:p>
          <w:p w:rsidR="00DF4E40" w:rsidRPr="00304864" w:rsidRDefault="00DF4E40">
            <w:pPr>
              <w:rPr>
                <w:rFonts w:ascii="Arial" w:hAnsi="Arial" w:cs="Arial"/>
                <w:iCs/>
                <w:szCs w:val="22"/>
              </w:rPr>
            </w:pPr>
            <w:r w:rsidRPr="00304864">
              <w:rPr>
                <w:rFonts w:ascii="Arial" w:hAnsi="Arial" w:cs="Arial"/>
                <w:iCs/>
                <w:sz w:val="22"/>
                <w:szCs w:val="22"/>
              </w:rPr>
              <w:t>This action may include indicative activities such as: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Providing day-to-day operational and logistic support to the GB and TSGs;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Assisting the TSGs in ‘match making' activities, bringing together project promoters and financiers;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Providing assistance in developing project concepts (seed money, pilot actions, preparatory actions, etc.);</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Supporting preparation of macro-regional actions/projects, in coordination with the TSGs;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Supporting the TSGs in monitoring, reporting and evaluation;</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 xml:space="preserve">Facilitating the development and functioning of a </w:t>
            </w:r>
            <w:r w:rsidRPr="00587306">
              <w:rPr>
                <w:rFonts w:ascii="Arial" w:hAnsi="Arial" w:cs="Arial"/>
                <w:bCs/>
                <w:sz w:val="22"/>
                <w:szCs w:val="22"/>
              </w:rPr>
              <w:t>stakeholders platform;</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Facilitating visibility through promotion of an Adriatic Ionian profile, as well as awareness-raising, including management of a EUSAIR website and the staging of events (incl. the annual EUSAIR Forum);</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Assisting the GB in the prepar</w:t>
            </w:r>
            <w:r w:rsidRPr="00587306">
              <w:rPr>
                <w:rFonts w:ascii="Arial" w:hAnsi="Arial" w:cs="Arial"/>
                <w:bCs/>
                <w:sz w:val="22"/>
                <w:szCs w:val="22"/>
              </w:rPr>
              <w:t>ation of the annual EUSAIR Forum;</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Supporting the building of the knowledge base, including collection of reliable and comparable data for establishing sound baselines and developing relevant, evidence-based result indicators and plausible targets;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Facilita</w:t>
            </w:r>
            <w:r w:rsidRPr="00587306">
              <w:rPr>
                <w:rFonts w:ascii="Arial" w:hAnsi="Arial" w:cs="Arial"/>
                <w:bCs/>
                <w:sz w:val="22"/>
                <w:szCs w:val="22"/>
              </w:rPr>
              <w:t>ting dialogue with bodies in charge of the implementation of programmes/financial instruments regardi</w:t>
            </w:r>
            <w:r w:rsidRPr="009956A4">
              <w:rPr>
                <w:rFonts w:ascii="Arial" w:hAnsi="Arial" w:cs="Arial"/>
                <w:bCs/>
                <w:sz w:val="22"/>
                <w:szCs w:val="22"/>
              </w:rPr>
              <w:t>ng how best to mobilise funding for actions under the different pillars.</w:t>
            </w:r>
          </w:p>
          <w:p w:rsidR="00DF4E40" w:rsidRPr="00304864" w:rsidRDefault="00DF4E40">
            <w:pPr>
              <w:pStyle w:val="ListParagraph"/>
              <w:ind w:left="0"/>
              <w:rPr>
                <w:rFonts w:ascii="Arial" w:hAnsi="Arial" w:cs="Arial"/>
                <w:iCs/>
                <w:szCs w:val="22"/>
                <w:lang w:val="en-GB"/>
              </w:rPr>
            </w:pPr>
            <w:r w:rsidRPr="00304864">
              <w:rPr>
                <w:rFonts w:ascii="Arial" w:hAnsi="Arial" w:cs="Arial"/>
                <w:iCs/>
                <w:sz w:val="22"/>
                <w:szCs w:val="22"/>
                <w:lang w:val="en-GB"/>
              </w:rPr>
              <w:t xml:space="preserve">The details of this action will be further defined in the elaboration of the strategic project related to the establishment of the EUSAIR Facility Point. </w:t>
            </w:r>
          </w:p>
          <w:p w:rsidR="00DF4E40" w:rsidRPr="00304864" w:rsidRDefault="00DF4E40">
            <w:pPr>
              <w:rPr>
                <w:rFonts w:ascii="Arial" w:hAnsi="Arial" w:cs="Arial"/>
                <w:b/>
                <w:i/>
                <w:szCs w:val="22"/>
              </w:rPr>
            </w:pPr>
          </w:p>
          <w:p w:rsidR="00DF4E40" w:rsidRPr="00304864" w:rsidRDefault="00DF4E40">
            <w:pPr>
              <w:rPr>
                <w:rFonts w:ascii="Arial" w:hAnsi="Arial" w:cs="Arial"/>
                <w:b/>
                <w:szCs w:val="22"/>
              </w:rPr>
            </w:pPr>
            <w:r w:rsidRPr="00304864">
              <w:rPr>
                <w:rFonts w:ascii="Arial" w:hAnsi="Arial" w:cs="Arial"/>
                <w:b/>
                <w:sz w:val="22"/>
                <w:szCs w:val="22"/>
              </w:rPr>
              <w:t>Target groups</w:t>
            </w:r>
          </w:p>
          <w:p w:rsidR="00DF4E40" w:rsidRPr="00A30AEC" w:rsidRDefault="00DF4E40" w:rsidP="00A30AEC">
            <w:pPr>
              <w:pStyle w:val="ListParagraph"/>
              <w:numPr>
                <w:ilvl w:val="0"/>
                <w:numId w:val="130"/>
              </w:numPr>
              <w:ind w:left="426"/>
              <w:rPr>
                <w:rFonts w:ascii="Arial" w:hAnsi="Arial" w:cs="Arial"/>
                <w:color w:val="000000"/>
                <w:sz w:val="22"/>
                <w:szCs w:val="22"/>
                <w:lang w:val="en-US" w:eastAsia="it-IT"/>
              </w:rPr>
            </w:pPr>
            <w:r w:rsidRPr="00A30AEC">
              <w:rPr>
                <w:rFonts w:ascii="Arial" w:hAnsi="Arial" w:cs="Arial"/>
                <w:color w:val="000000"/>
                <w:sz w:val="22"/>
                <w:szCs w:val="22"/>
                <w:lang w:val="en-GB" w:eastAsia="it-IT"/>
              </w:rPr>
              <w:t>EUSAIR governance structures (GB and TSGs);</w:t>
            </w:r>
          </w:p>
          <w:p w:rsidR="00DF4E40" w:rsidRPr="00A30AEC" w:rsidRDefault="00DF4E40" w:rsidP="00A30AEC">
            <w:pPr>
              <w:pStyle w:val="ListParagraph"/>
              <w:numPr>
                <w:ilvl w:val="0"/>
                <w:numId w:val="130"/>
              </w:numPr>
              <w:ind w:left="426"/>
              <w:rPr>
                <w:rFonts w:ascii="Arial" w:hAnsi="Arial" w:cs="Arial"/>
                <w:color w:val="000000"/>
                <w:sz w:val="22"/>
                <w:szCs w:val="22"/>
                <w:lang w:eastAsia="it-IT"/>
              </w:rPr>
            </w:pPr>
            <w:r w:rsidRPr="00A30AEC">
              <w:rPr>
                <w:rFonts w:ascii="Arial" w:hAnsi="Arial" w:cs="Arial"/>
                <w:color w:val="000000"/>
                <w:sz w:val="22"/>
                <w:szCs w:val="22"/>
                <w:lang w:val="en-GB" w:eastAsia="it-IT"/>
              </w:rPr>
              <w:t>EUSAIR stakeholders.</w:t>
            </w:r>
          </w:p>
          <w:p w:rsidR="00DF4E40" w:rsidRPr="00304864" w:rsidRDefault="00DF4E40">
            <w:pPr>
              <w:rPr>
                <w:rFonts w:ascii="Arial" w:hAnsi="Arial" w:cs="Arial"/>
                <w:szCs w:val="22"/>
              </w:rPr>
            </w:pPr>
          </w:p>
          <w:p w:rsidR="00DF4E40" w:rsidRPr="00304864" w:rsidRDefault="00DF4E40">
            <w:pPr>
              <w:rPr>
                <w:rFonts w:ascii="Arial" w:hAnsi="Arial" w:cs="Arial"/>
                <w:b/>
                <w:szCs w:val="22"/>
              </w:rPr>
            </w:pPr>
            <w:r w:rsidRPr="00304864">
              <w:rPr>
                <w:rFonts w:ascii="Arial" w:hAnsi="Arial" w:cs="Arial"/>
                <w:b/>
                <w:sz w:val="22"/>
                <w:szCs w:val="22"/>
              </w:rPr>
              <w:t>Indicative type of beneficiaries</w:t>
            </w:r>
          </w:p>
          <w:p w:rsidR="00DF4E40" w:rsidRPr="003E2F90" w:rsidRDefault="00DF4E40" w:rsidP="00A30AEC">
            <w:pPr>
              <w:pStyle w:val="ListParagraph"/>
              <w:numPr>
                <w:ilvl w:val="0"/>
                <w:numId w:val="131"/>
              </w:numPr>
              <w:ind w:left="426" w:hanging="284"/>
              <w:rPr>
                <w:rFonts w:ascii="Arial" w:hAnsi="Arial" w:cs="Arial"/>
                <w:szCs w:val="22"/>
              </w:rPr>
            </w:pPr>
            <w:r w:rsidRPr="00A30AEC">
              <w:rPr>
                <w:rFonts w:ascii="Arial" w:hAnsi="Arial" w:cs="Arial"/>
                <w:color w:val="000000"/>
                <w:sz w:val="22"/>
                <w:szCs w:val="22"/>
                <w:lang w:val="en-GB" w:eastAsia="it-IT"/>
              </w:rPr>
              <w:t>Public authorities.</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Default="00DF4E40" w:rsidP="00A30AEC">
      <w:pPr>
        <w:pStyle w:val="Heading2"/>
        <w:spacing w:after="120"/>
      </w:pPr>
      <w:bookmarkStart w:id="210" w:name="_Toc420652542"/>
      <w:bookmarkStart w:id="211" w:name="_Toc421076895"/>
      <w:r w:rsidRPr="00A10A3B">
        <w:t>2.A.6.2.The guiding principles for the selection of operations</w:t>
      </w:r>
      <w:bookmarkEnd w:id="210"/>
      <w:bookmarkEnd w:id="211"/>
    </w:p>
    <w:p w:rsidR="00A10A3B" w:rsidRPr="00A30AEC" w:rsidRDefault="00A10A3B">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A30AEC">
        <w:tc>
          <w:tcPr>
            <w:tcW w:w="2802"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Investment Priority 11</w:t>
            </w:r>
          </w:p>
        </w:tc>
        <w:tc>
          <w:tcPr>
            <w:tcW w:w="6484" w:type="dxa"/>
            <w:shd w:val="clear" w:color="auto" w:fill="C6D9F1"/>
          </w:tcPr>
          <w:p w:rsidR="00DF4E40" w:rsidRPr="00304864" w:rsidRDefault="00DF4E40">
            <w:pPr>
              <w:widowControl w:val="0"/>
              <w:rPr>
                <w:rFonts w:ascii="Arial" w:hAnsi="Arial" w:cs="Arial"/>
                <w:b/>
                <w:i/>
                <w:szCs w:val="22"/>
              </w:rPr>
            </w:pPr>
            <w:r w:rsidRPr="00304864">
              <w:rPr>
                <w:rFonts w:ascii="Arial" w:hAnsi="Arial" w:cs="Arial"/>
                <w:b/>
                <w:sz w:val="22"/>
                <w:szCs w:val="22"/>
                <w:lang w:eastAsia="fr-BE"/>
              </w:rPr>
              <w:t>Enhancing institutional capacity of public authorities and stakeholders and efficient public administration by developing and coordinating macro-regional and sea-basin strategies[article. 7 (b) Regulation (EU) No 1299/2013]</w:t>
            </w:r>
          </w:p>
        </w:tc>
      </w:tr>
      <w:tr w:rsidR="00DF4E40" w:rsidRPr="00304864" w:rsidTr="00347E0A">
        <w:tc>
          <w:tcPr>
            <w:tcW w:w="9286" w:type="dxa"/>
            <w:gridSpan w:val="2"/>
          </w:tcPr>
          <w:p w:rsidR="00DF4E40" w:rsidRPr="00304864" w:rsidRDefault="00DF4E40">
            <w:pPr>
              <w:rPr>
                <w:rFonts w:ascii="Arial" w:hAnsi="Arial" w:cs="Arial"/>
                <w:szCs w:val="22"/>
              </w:rPr>
            </w:pPr>
            <w:r w:rsidRPr="00304864">
              <w:rPr>
                <w:rFonts w:ascii="Arial" w:hAnsi="Arial" w:cs="Arial"/>
                <w:sz w:val="22"/>
                <w:szCs w:val="22"/>
              </w:rPr>
              <w:t xml:space="preserve">The Working Group set up by the Task Force for drafting PA4/TO 11 under the Slovenian coordination and in close cooperation with the </w:t>
            </w:r>
            <w:r w:rsidRPr="00304864">
              <w:rPr>
                <w:rFonts w:ascii="Arial" w:hAnsi="Arial" w:cs="Arial"/>
                <w:bCs/>
                <w:sz w:val="22"/>
                <w:szCs w:val="22"/>
              </w:rPr>
              <w:t>EUSAIR governance structures</w:t>
            </w:r>
            <w:r w:rsidRPr="00304864">
              <w:rPr>
                <w:rFonts w:ascii="Arial" w:hAnsi="Arial" w:cs="Arial"/>
                <w:sz w:val="22"/>
                <w:szCs w:val="22"/>
              </w:rPr>
              <w:t xml:space="preserve"> shall draft the strategic project proposal, which will be submitted to the ADRION </w:t>
            </w:r>
            <w:r w:rsidR="008772FE">
              <w:rPr>
                <w:rFonts w:ascii="Arial" w:hAnsi="Arial" w:cs="Arial"/>
                <w:sz w:val="22"/>
                <w:szCs w:val="22"/>
              </w:rPr>
              <w:t>m</w:t>
            </w:r>
            <w:r w:rsidRPr="00304864">
              <w:rPr>
                <w:rFonts w:ascii="Arial" w:hAnsi="Arial" w:cs="Arial"/>
                <w:sz w:val="22"/>
                <w:szCs w:val="22"/>
              </w:rPr>
              <w:t xml:space="preserve">onitoring </w:t>
            </w:r>
            <w:r w:rsidR="008772FE">
              <w:rPr>
                <w:rFonts w:ascii="Arial" w:hAnsi="Arial" w:cs="Arial"/>
                <w:sz w:val="22"/>
                <w:szCs w:val="22"/>
              </w:rPr>
              <w:t>c</w:t>
            </w:r>
            <w:r w:rsidRPr="00304864">
              <w:rPr>
                <w:rFonts w:ascii="Arial" w:hAnsi="Arial" w:cs="Arial"/>
                <w:sz w:val="22"/>
                <w:szCs w:val="22"/>
              </w:rPr>
              <w:t xml:space="preserve">ommittee for approval without publishing a call for proposals. </w:t>
            </w:r>
          </w:p>
          <w:p w:rsidR="00DF4E40" w:rsidRPr="00304864" w:rsidRDefault="00DF4E40">
            <w:pPr>
              <w:rPr>
                <w:rFonts w:ascii="Arial" w:hAnsi="Arial" w:cs="Arial"/>
                <w:szCs w:val="22"/>
              </w:rPr>
            </w:pPr>
            <w:r w:rsidRPr="00304864">
              <w:rPr>
                <w:rFonts w:ascii="Arial" w:hAnsi="Arial" w:cs="Arial"/>
                <w:sz w:val="22"/>
                <w:szCs w:val="22"/>
              </w:rPr>
              <w:t>The project proposal shall ensure the relevance, coherence and contribution to the SO by verifying the contribution to the envisaged results and shall reflect the needs of the EUSAIR governance structures.</w:t>
            </w:r>
          </w:p>
          <w:p w:rsidR="00DF4E40" w:rsidRPr="00304864" w:rsidRDefault="00DF4E40">
            <w:pPr>
              <w:rPr>
                <w:rFonts w:ascii="Arial" w:hAnsi="Arial" w:cs="Arial"/>
                <w:szCs w:val="22"/>
              </w:rPr>
            </w:pPr>
            <w:r w:rsidRPr="00304864">
              <w:rPr>
                <w:rFonts w:ascii="Arial" w:hAnsi="Arial" w:cs="Arial"/>
                <w:sz w:val="22"/>
                <w:szCs w:val="22"/>
              </w:rPr>
              <w:t>Preparation costs for project are eligible from the Priority axis 4 funds.</w:t>
            </w:r>
          </w:p>
        </w:tc>
      </w:tr>
    </w:tbl>
    <w:p w:rsidR="00DF4E40" w:rsidRPr="00304864" w:rsidRDefault="00DF4E40">
      <w:pPr>
        <w:rPr>
          <w:rFonts w:ascii="Arial" w:hAnsi="Arial" w:cs="Arial"/>
        </w:rPr>
      </w:pPr>
    </w:p>
    <w:p w:rsidR="00DF4E40" w:rsidRPr="00304864" w:rsidRDefault="00DF4E40">
      <w:pPr>
        <w:rPr>
          <w:rFonts w:ascii="Arial" w:hAnsi="Arial" w:cs="Arial"/>
        </w:rPr>
      </w:pPr>
    </w:p>
    <w:p w:rsidR="00DF4E40" w:rsidRPr="00A10A3B" w:rsidRDefault="00DF4E40" w:rsidP="00A30AEC">
      <w:pPr>
        <w:pStyle w:val="Heading2"/>
        <w:spacing w:after="120"/>
      </w:pPr>
      <w:bookmarkStart w:id="212" w:name="_Toc420652543"/>
      <w:bookmarkStart w:id="213" w:name="_Toc421076896"/>
      <w:r w:rsidRPr="00A10A3B">
        <w:t>2.A.6.3.Planned use of financial instruments</w:t>
      </w:r>
      <w:bookmarkEnd w:id="212"/>
      <w:bookmarkEnd w:id="213"/>
    </w:p>
    <w:p w:rsidR="00A10A3B" w:rsidRPr="00A30AEC" w:rsidRDefault="00A10A3B">
      <w:pPr>
        <w:pStyle w:val="Text4"/>
        <w:ind w:left="0"/>
        <w:rPr>
          <w:rFonts w:ascii="Arial" w:hAnsi="Arial" w:cs="Arial"/>
          <w:sz w:val="22"/>
          <w:szCs w:val="22"/>
          <w:lang w:eastAsia="sv-SE"/>
        </w:rPr>
      </w:pPr>
      <w:r w:rsidRPr="00A30AEC">
        <w:rPr>
          <w:rFonts w:ascii="Arial" w:hAnsi="Arial" w:cs="Arial"/>
          <w:sz w:val="22"/>
          <w:szCs w:val="22"/>
        </w:rPr>
        <w:t>(Reference: point (b)(iii)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84"/>
      </w:tblGrid>
      <w:tr w:rsidR="00DF4E40" w:rsidRPr="00304864" w:rsidTr="004E4383">
        <w:tc>
          <w:tcPr>
            <w:tcW w:w="2802"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Investment Priority 11</w:t>
            </w:r>
          </w:p>
        </w:tc>
        <w:tc>
          <w:tcPr>
            <w:tcW w:w="6484" w:type="dxa"/>
            <w:shd w:val="clear" w:color="auto" w:fill="C6D9F1"/>
          </w:tcPr>
          <w:p w:rsidR="00DF4E40" w:rsidRPr="00304864" w:rsidRDefault="00DF4E40">
            <w:pPr>
              <w:widowControl w:val="0"/>
              <w:rPr>
                <w:rFonts w:ascii="Arial" w:hAnsi="Arial" w:cs="Arial"/>
                <w:b/>
                <w:i/>
                <w:szCs w:val="22"/>
              </w:rPr>
            </w:pPr>
            <w:r w:rsidRPr="00304864">
              <w:rPr>
                <w:rFonts w:ascii="Arial" w:hAnsi="Arial" w:cs="Arial"/>
                <w:b/>
                <w:sz w:val="22"/>
                <w:szCs w:val="22"/>
                <w:lang w:eastAsia="fr-BE"/>
              </w:rPr>
              <w:t>Enhancing institutional capacity of public authorities and stakeholders and efficient public administration by developing and coordinating macro-regional and sea-basin strategies[article. 7 (b) Regulation (EU) No 1299/2013]</w:t>
            </w:r>
          </w:p>
        </w:tc>
      </w:tr>
      <w:tr w:rsidR="00DF4E40" w:rsidRPr="00304864" w:rsidTr="004E4383">
        <w:tc>
          <w:tcPr>
            <w:tcW w:w="2802" w:type="dxa"/>
          </w:tcPr>
          <w:p w:rsidR="00DF4E40" w:rsidRPr="00304864" w:rsidRDefault="00DF4E40">
            <w:pPr>
              <w:jc w:val="left"/>
              <w:rPr>
                <w:rFonts w:ascii="Arial" w:hAnsi="Arial" w:cs="Arial"/>
                <w:szCs w:val="22"/>
              </w:rPr>
            </w:pPr>
            <w:r w:rsidRPr="00304864">
              <w:rPr>
                <w:rFonts w:ascii="Arial" w:hAnsi="Arial" w:cs="Arial"/>
                <w:sz w:val="22"/>
                <w:szCs w:val="22"/>
              </w:rPr>
              <w:t>Planned use of financial instruments</w:t>
            </w:r>
          </w:p>
        </w:tc>
        <w:tc>
          <w:tcPr>
            <w:tcW w:w="6484" w:type="dxa"/>
          </w:tcPr>
          <w:p w:rsidR="00DF4E40" w:rsidRPr="00304864" w:rsidRDefault="00DF4E40">
            <w:pPr>
              <w:jc w:val="left"/>
              <w:rPr>
                <w:rFonts w:ascii="Arial" w:hAnsi="Arial" w:cs="Arial"/>
                <w:szCs w:val="22"/>
              </w:rPr>
            </w:pPr>
            <w:r w:rsidRPr="00304864">
              <w:rPr>
                <w:rFonts w:ascii="Arial" w:hAnsi="Arial" w:cs="Arial"/>
                <w:sz w:val="22"/>
                <w:szCs w:val="22"/>
              </w:rPr>
              <w:t>Not applicable</w:t>
            </w:r>
          </w:p>
        </w:tc>
      </w:tr>
    </w:tbl>
    <w:p w:rsidR="00DF4E40" w:rsidRPr="00304864" w:rsidRDefault="00DF4E40">
      <w:pPr>
        <w:rPr>
          <w:rFonts w:ascii="Arial" w:hAnsi="Arial" w:cs="Arial"/>
        </w:rPr>
      </w:pPr>
    </w:p>
    <w:p w:rsidR="00DF4E40" w:rsidRPr="00304864" w:rsidRDefault="00DF4E40">
      <w:pPr>
        <w:rPr>
          <w:rFonts w:ascii="Arial" w:hAnsi="Arial" w:cs="Arial"/>
        </w:rPr>
      </w:pPr>
    </w:p>
    <w:p w:rsidR="00DF4E40" w:rsidRPr="00A10A3B" w:rsidRDefault="00DF4E40" w:rsidP="00A30AEC">
      <w:pPr>
        <w:pStyle w:val="Heading2"/>
        <w:spacing w:after="120"/>
      </w:pPr>
      <w:bookmarkStart w:id="214" w:name="_Toc420652544"/>
      <w:bookmarkStart w:id="215" w:name="_Toc421076897"/>
      <w:r w:rsidRPr="00A10A3B">
        <w:t>2.A.6.4. Planned use of major projects</w:t>
      </w:r>
      <w:bookmarkEnd w:id="214"/>
      <w:bookmarkEnd w:id="215"/>
    </w:p>
    <w:p w:rsidR="00C463AF" w:rsidRPr="00A30AEC" w:rsidRDefault="00C463AF">
      <w:pPr>
        <w:rPr>
          <w:rFonts w:ascii="Arial" w:hAnsi="Arial" w:cs="Arial"/>
          <w:sz w:val="22"/>
          <w:szCs w:val="22"/>
        </w:rPr>
      </w:pPr>
      <w:r w:rsidRPr="00A30AEC">
        <w:rPr>
          <w:rFonts w:ascii="Arial" w:hAnsi="Arial" w:cs="Arial"/>
          <w:sz w:val="22"/>
          <w:szCs w:val="22"/>
        </w:rPr>
        <w:t>(Reference: point (b)(iii) of Article 8(2) of the ETC Regulation)</w:t>
      </w:r>
    </w:p>
    <w:p w:rsidR="00DF4E40" w:rsidRPr="00A30AEC" w:rsidRDefault="00DF4E40">
      <w:pPr>
        <w:rPr>
          <w:rFonts w:ascii="Arial" w:hAnsi="Arial" w:cs="Arial"/>
          <w:sz w:val="22"/>
          <w:szCs w:val="22"/>
        </w:rPr>
      </w:pPr>
      <w:r w:rsidRPr="00A30AEC">
        <w:rPr>
          <w:rFonts w:ascii="Arial" w:hAnsi="Arial" w:cs="Arial"/>
          <w:sz w:val="22"/>
          <w:szCs w:val="22"/>
        </w:rPr>
        <w:t>Not applicable</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A10A3B" w:rsidRDefault="00DF4E40" w:rsidP="00A30AEC">
      <w:pPr>
        <w:pStyle w:val="Heading2"/>
        <w:spacing w:after="120"/>
      </w:pPr>
      <w:bookmarkStart w:id="216" w:name="_Toc420652545"/>
      <w:bookmarkStart w:id="217" w:name="_Toc421076898"/>
      <w:r w:rsidRPr="00A10A3B">
        <w:t>2.A.6.5.Output indicators</w:t>
      </w:r>
      <w:bookmarkEnd w:id="216"/>
      <w:bookmarkEnd w:id="217"/>
    </w:p>
    <w:p w:rsidR="00DF4E40" w:rsidRPr="00A30AEC" w:rsidRDefault="00DF4E40">
      <w:pPr>
        <w:rPr>
          <w:rFonts w:ascii="Arial" w:hAnsi="Arial" w:cs="Arial"/>
          <w:sz w:val="22"/>
          <w:szCs w:val="22"/>
        </w:rPr>
      </w:pPr>
      <w:r w:rsidRPr="00A30AEC">
        <w:rPr>
          <w:rFonts w:ascii="Arial" w:hAnsi="Arial" w:cs="Arial"/>
          <w:sz w:val="22"/>
          <w:szCs w:val="22"/>
        </w:rPr>
        <w:t>(Reference: point (b)(iv) of Article 8(2) of Regulation (EU) No 1299/2013)</w:t>
      </w:r>
    </w:p>
    <w:p w:rsidR="00DF4E40" w:rsidRPr="00304864" w:rsidRDefault="00DF4E40">
      <w:pPr>
        <w:rPr>
          <w:rFonts w:ascii="Arial" w:hAnsi="Arial" w:cs="Arial"/>
          <w:i/>
          <w:sz w:val="22"/>
          <w:szCs w:val="22"/>
        </w:rPr>
      </w:pPr>
      <w:r w:rsidRPr="00304864">
        <w:rPr>
          <w:rFonts w:ascii="Arial" w:hAnsi="Arial" w:cs="Arial"/>
          <w:b/>
          <w:sz w:val="22"/>
          <w:szCs w:val="22"/>
        </w:rPr>
        <w:t xml:space="preserve">Table 4: Common and programme specific output indicators </w:t>
      </w:r>
      <w:r w:rsidRPr="00304864">
        <w:rPr>
          <w:rFonts w:ascii="Arial" w:hAnsi="Arial" w:cs="Arial"/>
          <w:i/>
          <w:sz w:val="22"/>
          <w:szCs w:val="22"/>
        </w:rPr>
        <w:t xml:space="preserve">(by investment priority)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7"/>
        <w:gridCol w:w="1849"/>
        <w:gridCol w:w="1701"/>
        <w:gridCol w:w="992"/>
        <w:gridCol w:w="1843"/>
        <w:gridCol w:w="1845"/>
      </w:tblGrid>
      <w:tr w:rsidR="00DF4E40" w:rsidRPr="00304864" w:rsidTr="00A30AEC">
        <w:trPr>
          <w:trHeight w:val="700"/>
        </w:trPr>
        <w:tc>
          <w:tcPr>
            <w:tcW w:w="987"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ID</w:t>
            </w:r>
          </w:p>
        </w:tc>
        <w:tc>
          <w:tcPr>
            <w:tcW w:w="1849"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Output Indicator</w:t>
            </w:r>
          </w:p>
        </w:tc>
        <w:tc>
          <w:tcPr>
            <w:tcW w:w="1701"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Measurement unit</w:t>
            </w:r>
          </w:p>
        </w:tc>
        <w:tc>
          <w:tcPr>
            <w:tcW w:w="992"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Target value (2023)</w:t>
            </w:r>
          </w:p>
        </w:tc>
        <w:tc>
          <w:tcPr>
            <w:tcW w:w="1843"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Source of data</w:t>
            </w:r>
          </w:p>
          <w:p w:rsidR="00DF4E40" w:rsidRPr="00304864" w:rsidRDefault="00DF4E40">
            <w:pPr>
              <w:jc w:val="center"/>
              <w:rPr>
                <w:rFonts w:ascii="Arial" w:hAnsi="Arial" w:cs="Arial"/>
                <w:sz w:val="20"/>
              </w:rPr>
            </w:pPr>
            <w:r w:rsidRPr="00304864">
              <w:rPr>
                <w:rFonts w:ascii="Arial" w:hAnsi="Arial" w:cs="Arial"/>
                <w:i/>
                <w:sz w:val="20"/>
              </w:rPr>
              <w:t>200 char. max.</w:t>
            </w:r>
          </w:p>
        </w:tc>
        <w:tc>
          <w:tcPr>
            <w:tcW w:w="1845" w:type="dxa"/>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Frequency of reporting</w:t>
            </w:r>
          </w:p>
          <w:p w:rsidR="00DF4E40" w:rsidRPr="00304864" w:rsidRDefault="00DF4E40">
            <w:pPr>
              <w:jc w:val="center"/>
              <w:rPr>
                <w:rFonts w:ascii="Arial" w:hAnsi="Arial" w:cs="Arial"/>
                <w:b/>
                <w:sz w:val="20"/>
              </w:rPr>
            </w:pPr>
            <w:r w:rsidRPr="00304864">
              <w:rPr>
                <w:rFonts w:ascii="Arial" w:hAnsi="Arial" w:cs="Arial"/>
                <w:i/>
                <w:sz w:val="20"/>
              </w:rPr>
              <w:t>100 char. max.</w:t>
            </w:r>
          </w:p>
        </w:tc>
      </w:tr>
      <w:tr w:rsidR="00DF4E40" w:rsidRPr="00304864" w:rsidTr="00A30AEC">
        <w:trPr>
          <w:trHeight w:val="1802"/>
        </w:trPr>
        <w:tc>
          <w:tcPr>
            <w:tcW w:w="987" w:type="dxa"/>
            <w:vAlign w:val="center"/>
          </w:tcPr>
          <w:p w:rsidR="00DF4E40" w:rsidRPr="00304864" w:rsidRDefault="00DF4E40">
            <w:pPr>
              <w:jc w:val="center"/>
              <w:rPr>
                <w:rFonts w:ascii="Arial" w:hAnsi="Arial" w:cs="Arial"/>
                <w:b/>
                <w:sz w:val="20"/>
              </w:rPr>
            </w:pPr>
            <w:r w:rsidRPr="00304864">
              <w:rPr>
                <w:rFonts w:ascii="Arial" w:hAnsi="Arial" w:cs="Arial"/>
                <w:b/>
                <w:sz w:val="20"/>
              </w:rPr>
              <w:t>IP 11</w:t>
            </w:r>
          </w:p>
          <w:p w:rsidR="00DF4E40" w:rsidRPr="00C779B8" w:rsidRDefault="00DF4E40">
            <w:pPr>
              <w:jc w:val="center"/>
              <w:rPr>
                <w:rFonts w:ascii="Arial" w:hAnsi="Arial" w:cs="Arial"/>
                <w:sz w:val="20"/>
              </w:rPr>
            </w:pPr>
            <w:r w:rsidRPr="00C779B8">
              <w:rPr>
                <w:rFonts w:ascii="Arial" w:hAnsi="Arial" w:cs="Arial"/>
                <w:sz w:val="20"/>
              </w:rPr>
              <w:t>SO 4.1</w:t>
            </w:r>
          </w:p>
        </w:tc>
        <w:tc>
          <w:tcPr>
            <w:tcW w:w="1849" w:type="dxa"/>
            <w:vAlign w:val="center"/>
          </w:tcPr>
          <w:p w:rsidR="00DF4E40" w:rsidRPr="00304864" w:rsidRDefault="00DF4E40" w:rsidP="00A30AEC">
            <w:pPr>
              <w:jc w:val="center"/>
              <w:rPr>
                <w:rFonts w:ascii="Arial" w:hAnsi="Arial" w:cs="Arial"/>
                <w:sz w:val="20"/>
              </w:rPr>
            </w:pPr>
            <w:r w:rsidRPr="00304864">
              <w:rPr>
                <w:rFonts w:ascii="Arial" w:hAnsi="Arial" w:cs="Arial"/>
                <w:sz w:val="20"/>
                <w:lang w:eastAsia="en-GB"/>
              </w:rPr>
              <w:t>Events and meeting of the EUSAIR governance structures</w:t>
            </w:r>
          </w:p>
        </w:tc>
        <w:tc>
          <w:tcPr>
            <w:tcW w:w="1701" w:type="dxa"/>
            <w:vAlign w:val="center"/>
          </w:tcPr>
          <w:p w:rsidR="00DF4E40" w:rsidRPr="00304864" w:rsidRDefault="00830B6D" w:rsidP="00A30AEC">
            <w:pPr>
              <w:jc w:val="center"/>
              <w:rPr>
                <w:rFonts w:ascii="Arial" w:hAnsi="Arial" w:cs="Arial"/>
                <w:sz w:val="20"/>
              </w:rPr>
            </w:pPr>
            <w:r w:rsidRPr="00C779B8">
              <w:rPr>
                <w:rFonts w:ascii="Arial" w:hAnsi="Arial" w:cs="Arial"/>
                <w:sz w:val="20"/>
                <w:lang w:eastAsia="en-GB"/>
              </w:rPr>
              <w:t>Number of events and meetings of the EUSAIR governance structures</w:t>
            </w:r>
          </w:p>
        </w:tc>
        <w:tc>
          <w:tcPr>
            <w:tcW w:w="992" w:type="dxa"/>
            <w:vAlign w:val="center"/>
          </w:tcPr>
          <w:p w:rsidR="00DF4E40" w:rsidRPr="00304864" w:rsidRDefault="00DF4E40" w:rsidP="00A30AEC">
            <w:pPr>
              <w:jc w:val="center"/>
              <w:rPr>
                <w:rFonts w:ascii="Arial" w:hAnsi="Arial" w:cs="Arial"/>
                <w:sz w:val="20"/>
              </w:rPr>
            </w:pPr>
            <w:r w:rsidRPr="00304864">
              <w:rPr>
                <w:rFonts w:ascii="Arial" w:hAnsi="Arial" w:cs="Arial"/>
                <w:sz w:val="20"/>
              </w:rPr>
              <w:t>120</w:t>
            </w:r>
          </w:p>
        </w:tc>
        <w:tc>
          <w:tcPr>
            <w:tcW w:w="1843" w:type="dxa"/>
            <w:vAlign w:val="center"/>
          </w:tcPr>
          <w:p w:rsidR="00DF4E40" w:rsidRPr="00304864" w:rsidRDefault="00DF4E40" w:rsidP="00A30AEC">
            <w:pPr>
              <w:jc w:val="center"/>
              <w:rPr>
                <w:rFonts w:ascii="Arial" w:hAnsi="Arial" w:cs="Arial"/>
                <w:i/>
                <w:sz w:val="20"/>
              </w:rPr>
            </w:pPr>
            <w:r w:rsidRPr="00304864">
              <w:rPr>
                <w:rFonts w:ascii="Arial" w:hAnsi="Arial" w:cs="Arial"/>
                <w:sz w:val="20"/>
                <w:lang w:eastAsia="en-GB"/>
              </w:rPr>
              <w:t>Progress reports</w:t>
            </w:r>
          </w:p>
        </w:tc>
        <w:tc>
          <w:tcPr>
            <w:tcW w:w="1845" w:type="dxa"/>
            <w:vAlign w:val="center"/>
          </w:tcPr>
          <w:p w:rsidR="00DF4E40" w:rsidRPr="00304864" w:rsidRDefault="00DF4E40" w:rsidP="00A30AEC">
            <w:pPr>
              <w:jc w:val="center"/>
              <w:rPr>
                <w:rFonts w:ascii="Arial" w:hAnsi="Arial" w:cs="Arial"/>
                <w:i/>
                <w:sz w:val="20"/>
              </w:rPr>
            </w:pPr>
            <w:r w:rsidRPr="00304864">
              <w:rPr>
                <w:rFonts w:ascii="Arial" w:hAnsi="Arial" w:cs="Arial"/>
                <w:sz w:val="20"/>
                <w:lang w:eastAsia="en-GB"/>
              </w:rPr>
              <w:t>Annual</w:t>
            </w:r>
          </w:p>
        </w:tc>
      </w:tr>
    </w:tbl>
    <w:p w:rsidR="00DF4E40" w:rsidRPr="00304864" w:rsidRDefault="00DF4E40">
      <w:pPr>
        <w:pStyle w:val="mStandard"/>
        <w:spacing w:before="0" w:after="120" w:line="240" w:lineRule="auto"/>
        <w:rPr>
          <w:rFonts w:cs="Arial"/>
          <w:b/>
          <w:lang w:val="en-GB"/>
        </w:rPr>
      </w:pPr>
      <w:bookmarkStart w:id="218" w:name="_2.A.2.2._The_guiding"/>
      <w:bookmarkStart w:id="219" w:name="_Toc365660130"/>
      <w:bookmarkStart w:id="220" w:name="_Toc366097040"/>
      <w:bookmarkStart w:id="221" w:name="_Toc377402570"/>
      <w:bookmarkEnd w:id="218"/>
    </w:p>
    <w:p w:rsidR="00DF4E40" w:rsidRPr="003E2F90" w:rsidRDefault="00DF4E40">
      <w:pPr>
        <w:pStyle w:val="mStandard"/>
        <w:spacing w:before="0" w:after="120" w:line="240" w:lineRule="auto"/>
        <w:rPr>
          <w:rFonts w:cs="Arial"/>
          <w:b/>
          <w:lang w:val="en-GB"/>
        </w:rPr>
      </w:pPr>
    </w:p>
    <w:p w:rsidR="00F92654" w:rsidRPr="00A30AEC" w:rsidRDefault="00F92654">
      <w:pPr>
        <w:pStyle w:val="mStandard"/>
        <w:spacing w:before="0" w:after="120" w:line="240" w:lineRule="auto"/>
        <w:rPr>
          <w:rFonts w:cs="Arial"/>
          <w:b/>
          <w:lang w:val="en-GB"/>
        </w:rPr>
        <w:sectPr w:rsidR="00F92654" w:rsidRPr="00A30AEC" w:rsidSect="00A961B0">
          <w:pgSz w:w="11906" w:h="16838"/>
          <w:pgMar w:top="1417" w:right="1134" w:bottom="1134" w:left="1134" w:header="601" w:footer="1077" w:gutter="0"/>
          <w:cols w:space="720"/>
          <w:docGrid w:linePitch="326"/>
        </w:sectPr>
      </w:pPr>
    </w:p>
    <w:p w:rsidR="00DF4E40" w:rsidRPr="00A30AEC" w:rsidRDefault="00DF4E40" w:rsidP="00A30AEC">
      <w:pPr>
        <w:pStyle w:val="Heading2"/>
        <w:spacing w:after="120"/>
        <w:rPr>
          <w:noProof/>
        </w:rPr>
      </w:pPr>
      <w:bookmarkStart w:id="222" w:name="_Toc420652546"/>
      <w:bookmarkStart w:id="223" w:name="_Toc421076899"/>
      <w:r w:rsidRPr="00A30AEC">
        <w:rPr>
          <w:noProof/>
        </w:rPr>
        <w:t>2.A.7. Performance framework</w:t>
      </w:r>
      <w:bookmarkEnd w:id="222"/>
      <w:bookmarkEnd w:id="223"/>
    </w:p>
    <w:p w:rsidR="00DF4E40" w:rsidRPr="00587306" w:rsidRDefault="00DF4E40">
      <w:pPr>
        <w:pStyle w:val="mStandard"/>
        <w:spacing w:before="0" w:after="120" w:line="240" w:lineRule="auto"/>
        <w:rPr>
          <w:rFonts w:cs="Arial"/>
          <w:b/>
          <w:lang w:val="en-GB"/>
        </w:rPr>
      </w:pPr>
      <w:r w:rsidRPr="003E2F90">
        <w:rPr>
          <w:rFonts w:cs="Arial"/>
          <w:b/>
          <w:lang w:val="en-GB"/>
        </w:rPr>
        <w:t>Table 5: Performance framework of the priority axis</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135"/>
        <w:gridCol w:w="1357"/>
        <w:gridCol w:w="2402"/>
        <w:gridCol w:w="1765"/>
        <w:gridCol w:w="1453"/>
        <w:gridCol w:w="1169"/>
        <w:gridCol w:w="1515"/>
        <w:gridCol w:w="1629"/>
      </w:tblGrid>
      <w:tr w:rsidR="00AD02BA" w:rsidRPr="00304864" w:rsidTr="00AB3E6F">
        <w:trPr>
          <w:trHeight w:val="1758"/>
          <w:jc w:val="center"/>
        </w:trPr>
        <w:tc>
          <w:tcPr>
            <w:tcW w:w="427"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Priority axis</w:t>
            </w:r>
          </w:p>
        </w:tc>
        <w:tc>
          <w:tcPr>
            <w:tcW w:w="727"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Indicator Type (key implementation step, financial, output or, where appropriate, result indicator</w:t>
            </w:r>
          </w:p>
        </w:tc>
        <w:tc>
          <w:tcPr>
            <w:tcW w:w="462"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ID</w:t>
            </w:r>
          </w:p>
        </w:tc>
        <w:tc>
          <w:tcPr>
            <w:tcW w:w="818"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Indicator or key implementation step</w:t>
            </w:r>
          </w:p>
        </w:tc>
        <w:tc>
          <w:tcPr>
            <w:tcW w:w="601"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Measurement unit, where appropriate</w:t>
            </w:r>
          </w:p>
        </w:tc>
        <w:tc>
          <w:tcPr>
            <w:tcW w:w="495"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Milestone for 2018</w:t>
            </w:r>
          </w:p>
        </w:tc>
        <w:tc>
          <w:tcPr>
            <w:tcW w:w="398"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Final target (2023)</w:t>
            </w:r>
          </w:p>
        </w:tc>
        <w:tc>
          <w:tcPr>
            <w:tcW w:w="516" w:type="pct"/>
            <w:shd w:val="clear" w:color="auto" w:fill="C6D9F1"/>
            <w:vAlign w:val="center"/>
          </w:tcPr>
          <w:p w:rsidR="00DF4E40" w:rsidRPr="00304864" w:rsidRDefault="00DF4E40">
            <w:pPr>
              <w:pStyle w:val="Text1"/>
              <w:ind w:left="0"/>
              <w:jc w:val="center"/>
              <w:rPr>
                <w:rFonts w:ascii="Arial" w:hAnsi="Arial" w:cs="Arial"/>
                <w:b/>
                <w:sz w:val="20"/>
              </w:rPr>
            </w:pPr>
            <w:r w:rsidRPr="00304864">
              <w:rPr>
                <w:rFonts w:ascii="Arial" w:hAnsi="Arial" w:cs="Arial"/>
                <w:b/>
                <w:sz w:val="20"/>
              </w:rPr>
              <w:t>Source of data</w:t>
            </w:r>
          </w:p>
        </w:tc>
        <w:tc>
          <w:tcPr>
            <w:tcW w:w="555" w:type="pct"/>
            <w:shd w:val="clear" w:color="auto" w:fill="C6D9F1"/>
            <w:vAlign w:val="center"/>
          </w:tcPr>
          <w:p w:rsidR="00DF4E40" w:rsidRPr="00304864" w:rsidRDefault="00DF4E40">
            <w:pPr>
              <w:jc w:val="center"/>
              <w:rPr>
                <w:rFonts w:ascii="Arial" w:hAnsi="Arial" w:cs="Arial"/>
                <w:b/>
                <w:sz w:val="20"/>
              </w:rPr>
            </w:pPr>
            <w:r w:rsidRPr="00304864">
              <w:rPr>
                <w:rFonts w:ascii="Arial" w:hAnsi="Arial" w:cs="Arial"/>
                <w:b/>
                <w:sz w:val="20"/>
              </w:rPr>
              <w:t>Explanation of the relevance of the indicator, where appropriate</w:t>
            </w:r>
          </w:p>
        </w:tc>
      </w:tr>
      <w:tr w:rsidR="00DF4E40" w:rsidRPr="00304864" w:rsidTr="00415612">
        <w:trPr>
          <w:trHeight w:val="64"/>
          <w:jc w:val="center"/>
        </w:trPr>
        <w:tc>
          <w:tcPr>
            <w:tcW w:w="427"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4</w:t>
            </w:r>
          </w:p>
        </w:tc>
        <w:tc>
          <w:tcPr>
            <w:tcW w:w="727"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Financial</w:t>
            </w:r>
          </w:p>
        </w:tc>
        <w:tc>
          <w:tcPr>
            <w:tcW w:w="462"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OI_IP 11 4.1</w:t>
            </w:r>
          </w:p>
        </w:tc>
        <w:tc>
          <w:tcPr>
            <w:tcW w:w="818"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Financial</w:t>
            </w:r>
          </w:p>
        </w:tc>
        <w:tc>
          <w:tcPr>
            <w:tcW w:w="601"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EUR</w:t>
            </w:r>
          </w:p>
        </w:tc>
        <w:tc>
          <w:tcPr>
            <w:tcW w:w="495" w:type="pct"/>
            <w:vAlign w:val="center"/>
          </w:tcPr>
          <w:p w:rsidR="00DF4E40" w:rsidRPr="00304864" w:rsidRDefault="00DF4E40" w:rsidP="00AB3E6F">
            <w:pPr>
              <w:jc w:val="center"/>
            </w:pPr>
            <w:r w:rsidRPr="00395F0D">
              <w:rPr>
                <w:rFonts w:ascii="Arial" w:hAnsi="Arial" w:cs="Arial"/>
                <w:color w:val="000000"/>
                <w:sz w:val="20"/>
              </w:rPr>
              <w:t>977.599</w:t>
            </w:r>
          </w:p>
        </w:tc>
        <w:tc>
          <w:tcPr>
            <w:tcW w:w="398" w:type="pct"/>
            <w:vAlign w:val="center"/>
          </w:tcPr>
          <w:p w:rsidR="00DF4E40" w:rsidRPr="00304864" w:rsidRDefault="00783439" w:rsidP="00AB3E6F">
            <w:pPr>
              <w:jc w:val="center"/>
              <w:rPr>
                <w:rFonts w:ascii="Arial" w:hAnsi="Arial" w:cs="Arial"/>
                <w:sz w:val="20"/>
              </w:rPr>
            </w:pPr>
            <w:r w:rsidRPr="00AB3E6F">
              <w:rPr>
                <w:rFonts w:ascii="Arial" w:hAnsi="Arial" w:cs="Arial"/>
                <w:color w:val="000000"/>
                <w:sz w:val="20"/>
              </w:rPr>
              <w:t>9.775.995</w:t>
            </w:r>
          </w:p>
        </w:tc>
        <w:tc>
          <w:tcPr>
            <w:tcW w:w="516"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Monitoring</w:t>
            </w:r>
          </w:p>
        </w:tc>
        <w:tc>
          <w:tcPr>
            <w:tcW w:w="555" w:type="pct"/>
            <w:vAlign w:val="center"/>
          </w:tcPr>
          <w:p w:rsidR="00DF4E40" w:rsidRPr="00304864" w:rsidRDefault="00DF4E40" w:rsidP="00A30AEC">
            <w:pPr>
              <w:jc w:val="center"/>
              <w:rPr>
                <w:rFonts w:ascii="Arial" w:hAnsi="Arial" w:cs="Arial"/>
                <w:sz w:val="20"/>
              </w:rPr>
            </w:pPr>
          </w:p>
        </w:tc>
      </w:tr>
      <w:tr w:rsidR="00DF4E40" w:rsidRPr="00304864" w:rsidTr="00AB3E6F">
        <w:trPr>
          <w:trHeight w:val="320"/>
          <w:jc w:val="center"/>
        </w:trPr>
        <w:tc>
          <w:tcPr>
            <w:tcW w:w="427" w:type="pct"/>
            <w:vAlign w:val="center"/>
          </w:tcPr>
          <w:p w:rsidR="00DF4E40" w:rsidRPr="00304864" w:rsidRDefault="00DF4E40" w:rsidP="00A30AEC">
            <w:pPr>
              <w:pStyle w:val="Text1"/>
              <w:ind w:left="0"/>
              <w:jc w:val="center"/>
              <w:rPr>
                <w:rFonts w:ascii="Arial" w:hAnsi="Arial" w:cs="Arial"/>
                <w:sz w:val="20"/>
                <w:highlight w:val="cyan"/>
              </w:rPr>
            </w:pPr>
          </w:p>
        </w:tc>
        <w:tc>
          <w:tcPr>
            <w:tcW w:w="727" w:type="pct"/>
            <w:vAlign w:val="center"/>
          </w:tcPr>
          <w:p w:rsidR="00DF4E40" w:rsidRPr="00304864" w:rsidRDefault="00DF4E40" w:rsidP="00A30AEC">
            <w:pPr>
              <w:pStyle w:val="Text1"/>
              <w:ind w:left="0"/>
              <w:jc w:val="center"/>
              <w:rPr>
                <w:rFonts w:ascii="Arial" w:hAnsi="Arial" w:cs="Arial"/>
                <w:sz w:val="20"/>
                <w:highlight w:val="cyan"/>
              </w:rPr>
            </w:pPr>
          </w:p>
        </w:tc>
        <w:tc>
          <w:tcPr>
            <w:tcW w:w="462" w:type="pct"/>
            <w:vAlign w:val="center"/>
          </w:tcPr>
          <w:p w:rsidR="00DF4E40" w:rsidRPr="00304864" w:rsidRDefault="00DF4E40" w:rsidP="00A30AEC">
            <w:pPr>
              <w:pStyle w:val="Text1"/>
              <w:ind w:left="0"/>
              <w:jc w:val="center"/>
              <w:rPr>
                <w:rFonts w:ascii="Arial" w:hAnsi="Arial" w:cs="Arial"/>
                <w:sz w:val="20"/>
                <w:highlight w:val="cyan"/>
              </w:rPr>
            </w:pPr>
            <w:r w:rsidRPr="00304864">
              <w:rPr>
                <w:rFonts w:ascii="Arial" w:hAnsi="Arial" w:cs="Arial"/>
                <w:sz w:val="20"/>
              </w:rPr>
              <w:t>OI_IP 11 4.1</w:t>
            </w:r>
          </w:p>
        </w:tc>
        <w:tc>
          <w:tcPr>
            <w:tcW w:w="818" w:type="pct"/>
            <w:vAlign w:val="center"/>
          </w:tcPr>
          <w:p w:rsidR="00DF4E40" w:rsidRPr="00304864" w:rsidRDefault="00830B6D" w:rsidP="00A30AEC">
            <w:pPr>
              <w:pStyle w:val="Text1"/>
              <w:ind w:left="0"/>
              <w:jc w:val="center"/>
              <w:rPr>
                <w:rFonts w:ascii="Arial" w:hAnsi="Arial" w:cs="Arial"/>
                <w:sz w:val="20"/>
                <w:highlight w:val="yellow"/>
                <w:lang w:eastAsia="en-GB"/>
              </w:rPr>
            </w:pPr>
            <w:r w:rsidRPr="009333ED">
              <w:rPr>
                <w:rFonts w:ascii="Arial" w:hAnsi="Arial" w:cs="Arial"/>
                <w:sz w:val="20"/>
                <w:lang w:eastAsia="en-GB"/>
              </w:rPr>
              <w:t>Number of events and meetings of the EUSAIR governance structures</w:t>
            </w:r>
          </w:p>
        </w:tc>
        <w:tc>
          <w:tcPr>
            <w:tcW w:w="601"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lang w:eastAsia="en-GB"/>
              </w:rPr>
              <w:t>Number</w:t>
            </w:r>
          </w:p>
        </w:tc>
        <w:tc>
          <w:tcPr>
            <w:tcW w:w="495"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12</w:t>
            </w:r>
          </w:p>
        </w:tc>
        <w:tc>
          <w:tcPr>
            <w:tcW w:w="398"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120</w:t>
            </w:r>
          </w:p>
        </w:tc>
        <w:tc>
          <w:tcPr>
            <w:tcW w:w="516" w:type="pct"/>
            <w:vAlign w:val="center"/>
          </w:tcPr>
          <w:p w:rsidR="00DF4E40" w:rsidRPr="00304864" w:rsidRDefault="00DF4E40" w:rsidP="00A30AEC">
            <w:pPr>
              <w:pStyle w:val="Text1"/>
              <w:ind w:left="0"/>
              <w:jc w:val="center"/>
              <w:rPr>
                <w:rFonts w:ascii="Arial" w:hAnsi="Arial" w:cs="Arial"/>
                <w:sz w:val="20"/>
              </w:rPr>
            </w:pPr>
            <w:r w:rsidRPr="00304864">
              <w:rPr>
                <w:rFonts w:ascii="Arial" w:hAnsi="Arial" w:cs="Arial"/>
                <w:sz w:val="20"/>
              </w:rPr>
              <w:t>NC progress reports</w:t>
            </w:r>
          </w:p>
        </w:tc>
        <w:tc>
          <w:tcPr>
            <w:tcW w:w="555" w:type="pct"/>
            <w:vAlign w:val="center"/>
          </w:tcPr>
          <w:p w:rsidR="00DF4E40" w:rsidRPr="00304864" w:rsidRDefault="00DF4E40" w:rsidP="00A30AEC">
            <w:pPr>
              <w:pStyle w:val="Text1"/>
              <w:ind w:left="0"/>
              <w:jc w:val="center"/>
              <w:rPr>
                <w:rFonts w:ascii="Arial" w:hAnsi="Arial" w:cs="Arial"/>
                <w:sz w:val="20"/>
              </w:rPr>
            </w:pPr>
          </w:p>
        </w:tc>
      </w:tr>
    </w:tbl>
    <w:p w:rsidR="00F92654" w:rsidRDefault="00F92654">
      <w:pPr>
        <w:rPr>
          <w:rFonts w:ascii="Arial" w:hAnsi="Arial" w:cs="Arial"/>
          <w:sz w:val="22"/>
          <w:szCs w:val="22"/>
        </w:rPr>
        <w:sectPr w:rsidR="00F92654" w:rsidSect="00A961B0">
          <w:pgSz w:w="16838" w:h="11906" w:orient="landscape"/>
          <w:pgMar w:top="1417" w:right="1134" w:bottom="1134" w:left="1134" w:header="601" w:footer="1077" w:gutter="0"/>
          <w:cols w:space="720"/>
          <w:docGrid w:linePitch="326"/>
        </w:sectPr>
      </w:pPr>
    </w:p>
    <w:p w:rsidR="00DF4E40" w:rsidRPr="00A30AEC" w:rsidRDefault="00DF4E40">
      <w:pPr>
        <w:pStyle w:val="Heading3"/>
        <w:spacing w:before="0" w:after="120"/>
        <w:ind w:left="0"/>
        <w:rPr>
          <w:rFonts w:ascii="Arial" w:hAnsi="Arial" w:cs="Arial"/>
          <w:b w:val="0"/>
          <w:color w:val="002060"/>
          <w:sz w:val="22"/>
          <w:szCs w:val="22"/>
        </w:rPr>
      </w:pPr>
      <w:bookmarkStart w:id="224" w:name="_Toc420652547"/>
      <w:bookmarkStart w:id="225" w:name="_Toc421076900"/>
      <w:r w:rsidRPr="00A30AEC">
        <w:rPr>
          <w:rFonts w:ascii="Arial" w:hAnsi="Arial" w:cs="Arial"/>
          <w:b w:val="0"/>
          <w:color w:val="002060"/>
          <w:sz w:val="22"/>
          <w:szCs w:val="22"/>
        </w:rPr>
        <w:t>2.A.8.Categories of intervention</w:t>
      </w:r>
      <w:bookmarkEnd w:id="219"/>
      <w:bookmarkEnd w:id="220"/>
      <w:bookmarkEnd w:id="221"/>
      <w:bookmarkEnd w:id="224"/>
      <w:bookmarkEnd w:id="225"/>
    </w:p>
    <w:p w:rsidR="00DF4E40" w:rsidRPr="00A30AEC" w:rsidRDefault="00DF4E40">
      <w:pPr>
        <w:rPr>
          <w:rFonts w:ascii="Arial" w:hAnsi="Arial" w:cs="Arial"/>
          <w:b/>
          <w:sz w:val="22"/>
          <w:szCs w:val="22"/>
        </w:rPr>
      </w:pPr>
      <w:r w:rsidRPr="00A30AEC">
        <w:rPr>
          <w:rFonts w:ascii="Arial" w:hAnsi="Arial" w:cs="Arial"/>
          <w:sz w:val="22"/>
          <w:szCs w:val="22"/>
        </w:rPr>
        <w:t>(Reference: point (b)(vii) of Article 8(2) of Regulation (EU) No 1299/2013)</w:t>
      </w:r>
    </w:p>
    <w:p w:rsidR="00DF4E40" w:rsidRPr="00304864" w:rsidRDefault="00DF4E40">
      <w:pPr>
        <w:rPr>
          <w:rFonts w:ascii="Arial" w:hAnsi="Arial" w:cs="Arial"/>
          <w:color w:val="002060"/>
          <w:sz w:val="22"/>
          <w:szCs w:val="22"/>
        </w:rPr>
      </w:pPr>
      <w:r w:rsidRPr="00304864">
        <w:rPr>
          <w:rFonts w:ascii="Arial" w:hAnsi="Arial" w:cs="Arial"/>
          <w:b/>
          <w:color w:val="002060"/>
          <w:sz w:val="22"/>
          <w:szCs w:val="22"/>
        </w:rPr>
        <w:t>Tables 6-9: Categories of intervention</w:t>
      </w:r>
    </w:p>
    <w:tbl>
      <w:tblPr>
        <w:tblW w:w="8280" w:type="dxa"/>
        <w:jc w:val="center"/>
        <w:tblCellMar>
          <w:left w:w="70" w:type="dxa"/>
          <w:right w:w="70" w:type="dxa"/>
        </w:tblCellMar>
        <w:tblLook w:val="00A0"/>
      </w:tblPr>
      <w:tblGrid>
        <w:gridCol w:w="1240"/>
        <w:gridCol w:w="3840"/>
        <w:gridCol w:w="3200"/>
      </w:tblGrid>
      <w:tr w:rsidR="00DF4E40" w:rsidRPr="00304864" w:rsidTr="00A961B0">
        <w:trPr>
          <w:trHeight w:val="660"/>
          <w:jc w:val="center"/>
        </w:trPr>
        <w:tc>
          <w:tcPr>
            <w:tcW w:w="8280" w:type="dxa"/>
            <w:gridSpan w:val="3"/>
            <w:tcBorders>
              <w:top w:val="single" w:sz="8" w:space="0" w:color="auto"/>
              <w:left w:val="single" w:sz="8" w:space="0" w:color="auto"/>
              <w:bottom w:val="single" w:sz="8" w:space="0" w:color="auto"/>
              <w:right w:val="single" w:sz="8" w:space="0" w:color="000000"/>
            </w:tcBorders>
            <w:vAlign w:val="center"/>
          </w:tcPr>
          <w:p w:rsidR="00DF4E40" w:rsidRPr="00304864" w:rsidRDefault="00DF4E40">
            <w:pPr>
              <w:rPr>
                <w:rFonts w:ascii="Arial" w:hAnsi="Arial" w:cs="Arial"/>
                <w:b/>
                <w:bCs/>
                <w:color w:val="000000"/>
                <w:sz w:val="20"/>
                <w:lang w:eastAsia="es-ES"/>
              </w:rPr>
            </w:pPr>
            <w:r w:rsidRPr="00304864">
              <w:rPr>
                <w:rFonts w:ascii="Arial" w:hAnsi="Arial" w:cs="Arial"/>
                <w:b/>
                <w:bCs/>
                <w:color w:val="000000"/>
                <w:sz w:val="20"/>
                <w:lang w:eastAsia="es-ES"/>
              </w:rPr>
              <w:t>Table 6: Dimension 1: Intervention field</w:t>
            </w:r>
          </w:p>
        </w:tc>
      </w:tr>
      <w:tr w:rsidR="00DF4E40" w:rsidRPr="00304864" w:rsidTr="00A961B0">
        <w:trPr>
          <w:trHeight w:val="660"/>
          <w:jc w:val="center"/>
        </w:trPr>
        <w:tc>
          <w:tcPr>
            <w:tcW w:w="1240" w:type="dxa"/>
            <w:tcBorders>
              <w:top w:val="nil"/>
              <w:left w:val="single" w:sz="8" w:space="0" w:color="auto"/>
              <w:bottom w:val="single" w:sz="8" w:space="0" w:color="auto"/>
              <w:right w:val="single" w:sz="8" w:space="0" w:color="auto"/>
            </w:tcBorders>
            <w:vAlign w:val="center"/>
          </w:tcPr>
          <w:p w:rsidR="00DF4E40" w:rsidRPr="003D2DCB" w:rsidRDefault="00DF4E40">
            <w:pPr>
              <w:jc w:val="center"/>
              <w:rPr>
                <w:rFonts w:ascii="Arial" w:hAnsi="Arial" w:cs="Arial"/>
                <w:b/>
                <w:bCs/>
                <w:color w:val="000000"/>
                <w:sz w:val="20"/>
                <w:lang w:eastAsia="es-ES"/>
              </w:rPr>
            </w:pPr>
            <w:r w:rsidRPr="003D2DCB">
              <w:rPr>
                <w:rFonts w:ascii="Arial" w:hAnsi="Arial" w:cs="Arial"/>
                <w:b/>
                <w:bCs/>
                <w:color w:val="000000"/>
                <w:sz w:val="20"/>
                <w:lang w:eastAsia="es-ES"/>
              </w:rPr>
              <w:t>Priority Axis</w:t>
            </w:r>
          </w:p>
        </w:tc>
        <w:tc>
          <w:tcPr>
            <w:tcW w:w="3840" w:type="dxa"/>
            <w:tcBorders>
              <w:top w:val="nil"/>
              <w:left w:val="nil"/>
              <w:bottom w:val="single" w:sz="8" w:space="0" w:color="auto"/>
              <w:right w:val="single" w:sz="8" w:space="0" w:color="auto"/>
            </w:tcBorders>
            <w:vAlign w:val="center"/>
          </w:tcPr>
          <w:p w:rsidR="00DF4E40" w:rsidRPr="003D2DCB" w:rsidRDefault="00DF4E40">
            <w:pPr>
              <w:jc w:val="center"/>
              <w:rPr>
                <w:rFonts w:ascii="Arial" w:hAnsi="Arial" w:cs="Arial"/>
                <w:b/>
                <w:bCs/>
                <w:color w:val="000000"/>
                <w:sz w:val="20"/>
                <w:lang w:eastAsia="es-ES"/>
              </w:rPr>
            </w:pPr>
            <w:r w:rsidRPr="003D2DCB">
              <w:rPr>
                <w:rFonts w:ascii="Arial" w:hAnsi="Arial" w:cs="Arial"/>
                <w:b/>
                <w:bCs/>
                <w:color w:val="000000"/>
                <w:sz w:val="20"/>
                <w:lang w:eastAsia="es-ES"/>
              </w:rPr>
              <w:t>Code</w:t>
            </w:r>
          </w:p>
        </w:tc>
        <w:tc>
          <w:tcPr>
            <w:tcW w:w="3200" w:type="dxa"/>
            <w:tcBorders>
              <w:top w:val="nil"/>
              <w:left w:val="nil"/>
              <w:bottom w:val="single" w:sz="8" w:space="0" w:color="auto"/>
              <w:right w:val="single" w:sz="8" w:space="0" w:color="auto"/>
            </w:tcBorders>
            <w:vAlign w:val="center"/>
          </w:tcPr>
          <w:p w:rsidR="00DF4E40" w:rsidRPr="003D2DCB" w:rsidRDefault="00DF4E40">
            <w:pPr>
              <w:jc w:val="center"/>
              <w:rPr>
                <w:rFonts w:ascii="Arial" w:hAnsi="Arial" w:cs="Arial"/>
                <w:b/>
                <w:bCs/>
                <w:color w:val="000000"/>
                <w:sz w:val="20"/>
                <w:lang w:eastAsia="es-ES"/>
              </w:rPr>
            </w:pPr>
            <w:r w:rsidRPr="003D2DCB">
              <w:rPr>
                <w:rFonts w:ascii="Arial" w:hAnsi="Arial" w:cs="Arial"/>
                <w:b/>
                <w:bCs/>
                <w:color w:val="000000"/>
                <w:sz w:val="20"/>
                <w:lang w:eastAsia="es-ES"/>
              </w:rPr>
              <w:t>EUR amount</w:t>
            </w:r>
          </w:p>
        </w:tc>
      </w:tr>
      <w:tr w:rsidR="00415612" w:rsidRPr="00304864" w:rsidTr="00A961B0">
        <w:trPr>
          <w:trHeight w:val="888"/>
          <w:jc w:val="center"/>
        </w:trPr>
        <w:tc>
          <w:tcPr>
            <w:tcW w:w="1240" w:type="dxa"/>
            <w:vMerge w:val="restart"/>
            <w:tcBorders>
              <w:top w:val="nil"/>
              <w:left w:val="single" w:sz="8" w:space="0" w:color="auto"/>
              <w:bottom w:val="nil"/>
              <w:right w:val="single" w:sz="8" w:space="0" w:color="auto"/>
            </w:tcBorders>
            <w:shd w:val="clear" w:color="000000"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1</w:t>
            </w:r>
          </w:p>
        </w:tc>
        <w:tc>
          <w:tcPr>
            <w:tcW w:w="3840" w:type="dxa"/>
            <w:tcBorders>
              <w:top w:val="nil"/>
              <w:left w:val="nil"/>
              <w:bottom w:val="single" w:sz="8" w:space="0" w:color="auto"/>
              <w:right w:val="single" w:sz="8" w:space="0" w:color="auto"/>
            </w:tcBorders>
            <w:shd w:val="clear" w:color="000000"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 xml:space="preserve">60 Research and innovation activities in public research centres and centres of competence including networking </w:t>
            </w:r>
          </w:p>
        </w:tc>
        <w:tc>
          <w:tcPr>
            <w:tcW w:w="3200" w:type="dxa"/>
            <w:tcBorders>
              <w:top w:val="nil"/>
              <w:left w:val="nil"/>
              <w:bottom w:val="single" w:sz="8" w:space="0" w:color="auto"/>
              <w:right w:val="single" w:sz="8" w:space="0" w:color="auto"/>
            </w:tcBorders>
            <w:shd w:val="clear" w:color="000000"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1.969.166</w:t>
            </w:r>
          </w:p>
        </w:tc>
      </w:tr>
      <w:tr w:rsidR="00415612" w:rsidRPr="00304864" w:rsidTr="00A961B0">
        <w:trPr>
          <w:trHeight w:val="888"/>
          <w:jc w:val="center"/>
        </w:trPr>
        <w:tc>
          <w:tcPr>
            <w:tcW w:w="1240" w:type="dxa"/>
            <w:vMerge/>
            <w:tcBorders>
              <w:top w:val="nil"/>
              <w:left w:val="single" w:sz="8" w:space="0" w:color="auto"/>
              <w:bottom w:val="nil"/>
              <w:right w:val="single" w:sz="8" w:space="0" w:color="auto"/>
            </w:tcBorders>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000000"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 xml:space="preserve">62 Technology transfer and university-enterprise cooperation primarily benefiting SMEs </w:t>
            </w:r>
          </w:p>
        </w:tc>
        <w:tc>
          <w:tcPr>
            <w:tcW w:w="3200" w:type="dxa"/>
            <w:tcBorders>
              <w:top w:val="nil"/>
              <w:left w:val="nil"/>
              <w:bottom w:val="single" w:sz="8" w:space="0" w:color="auto"/>
              <w:right w:val="single" w:sz="8" w:space="0" w:color="auto"/>
            </w:tcBorders>
            <w:shd w:val="clear" w:color="000000"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3.938.332 </w:t>
            </w:r>
          </w:p>
        </w:tc>
      </w:tr>
      <w:tr w:rsidR="00415612" w:rsidRPr="00304864" w:rsidTr="00A961B0">
        <w:trPr>
          <w:trHeight w:val="888"/>
          <w:jc w:val="center"/>
        </w:trPr>
        <w:tc>
          <w:tcPr>
            <w:tcW w:w="1240" w:type="dxa"/>
            <w:vMerge/>
            <w:tcBorders>
              <w:top w:val="nil"/>
              <w:left w:val="single" w:sz="8" w:space="0" w:color="auto"/>
              <w:bottom w:val="nil"/>
              <w:right w:val="single" w:sz="8" w:space="0" w:color="auto"/>
            </w:tcBorders>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000000"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63 Cluster support and business networks primarily benefiting SMEs</w:t>
            </w:r>
          </w:p>
        </w:tc>
        <w:tc>
          <w:tcPr>
            <w:tcW w:w="3200" w:type="dxa"/>
            <w:tcBorders>
              <w:top w:val="nil"/>
              <w:left w:val="nil"/>
              <w:bottom w:val="single" w:sz="8" w:space="0" w:color="auto"/>
              <w:right w:val="single" w:sz="8" w:space="0" w:color="auto"/>
            </w:tcBorders>
            <w:shd w:val="clear" w:color="000000"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5.907.497 </w:t>
            </w:r>
          </w:p>
        </w:tc>
      </w:tr>
      <w:tr w:rsidR="00415612" w:rsidRPr="00304864" w:rsidTr="00A961B0">
        <w:trPr>
          <w:trHeight w:val="888"/>
          <w:jc w:val="center"/>
        </w:trPr>
        <w:tc>
          <w:tcPr>
            <w:tcW w:w="1240" w:type="dxa"/>
            <w:vMerge/>
            <w:tcBorders>
              <w:top w:val="nil"/>
              <w:left w:val="single" w:sz="8" w:space="0" w:color="auto"/>
              <w:bottom w:val="nil"/>
              <w:right w:val="single" w:sz="8" w:space="0" w:color="auto"/>
            </w:tcBorders>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000000"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65 Research and innovation infrastructure, processes, technology transfer and cooperation in enterprises focusing on the low carbon economy and on resilience to climate change</w:t>
            </w:r>
          </w:p>
        </w:tc>
        <w:tc>
          <w:tcPr>
            <w:tcW w:w="3200" w:type="dxa"/>
            <w:tcBorders>
              <w:top w:val="nil"/>
              <w:left w:val="nil"/>
              <w:bottom w:val="single" w:sz="8" w:space="0" w:color="auto"/>
              <w:right w:val="single" w:sz="8" w:space="0" w:color="auto"/>
            </w:tcBorders>
            <w:shd w:val="clear" w:color="000000"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1.969.166 </w:t>
            </w:r>
          </w:p>
        </w:tc>
      </w:tr>
      <w:tr w:rsidR="00415612" w:rsidRPr="00304864" w:rsidTr="00A961B0">
        <w:trPr>
          <w:trHeight w:val="888"/>
          <w:jc w:val="center"/>
        </w:trPr>
        <w:tc>
          <w:tcPr>
            <w:tcW w:w="1240" w:type="dxa"/>
            <w:vMerge/>
            <w:tcBorders>
              <w:top w:val="nil"/>
              <w:left w:val="single" w:sz="8" w:space="0" w:color="auto"/>
              <w:bottom w:val="nil"/>
              <w:right w:val="single" w:sz="8" w:space="0" w:color="auto"/>
            </w:tcBorders>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000000"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67 SME business development, support to entrepreneurship and incubation (including support to spin offs and spin outs)</w:t>
            </w:r>
          </w:p>
        </w:tc>
        <w:tc>
          <w:tcPr>
            <w:tcW w:w="3200" w:type="dxa"/>
            <w:tcBorders>
              <w:top w:val="nil"/>
              <w:left w:val="nil"/>
              <w:bottom w:val="single" w:sz="8" w:space="0" w:color="auto"/>
              <w:right w:val="single" w:sz="8" w:space="0" w:color="auto"/>
            </w:tcBorders>
            <w:shd w:val="clear" w:color="000000"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5.907.497 </w:t>
            </w:r>
          </w:p>
        </w:tc>
      </w:tr>
      <w:tr w:rsidR="00415612" w:rsidRPr="00304864" w:rsidTr="00A30AEC">
        <w:trPr>
          <w:trHeight w:val="876"/>
          <w:jc w:val="center"/>
        </w:trPr>
        <w:tc>
          <w:tcPr>
            <w:tcW w:w="1240"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2</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 xml:space="preserve">91 Development and promotion of the tourism potential of natural areas </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6.820.856 </w:t>
            </w:r>
          </w:p>
        </w:tc>
      </w:tr>
      <w:tr w:rsidR="00415612" w:rsidRPr="00304864" w:rsidTr="00A90DA2">
        <w:trPr>
          <w:trHeight w:val="876"/>
          <w:jc w:val="center"/>
        </w:trPr>
        <w:tc>
          <w:tcPr>
            <w:tcW w:w="124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 xml:space="preserve">94 Protection, development and promotion of public cultural heritage assets </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6.820.856 </w:t>
            </w:r>
          </w:p>
        </w:tc>
      </w:tr>
      <w:tr w:rsidR="00415612" w:rsidRPr="00304864" w:rsidTr="00A90DA2">
        <w:trPr>
          <w:trHeight w:val="876"/>
          <w:jc w:val="center"/>
        </w:trPr>
        <w:tc>
          <w:tcPr>
            <w:tcW w:w="124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95 Development and promotion of public cultural and heritage services</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9.094.475 </w:t>
            </w:r>
          </w:p>
        </w:tc>
      </w:tr>
      <w:tr w:rsidR="00415612" w:rsidRPr="00304864" w:rsidTr="00A90DA2">
        <w:trPr>
          <w:trHeight w:val="876"/>
          <w:jc w:val="center"/>
        </w:trPr>
        <w:tc>
          <w:tcPr>
            <w:tcW w:w="124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21 Water management and drinking water conservation (including river basin management, water supply, specific climate change adaptation measures, district and consumer metering, charging systems and leak reduction)</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4.547.238 </w:t>
            </w:r>
          </w:p>
        </w:tc>
      </w:tr>
      <w:tr w:rsidR="00415612" w:rsidRPr="00304864" w:rsidTr="00A90DA2">
        <w:trPr>
          <w:trHeight w:val="876"/>
          <w:jc w:val="center"/>
        </w:trPr>
        <w:tc>
          <w:tcPr>
            <w:tcW w:w="124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 xml:space="preserve">85 Protection and enhancement of biodiversity, nature protection and green infrastructure </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4.547.238 </w:t>
            </w:r>
          </w:p>
        </w:tc>
      </w:tr>
      <w:tr w:rsidR="00415612" w:rsidRPr="00304864" w:rsidTr="00A90DA2">
        <w:trPr>
          <w:trHeight w:val="876"/>
          <w:jc w:val="center"/>
        </w:trPr>
        <w:tc>
          <w:tcPr>
            <w:tcW w:w="124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86 Protection, restoration and sustainable use of Natura 2000 sites</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4.547.238</w:t>
            </w:r>
          </w:p>
        </w:tc>
      </w:tr>
      <w:tr w:rsidR="00415612" w:rsidRPr="00304864" w:rsidTr="00A90DA2">
        <w:trPr>
          <w:trHeight w:val="876"/>
          <w:jc w:val="center"/>
        </w:trPr>
        <w:tc>
          <w:tcPr>
            <w:tcW w:w="1240" w:type="dxa"/>
            <w:vMerge/>
            <w:tcBorders>
              <w:top w:val="single" w:sz="8" w:space="0" w:color="auto"/>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87 Adaptation to climate change measures and prevention and management of climate related risks e.g. erosion, fires, flooding, storms and drought, including awareness raising, civil protection and disaster management systems and infrastructures</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9.094.475 </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3</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036 Multimodal transport</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8.854.262 </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3</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44 Intelligent transport systems (including the introduction of demand management, tolling systems, IT monitoring control and information systems)</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8.854.262 </w:t>
            </w:r>
          </w:p>
        </w:tc>
      </w:tr>
      <w:tr w:rsidR="00415612" w:rsidRPr="00304864" w:rsidTr="00A90DA2">
        <w:trPr>
          <w:trHeight w:val="660"/>
          <w:jc w:val="center"/>
        </w:trPr>
        <w:tc>
          <w:tcPr>
            <w:tcW w:w="1240" w:type="dxa"/>
            <w:vMerge w:val="restart"/>
            <w:tcBorders>
              <w:top w:val="nil"/>
              <w:left w:val="single" w:sz="8" w:space="0" w:color="auto"/>
              <w:bottom w:val="single" w:sz="8" w:space="0" w:color="000000"/>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4</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tabs>
                <w:tab w:val="left" w:pos="2123"/>
              </w:tabs>
              <w:jc w:val="left"/>
              <w:rPr>
                <w:rFonts w:ascii="Arial" w:hAnsi="Arial" w:cs="Arial"/>
                <w:color w:val="000000"/>
                <w:sz w:val="20"/>
                <w:highlight w:val="green"/>
                <w:lang w:eastAsia="es-ES"/>
              </w:rPr>
            </w:pPr>
            <w:r w:rsidRPr="003D2DCB">
              <w:rPr>
                <w:rFonts w:ascii="Arial" w:hAnsi="Arial" w:cs="Arial"/>
                <w:color w:val="000000"/>
                <w:sz w:val="20"/>
                <w:lang w:eastAsia="es-ES"/>
              </w:rPr>
              <w:t xml:space="preserve">096 institutional capacity of public administrations and public services related to implementation of the ERDF or actions supporting ESF institutional capacity initiatives </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4.887.997 </w:t>
            </w:r>
          </w:p>
        </w:tc>
      </w:tr>
      <w:tr w:rsidR="00415612" w:rsidRPr="00304864" w:rsidTr="00A90DA2">
        <w:trPr>
          <w:trHeight w:val="660"/>
          <w:jc w:val="center"/>
        </w:trPr>
        <w:tc>
          <w:tcPr>
            <w:tcW w:w="1240" w:type="dxa"/>
            <w:vMerge/>
            <w:tcBorders>
              <w:top w:val="nil"/>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119 Investment in institutional capacity and in the efficiency of public administrations and public services at the national, regional and local levels with a view to reforms, better regulation and good governance</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4.887.997 </w:t>
            </w:r>
          </w:p>
        </w:tc>
      </w:tr>
      <w:tr w:rsidR="00415612" w:rsidRPr="00304864" w:rsidTr="00AB3E6F">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5</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121 Preparation, implementation, monitoring and inspection</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5.206.450 </w:t>
            </w:r>
          </w:p>
        </w:tc>
      </w:tr>
      <w:tr w:rsidR="00415612" w:rsidRPr="00304864" w:rsidTr="00AB3E6F">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5</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122 Evaluation and studies</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650.806 </w:t>
            </w:r>
          </w:p>
        </w:tc>
      </w:tr>
      <w:tr w:rsidR="00415612" w:rsidRPr="00304864" w:rsidTr="00AB3E6F">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5</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123 Information and Communication</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color w:val="000000"/>
                <w:sz w:val="20"/>
              </w:rPr>
              <w:t xml:space="preserve">650.806 </w:t>
            </w:r>
          </w:p>
        </w:tc>
      </w:tr>
      <w:tr w:rsidR="00415612" w:rsidRPr="00304864" w:rsidTr="00A961B0">
        <w:trPr>
          <w:trHeight w:val="660"/>
          <w:jc w:val="center"/>
        </w:trPr>
        <w:tc>
          <w:tcPr>
            <w:tcW w:w="1240" w:type="dxa"/>
            <w:tcBorders>
              <w:top w:val="nil"/>
              <w:left w:val="nil"/>
              <w:bottom w:val="nil"/>
              <w:right w:val="nil"/>
            </w:tcBorders>
            <w:noWrap/>
            <w:vAlign w:val="center"/>
          </w:tcPr>
          <w:p w:rsidR="00415612" w:rsidRPr="00304864" w:rsidRDefault="00415612">
            <w:pPr>
              <w:rPr>
                <w:rFonts w:ascii="Arial" w:hAnsi="Arial" w:cs="Arial"/>
                <w:color w:val="000000"/>
                <w:sz w:val="20"/>
                <w:lang w:eastAsia="es-ES"/>
              </w:rPr>
            </w:pPr>
          </w:p>
        </w:tc>
        <w:tc>
          <w:tcPr>
            <w:tcW w:w="3840" w:type="dxa"/>
            <w:tcBorders>
              <w:top w:val="nil"/>
              <w:left w:val="nil"/>
              <w:bottom w:val="nil"/>
              <w:right w:val="nil"/>
            </w:tcBorders>
            <w:noWrap/>
            <w:vAlign w:val="bottom"/>
          </w:tcPr>
          <w:p w:rsidR="00415612" w:rsidRPr="00304864" w:rsidRDefault="00415612">
            <w:pPr>
              <w:jc w:val="left"/>
              <w:rPr>
                <w:rFonts w:ascii="Arial" w:hAnsi="Arial" w:cs="Arial"/>
                <w:color w:val="000000"/>
                <w:sz w:val="20"/>
                <w:lang w:eastAsia="es-ES"/>
              </w:rPr>
            </w:pPr>
          </w:p>
        </w:tc>
        <w:tc>
          <w:tcPr>
            <w:tcW w:w="3200" w:type="dxa"/>
            <w:tcBorders>
              <w:top w:val="nil"/>
              <w:left w:val="nil"/>
              <w:bottom w:val="nil"/>
              <w:right w:val="nil"/>
            </w:tcBorders>
            <w:noWrap/>
            <w:vAlign w:val="bottom"/>
          </w:tcPr>
          <w:p w:rsidR="00415612" w:rsidRPr="00A2720B" w:rsidRDefault="00415612">
            <w:pPr>
              <w:jc w:val="left"/>
              <w:rPr>
                <w:rFonts w:ascii="Arial" w:hAnsi="Arial" w:cs="Arial"/>
                <w:color w:val="000000"/>
                <w:sz w:val="20"/>
                <w:lang w:eastAsia="es-ES"/>
              </w:rPr>
            </w:pPr>
          </w:p>
        </w:tc>
      </w:tr>
      <w:tr w:rsidR="00415612" w:rsidRPr="00304864" w:rsidTr="00A961B0">
        <w:trPr>
          <w:trHeight w:val="660"/>
          <w:jc w:val="center"/>
        </w:trPr>
        <w:tc>
          <w:tcPr>
            <w:tcW w:w="8280" w:type="dxa"/>
            <w:gridSpan w:val="3"/>
            <w:tcBorders>
              <w:top w:val="single" w:sz="8" w:space="0" w:color="auto"/>
              <w:left w:val="single" w:sz="8" w:space="0" w:color="auto"/>
              <w:bottom w:val="single" w:sz="8" w:space="0" w:color="auto"/>
              <w:right w:val="single" w:sz="8" w:space="0" w:color="000000"/>
            </w:tcBorders>
            <w:vAlign w:val="center"/>
          </w:tcPr>
          <w:p w:rsidR="00415612" w:rsidRPr="00A2720B" w:rsidRDefault="00415612">
            <w:pPr>
              <w:rPr>
                <w:rFonts w:ascii="Arial" w:hAnsi="Arial" w:cs="Arial"/>
                <w:b/>
                <w:bCs/>
                <w:color w:val="000000"/>
                <w:sz w:val="20"/>
                <w:lang w:eastAsia="es-ES"/>
              </w:rPr>
            </w:pPr>
            <w:r w:rsidRPr="00A2720B">
              <w:rPr>
                <w:rFonts w:ascii="Arial" w:hAnsi="Arial" w:cs="Arial"/>
                <w:b/>
                <w:bCs/>
                <w:color w:val="000000"/>
                <w:sz w:val="20"/>
                <w:lang w:eastAsia="es-ES"/>
              </w:rPr>
              <w:t>Table 7: Dimension 2: Form of Finance</w:t>
            </w:r>
          </w:p>
        </w:tc>
      </w:tr>
      <w:tr w:rsidR="00415612" w:rsidRPr="00304864" w:rsidTr="00A961B0">
        <w:trPr>
          <w:trHeight w:val="660"/>
          <w:jc w:val="center"/>
        </w:trPr>
        <w:tc>
          <w:tcPr>
            <w:tcW w:w="1240" w:type="dxa"/>
            <w:tcBorders>
              <w:top w:val="nil"/>
              <w:left w:val="single" w:sz="8" w:space="0" w:color="auto"/>
              <w:bottom w:val="single" w:sz="8" w:space="0" w:color="auto"/>
              <w:right w:val="single" w:sz="8"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Priority Axis</w:t>
            </w:r>
          </w:p>
        </w:tc>
        <w:tc>
          <w:tcPr>
            <w:tcW w:w="3840" w:type="dxa"/>
            <w:tcBorders>
              <w:top w:val="nil"/>
              <w:left w:val="nil"/>
              <w:bottom w:val="single" w:sz="8" w:space="0" w:color="auto"/>
              <w:right w:val="single" w:sz="8"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Code</w:t>
            </w:r>
          </w:p>
        </w:tc>
        <w:tc>
          <w:tcPr>
            <w:tcW w:w="3200" w:type="dxa"/>
            <w:tcBorders>
              <w:top w:val="nil"/>
              <w:left w:val="nil"/>
              <w:bottom w:val="single" w:sz="8" w:space="0" w:color="auto"/>
              <w:right w:val="single" w:sz="8" w:space="0" w:color="auto"/>
            </w:tcBorders>
            <w:vAlign w:val="center"/>
          </w:tcPr>
          <w:p w:rsidR="00415612" w:rsidRPr="00A2720B" w:rsidRDefault="00415612">
            <w:pPr>
              <w:jc w:val="center"/>
              <w:rPr>
                <w:rFonts w:ascii="Arial" w:hAnsi="Arial" w:cs="Arial"/>
                <w:b/>
                <w:bCs/>
                <w:color w:val="000000"/>
                <w:sz w:val="20"/>
                <w:lang w:eastAsia="es-ES"/>
              </w:rPr>
            </w:pPr>
            <w:r w:rsidRPr="00A2720B">
              <w:rPr>
                <w:rFonts w:ascii="Arial" w:hAnsi="Arial" w:cs="Arial"/>
                <w:b/>
                <w:bCs/>
                <w:color w:val="000000"/>
                <w:sz w:val="20"/>
                <w:lang w:eastAsia="es-ES"/>
              </w:rPr>
              <w:t>EUR amount</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1</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01 Non-repayable grant</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sz w:val="20"/>
              </w:rPr>
              <w:t>19.691.658</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2</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01 Non-repayable grant</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2720B">
              <w:rPr>
                <w:rFonts w:ascii="Arial" w:hAnsi="Arial" w:cs="Arial"/>
                <w:color w:val="000000"/>
                <w:sz w:val="20"/>
              </w:rPr>
              <w:t>45.472.376</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3</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01 Non-repayable grant</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2720B">
              <w:rPr>
                <w:rFonts w:ascii="Arial" w:hAnsi="Arial" w:cs="Arial"/>
                <w:color w:val="000000"/>
                <w:sz w:val="20"/>
              </w:rPr>
              <w:t>17.708.524</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4</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01 Non-repayable grant</w:t>
            </w:r>
          </w:p>
        </w:tc>
        <w:tc>
          <w:tcPr>
            <w:tcW w:w="3200" w:type="dxa"/>
            <w:tcBorders>
              <w:top w:val="nil"/>
              <w:left w:val="nil"/>
              <w:bottom w:val="single" w:sz="8" w:space="0" w:color="auto"/>
              <w:right w:val="single" w:sz="8" w:space="0" w:color="auto"/>
            </w:tcBorders>
            <w:shd w:val="clear" w:color="auto" w:fill="D9D9D9"/>
            <w:vAlign w:val="center"/>
          </w:tcPr>
          <w:p w:rsidR="00415612" w:rsidRPr="00A2720B" w:rsidRDefault="00415612">
            <w:pPr>
              <w:jc w:val="left"/>
              <w:rPr>
                <w:rFonts w:ascii="Arial" w:hAnsi="Arial" w:cs="Arial"/>
                <w:color w:val="000000"/>
                <w:sz w:val="20"/>
                <w:lang w:eastAsia="es-ES"/>
              </w:rPr>
            </w:pPr>
            <w:r w:rsidRPr="00A2720B">
              <w:rPr>
                <w:rFonts w:ascii="Arial" w:hAnsi="Arial" w:cs="Arial"/>
                <w:color w:val="000000"/>
                <w:sz w:val="20"/>
              </w:rPr>
              <w:t>9.775.995</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5</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01 Non-repayable grant</w:t>
            </w:r>
          </w:p>
        </w:tc>
        <w:tc>
          <w:tcPr>
            <w:tcW w:w="3200" w:type="dxa"/>
            <w:tcBorders>
              <w:top w:val="nil"/>
              <w:left w:val="nil"/>
              <w:bottom w:val="single" w:sz="8" w:space="0" w:color="auto"/>
              <w:right w:val="single" w:sz="8" w:space="0" w:color="auto"/>
            </w:tcBorders>
            <w:shd w:val="clear" w:color="auto" w:fill="F2F2F2"/>
            <w:vAlign w:val="center"/>
          </w:tcPr>
          <w:p w:rsidR="00415612" w:rsidRPr="00A2720B" w:rsidRDefault="00415612">
            <w:pPr>
              <w:jc w:val="left"/>
              <w:rPr>
                <w:rFonts w:ascii="Arial" w:hAnsi="Arial" w:cs="Arial"/>
                <w:color w:val="000000"/>
                <w:sz w:val="20"/>
                <w:lang w:eastAsia="es-ES"/>
              </w:rPr>
            </w:pPr>
            <w:r w:rsidRPr="00AB3E6F">
              <w:rPr>
                <w:rFonts w:ascii="Arial" w:hAnsi="Arial" w:cs="Arial"/>
                <w:sz w:val="20"/>
              </w:rPr>
              <w:t>6.508.063</w:t>
            </w:r>
          </w:p>
        </w:tc>
      </w:tr>
      <w:tr w:rsidR="00415612" w:rsidRPr="00304864" w:rsidTr="00A961B0">
        <w:trPr>
          <w:trHeight w:val="660"/>
          <w:jc w:val="center"/>
        </w:trPr>
        <w:tc>
          <w:tcPr>
            <w:tcW w:w="1240" w:type="dxa"/>
            <w:tcBorders>
              <w:top w:val="nil"/>
              <w:left w:val="nil"/>
              <w:bottom w:val="nil"/>
              <w:right w:val="nil"/>
            </w:tcBorders>
            <w:noWrap/>
            <w:vAlign w:val="center"/>
          </w:tcPr>
          <w:p w:rsidR="00415612" w:rsidRPr="00304864" w:rsidRDefault="00415612">
            <w:pPr>
              <w:rPr>
                <w:rFonts w:ascii="Arial" w:hAnsi="Arial" w:cs="Arial"/>
                <w:color w:val="000000"/>
                <w:szCs w:val="22"/>
                <w:lang w:eastAsia="es-ES"/>
              </w:rPr>
            </w:pPr>
          </w:p>
        </w:tc>
        <w:tc>
          <w:tcPr>
            <w:tcW w:w="3840" w:type="dxa"/>
            <w:tcBorders>
              <w:top w:val="nil"/>
              <w:left w:val="nil"/>
              <w:bottom w:val="nil"/>
              <w:right w:val="nil"/>
            </w:tcBorders>
            <w:noWrap/>
            <w:vAlign w:val="bottom"/>
          </w:tcPr>
          <w:p w:rsidR="00415612" w:rsidRPr="00304864" w:rsidRDefault="00415612">
            <w:pPr>
              <w:jc w:val="left"/>
              <w:rPr>
                <w:rFonts w:ascii="Arial" w:hAnsi="Arial" w:cs="Arial"/>
                <w:color w:val="000000"/>
                <w:szCs w:val="22"/>
                <w:lang w:eastAsia="es-ES"/>
              </w:rPr>
            </w:pPr>
          </w:p>
        </w:tc>
        <w:tc>
          <w:tcPr>
            <w:tcW w:w="3200" w:type="dxa"/>
            <w:tcBorders>
              <w:top w:val="nil"/>
              <w:left w:val="nil"/>
              <w:bottom w:val="nil"/>
              <w:right w:val="nil"/>
            </w:tcBorders>
            <w:noWrap/>
            <w:vAlign w:val="bottom"/>
          </w:tcPr>
          <w:p w:rsidR="00415612" w:rsidRPr="00304864" w:rsidRDefault="00415612">
            <w:pPr>
              <w:jc w:val="left"/>
              <w:rPr>
                <w:rFonts w:ascii="Arial" w:hAnsi="Arial" w:cs="Arial"/>
                <w:color w:val="000000"/>
                <w:szCs w:val="22"/>
                <w:lang w:eastAsia="es-ES"/>
              </w:rPr>
            </w:pPr>
          </w:p>
        </w:tc>
      </w:tr>
      <w:tr w:rsidR="00415612" w:rsidRPr="00304864" w:rsidTr="00A961B0">
        <w:trPr>
          <w:trHeight w:val="660"/>
          <w:jc w:val="center"/>
        </w:trPr>
        <w:tc>
          <w:tcPr>
            <w:tcW w:w="8280" w:type="dxa"/>
            <w:gridSpan w:val="3"/>
            <w:tcBorders>
              <w:top w:val="single" w:sz="8" w:space="0" w:color="auto"/>
              <w:left w:val="single" w:sz="8" w:space="0" w:color="auto"/>
              <w:bottom w:val="single" w:sz="4" w:space="0" w:color="auto"/>
              <w:right w:val="single" w:sz="8" w:space="0" w:color="000000"/>
            </w:tcBorders>
            <w:vAlign w:val="center"/>
          </w:tcPr>
          <w:p w:rsidR="00415612" w:rsidRPr="00304864" w:rsidRDefault="00415612">
            <w:pPr>
              <w:rPr>
                <w:rFonts w:ascii="Arial" w:hAnsi="Arial" w:cs="Arial"/>
                <w:b/>
                <w:bCs/>
                <w:color w:val="000000"/>
                <w:sz w:val="20"/>
                <w:lang w:eastAsia="es-ES"/>
              </w:rPr>
            </w:pPr>
            <w:r w:rsidRPr="00304864">
              <w:rPr>
                <w:rFonts w:ascii="Arial" w:hAnsi="Arial" w:cs="Arial"/>
                <w:b/>
                <w:bCs/>
                <w:color w:val="000000"/>
                <w:sz w:val="20"/>
                <w:lang w:eastAsia="es-ES"/>
              </w:rPr>
              <w:t>Table 8: Dimension 3: Territory type</w:t>
            </w:r>
          </w:p>
        </w:tc>
      </w:tr>
      <w:tr w:rsidR="00415612" w:rsidRPr="00304864" w:rsidTr="00A961B0">
        <w:trPr>
          <w:trHeight w:val="660"/>
          <w:jc w:val="center"/>
        </w:trPr>
        <w:tc>
          <w:tcPr>
            <w:tcW w:w="1240" w:type="dxa"/>
            <w:tcBorders>
              <w:top w:val="single" w:sz="4" w:space="0" w:color="auto"/>
              <w:left w:val="single" w:sz="4" w:space="0" w:color="auto"/>
              <w:bottom w:val="single" w:sz="4" w:space="0" w:color="auto"/>
              <w:right w:val="single" w:sz="4"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Priority Axis</w:t>
            </w:r>
          </w:p>
        </w:tc>
        <w:tc>
          <w:tcPr>
            <w:tcW w:w="3840" w:type="dxa"/>
            <w:tcBorders>
              <w:top w:val="single" w:sz="4" w:space="0" w:color="auto"/>
              <w:left w:val="single" w:sz="4" w:space="0" w:color="auto"/>
              <w:bottom w:val="single" w:sz="4" w:space="0" w:color="auto"/>
              <w:right w:val="single" w:sz="4"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Code</w:t>
            </w:r>
          </w:p>
        </w:tc>
        <w:tc>
          <w:tcPr>
            <w:tcW w:w="3200" w:type="dxa"/>
            <w:tcBorders>
              <w:top w:val="single" w:sz="4" w:space="0" w:color="auto"/>
              <w:left w:val="single" w:sz="4" w:space="0" w:color="auto"/>
              <w:bottom w:val="single" w:sz="4" w:space="0" w:color="auto"/>
              <w:right w:val="single" w:sz="4"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 amount</w:t>
            </w:r>
          </w:p>
        </w:tc>
      </w:tr>
      <w:tr w:rsidR="00415612" w:rsidRPr="00304864" w:rsidTr="00A90DA2">
        <w:trPr>
          <w:trHeight w:val="660"/>
          <w:jc w:val="center"/>
        </w:trPr>
        <w:tc>
          <w:tcPr>
            <w:tcW w:w="1240" w:type="dxa"/>
            <w:vMerge w:val="restart"/>
            <w:tcBorders>
              <w:top w:val="single" w:sz="4" w:space="0" w:color="auto"/>
              <w:left w:val="single" w:sz="8" w:space="0" w:color="auto"/>
              <w:bottom w:val="single" w:sz="8" w:space="0" w:color="000000"/>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1</w:t>
            </w:r>
          </w:p>
        </w:tc>
        <w:tc>
          <w:tcPr>
            <w:tcW w:w="3840" w:type="dxa"/>
            <w:tcBorders>
              <w:top w:val="single" w:sz="4" w:space="0" w:color="auto"/>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01 Large Urban areas (densely populated &gt; 50 000 population)</w:t>
            </w:r>
          </w:p>
        </w:tc>
        <w:tc>
          <w:tcPr>
            <w:tcW w:w="3200" w:type="dxa"/>
            <w:tcBorders>
              <w:top w:val="single" w:sz="4" w:space="0" w:color="auto"/>
              <w:left w:val="nil"/>
              <w:bottom w:val="single" w:sz="8" w:space="0" w:color="auto"/>
              <w:right w:val="single" w:sz="8" w:space="0" w:color="auto"/>
            </w:tcBorders>
            <w:shd w:val="clear" w:color="auto" w:fill="F2F2F2"/>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 xml:space="preserve">17.722.492 </w:t>
            </w:r>
          </w:p>
        </w:tc>
      </w:tr>
      <w:tr w:rsidR="00415612" w:rsidRPr="00304864" w:rsidTr="00A90DA2">
        <w:trPr>
          <w:trHeight w:val="660"/>
          <w:jc w:val="center"/>
        </w:trPr>
        <w:tc>
          <w:tcPr>
            <w:tcW w:w="1240" w:type="dxa"/>
            <w:vMerge/>
            <w:tcBorders>
              <w:top w:val="nil"/>
              <w:left w:val="single" w:sz="8" w:space="0" w:color="auto"/>
              <w:bottom w:val="single" w:sz="8" w:space="0" w:color="000000"/>
              <w:right w:val="single" w:sz="8" w:space="0" w:color="auto"/>
            </w:tcBorders>
            <w:shd w:val="clear" w:color="auto" w:fill="F2F2F2"/>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02 Small Urban areas (intermediate density &gt; 5 000 population)</w:t>
            </w:r>
          </w:p>
        </w:tc>
        <w:tc>
          <w:tcPr>
            <w:tcW w:w="3200" w:type="dxa"/>
            <w:tcBorders>
              <w:top w:val="nil"/>
              <w:left w:val="nil"/>
              <w:bottom w:val="single" w:sz="8" w:space="0" w:color="auto"/>
              <w:right w:val="single" w:sz="8" w:space="0" w:color="auto"/>
            </w:tcBorders>
            <w:shd w:val="clear" w:color="auto" w:fill="F2F2F2"/>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 xml:space="preserve">1.969.166 </w:t>
            </w:r>
          </w:p>
        </w:tc>
      </w:tr>
      <w:tr w:rsidR="00415612" w:rsidRPr="00304864" w:rsidTr="00A90DA2">
        <w:trPr>
          <w:trHeight w:val="660"/>
          <w:jc w:val="center"/>
        </w:trPr>
        <w:tc>
          <w:tcPr>
            <w:tcW w:w="1240" w:type="dxa"/>
            <w:vMerge w:val="restart"/>
            <w:tcBorders>
              <w:top w:val="nil"/>
              <w:left w:val="single" w:sz="8" w:space="0" w:color="auto"/>
              <w:bottom w:val="single" w:sz="8" w:space="0" w:color="000000"/>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2</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01 Large Urban areas (densely populated &gt; 50 000 population</w:t>
            </w:r>
          </w:p>
        </w:tc>
        <w:tc>
          <w:tcPr>
            <w:tcW w:w="3200" w:type="dxa"/>
            <w:tcBorders>
              <w:top w:val="nil"/>
              <w:left w:val="nil"/>
              <w:bottom w:val="single" w:sz="8" w:space="0" w:color="auto"/>
              <w:right w:val="single" w:sz="8" w:space="0" w:color="auto"/>
            </w:tcBorders>
            <w:shd w:val="clear" w:color="auto" w:fill="D9D9D9"/>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13.641.713</w:t>
            </w:r>
          </w:p>
        </w:tc>
      </w:tr>
      <w:tr w:rsidR="00415612" w:rsidRPr="00304864" w:rsidTr="00A90DA2">
        <w:trPr>
          <w:trHeight w:val="660"/>
          <w:jc w:val="center"/>
        </w:trPr>
        <w:tc>
          <w:tcPr>
            <w:tcW w:w="1240" w:type="dxa"/>
            <w:vMerge/>
            <w:tcBorders>
              <w:top w:val="nil"/>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02 Small Urban areas (intermediate density &gt; 5 000 population)</w:t>
            </w:r>
          </w:p>
        </w:tc>
        <w:tc>
          <w:tcPr>
            <w:tcW w:w="3200" w:type="dxa"/>
            <w:tcBorders>
              <w:top w:val="nil"/>
              <w:left w:val="nil"/>
              <w:bottom w:val="single" w:sz="8" w:space="0" w:color="auto"/>
              <w:right w:val="single" w:sz="8" w:space="0" w:color="auto"/>
            </w:tcBorders>
            <w:shd w:val="clear" w:color="auto" w:fill="D9D9D9"/>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 xml:space="preserve">22.736.188 </w:t>
            </w:r>
          </w:p>
        </w:tc>
      </w:tr>
      <w:tr w:rsidR="00415612" w:rsidRPr="00304864" w:rsidTr="00A90DA2">
        <w:trPr>
          <w:trHeight w:val="660"/>
          <w:jc w:val="center"/>
        </w:trPr>
        <w:tc>
          <w:tcPr>
            <w:tcW w:w="1240" w:type="dxa"/>
            <w:vMerge/>
            <w:tcBorders>
              <w:top w:val="nil"/>
              <w:left w:val="single" w:sz="8" w:space="0" w:color="auto"/>
              <w:bottom w:val="single" w:sz="8" w:space="0" w:color="000000"/>
              <w:right w:val="single" w:sz="8" w:space="0" w:color="auto"/>
            </w:tcBorders>
            <w:shd w:val="clear" w:color="auto" w:fill="D9D9D9"/>
            <w:vAlign w:val="center"/>
          </w:tcPr>
          <w:p w:rsidR="00415612" w:rsidRPr="003D2DCB" w:rsidRDefault="00415612">
            <w:pPr>
              <w:jc w:val="left"/>
              <w:rPr>
                <w:rFonts w:ascii="Arial" w:hAnsi="Arial" w:cs="Arial"/>
                <w:b/>
                <w:bCs/>
                <w:color w:val="000000"/>
                <w:sz w:val="20"/>
                <w:lang w:eastAsia="es-ES"/>
              </w:rPr>
            </w:pP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03 Rural areas (thinly populated)</w:t>
            </w:r>
          </w:p>
        </w:tc>
        <w:tc>
          <w:tcPr>
            <w:tcW w:w="3200" w:type="dxa"/>
            <w:tcBorders>
              <w:top w:val="nil"/>
              <w:left w:val="nil"/>
              <w:bottom w:val="single" w:sz="8" w:space="0" w:color="auto"/>
              <w:right w:val="single" w:sz="8" w:space="0" w:color="auto"/>
            </w:tcBorders>
            <w:shd w:val="clear" w:color="auto" w:fill="D9D9D9"/>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 xml:space="preserve">9.094.475 </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3</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 xml:space="preserve">01 Large Urban areas (densely populated &gt; 50 000 population) </w:t>
            </w:r>
          </w:p>
        </w:tc>
        <w:tc>
          <w:tcPr>
            <w:tcW w:w="3200" w:type="dxa"/>
            <w:tcBorders>
              <w:top w:val="nil"/>
              <w:left w:val="nil"/>
              <w:bottom w:val="single" w:sz="8" w:space="0" w:color="auto"/>
              <w:right w:val="single" w:sz="8" w:space="0" w:color="auto"/>
            </w:tcBorders>
            <w:shd w:val="clear" w:color="auto" w:fill="F2F2F2"/>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 xml:space="preserve">17.708.524 </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4</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04 Macro-regional strategies</w:t>
            </w:r>
          </w:p>
        </w:tc>
        <w:tc>
          <w:tcPr>
            <w:tcW w:w="3200" w:type="dxa"/>
            <w:tcBorders>
              <w:top w:val="nil"/>
              <w:left w:val="nil"/>
              <w:bottom w:val="single" w:sz="8" w:space="0" w:color="auto"/>
              <w:right w:val="single" w:sz="8" w:space="0" w:color="auto"/>
            </w:tcBorders>
            <w:shd w:val="clear" w:color="auto" w:fill="D9D9D9"/>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 xml:space="preserve">9.775.995 </w:t>
            </w:r>
          </w:p>
        </w:tc>
      </w:tr>
      <w:tr w:rsidR="00415612" w:rsidRPr="00304864" w:rsidTr="00A30AEC">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5</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07 Not applicable</w:t>
            </w:r>
          </w:p>
        </w:tc>
        <w:tc>
          <w:tcPr>
            <w:tcW w:w="3200" w:type="dxa"/>
            <w:tcBorders>
              <w:top w:val="nil"/>
              <w:left w:val="nil"/>
              <w:bottom w:val="single" w:sz="8" w:space="0" w:color="auto"/>
              <w:right w:val="single" w:sz="8" w:space="0" w:color="auto"/>
            </w:tcBorders>
            <w:shd w:val="clear" w:color="auto" w:fill="F2F2F2"/>
            <w:vAlign w:val="center"/>
          </w:tcPr>
          <w:p w:rsidR="00415612" w:rsidRPr="00693E73" w:rsidRDefault="00415612">
            <w:pPr>
              <w:jc w:val="left"/>
              <w:rPr>
                <w:rFonts w:ascii="Arial" w:hAnsi="Arial" w:cs="Arial"/>
                <w:color w:val="000000"/>
                <w:sz w:val="20"/>
                <w:lang w:eastAsia="es-ES"/>
              </w:rPr>
            </w:pPr>
            <w:r w:rsidRPr="00AB3E6F">
              <w:rPr>
                <w:rFonts w:ascii="Arial" w:hAnsi="Arial" w:cs="Arial"/>
                <w:color w:val="000000"/>
                <w:sz w:val="20"/>
              </w:rPr>
              <w:t xml:space="preserve">6.508.063 </w:t>
            </w:r>
          </w:p>
        </w:tc>
      </w:tr>
      <w:tr w:rsidR="00415612" w:rsidRPr="00304864" w:rsidTr="00A961B0">
        <w:trPr>
          <w:trHeight w:val="660"/>
          <w:jc w:val="center"/>
        </w:trPr>
        <w:tc>
          <w:tcPr>
            <w:tcW w:w="1240" w:type="dxa"/>
            <w:tcBorders>
              <w:top w:val="nil"/>
              <w:left w:val="nil"/>
              <w:bottom w:val="nil"/>
              <w:right w:val="nil"/>
            </w:tcBorders>
            <w:noWrap/>
            <w:vAlign w:val="center"/>
          </w:tcPr>
          <w:p w:rsidR="00415612" w:rsidRPr="00304864" w:rsidRDefault="00415612">
            <w:pPr>
              <w:rPr>
                <w:rFonts w:ascii="Arial" w:hAnsi="Arial" w:cs="Arial"/>
                <w:color w:val="000000"/>
                <w:sz w:val="20"/>
                <w:lang w:eastAsia="es-ES"/>
              </w:rPr>
            </w:pPr>
          </w:p>
        </w:tc>
        <w:tc>
          <w:tcPr>
            <w:tcW w:w="3840" w:type="dxa"/>
            <w:tcBorders>
              <w:top w:val="nil"/>
              <w:left w:val="nil"/>
              <w:bottom w:val="nil"/>
              <w:right w:val="nil"/>
            </w:tcBorders>
            <w:noWrap/>
            <w:vAlign w:val="bottom"/>
          </w:tcPr>
          <w:p w:rsidR="00415612" w:rsidRPr="00304864" w:rsidRDefault="00415612">
            <w:pPr>
              <w:jc w:val="left"/>
              <w:rPr>
                <w:rFonts w:ascii="Arial" w:hAnsi="Arial" w:cs="Arial"/>
                <w:color w:val="000000"/>
                <w:sz w:val="20"/>
                <w:lang w:eastAsia="es-ES"/>
              </w:rPr>
            </w:pPr>
          </w:p>
        </w:tc>
        <w:tc>
          <w:tcPr>
            <w:tcW w:w="3200" w:type="dxa"/>
            <w:tcBorders>
              <w:top w:val="nil"/>
              <w:left w:val="nil"/>
              <w:bottom w:val="nil"/>
              <w:right w:val="nil"/>
            </w:tcBorders>
            <w:noWrap/>
            <w:vAlign w:val="bottom"/>
          </w:tcPr>
          <w:p w:rsidR="00415612" w:rsidRPr="00304864" w:rsidRDefault="00415612">
            <w:pPr>
              <w:jc w:val="left"/>
              <w:rPr>
                <w:rFonts w:ascii="Arial" w:hAnsi="Arial" w:cs="Arial"/>
                <w:color w:val="000000"/>
                <w:sz w:val="20"/>
                <w:lang w:eastAsia="es-ES"/>
              </w:rPr>
            </w:pPr>
          </w:p>
        </w:tc>
      </w:tr>
      <w:tr w:rsidR="00415612" w:rsidRPr="00304864" w:rsidTr="00A961B0">
        <w:trPr>
          <w:trHeight w:val="660"/>
          <w:jc w:val="center"/>
        </w:trPr>
        <w:tc>
          <w:tcPr>
            <w:tcW w:w="8280" w:type="dxa"/>
            <w:gridSpan w:val="3"/>
            <w:tcBorders>
              <w:top w:val="single" w:sz="8" w:space="0" w:color="auto"/>
              <w:left w:val="single" w:sz="8" w:space="0" w:color="auto"/>
              <w:bottom w:val="single" w:sz="8" w:space="0" w:color="auto"/>
              <w:right w:val="single" w:sz="8" w:space="0" w:color="000000"/>
            </w:tcBorders>
            <w:vAlign w:val="center"/>
          </w:tcPr>
          <w:p w:rsidR="00415612" w:rsidRPr="00304864" w:rsidRDefault="00415612">
            <w:pPr>
              <w:rPr>
                <w:rFonts w:ascii="Arial" w:hAnsi="Arial" w:cs="Arial"/>
                <w:b/>
                <w:bCs/>
                <w:color w:val="000000"/>
                <w:sz w:val="20"/>
                <w:lang w:eastAsia="es-ES"/>
              </w:rPr>
            </w:pPr>
            <w:r w:rsidRPr="00304864">
              <w:rPr>
                <w:rFonts w:ascii="Arial" w:hAnsi="Arial" w:cs="Arial"/>
                <w:b/>
                <w:bCs/>
                <w:color w:val="000000"/>
                <w:sz w:val="20"/>
                <w:lang w:eastAsia="es-ES"/>
              </w:rPr>
              <w:t>Table 9: Dimension 6: Territorial delivery mechanisms</w:t>
            </w:r>
          </w:p>
        </w:tc>
      </w:tr>
      <w:tr w:rsidR="00415612" w:rsidRPr="00304864" w:rsidTr="00A961B0">
        <w:trPr>
          <w:trHeight w:val="660"/>
          <w:jc w:val="center"/>
        </w:trPr>
        <w:tc>
          <w:tcPr>
            <w:tcW w:w="1240" w:type="dxa"/>
            <w:tcBorders>
              <w:top w:val="nil"/>
              <w:left w:val="single" w:sz="8" w:space="0" w:color="auto"/>
              <w:bottom w:val="single" w:sz="8" w:space="0" w:color="auto"/>
              <w:right w:val="single" w:sz="8"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Priority Axis</w:t>
            </w:r>
          </w:p>
        </w:tc>
        <w:tc>
          <w:tcPr>
            <w:tcW w:w="3840" w:type="dxa"/>
            <w:tcBorders>
              <w:top w:val="nil"/>
              <w:left w:val="nil"/>
              <w:bottom w:val="single" w:sz="8" w:space="0" w:color="auto"/>
              <w:right w:val="single" w:sz="8"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Code</w:t>
            </w:r>
          </w:p>
        </w:tc>
        <w:tc>
          <w:tcPr>
            <w:tcW w:w="3200" w:type="dxa"/>
            <w:tcBorders>
              <w:top w:val="nil"/>
              <w:left w:val="nil"/>
              <w:bottom w:val="single" w:sz="8" w:space="0" w:color="auto"/>
              <w:right w:val="single" w:sz="8" w:space="0" w:color="auto"/>
            </w:tcBorders>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 amount</w:t>
            </w:r>
          </w:p>
        </w:tc>
      </w:tr>
      <w:tr w:rsidR="00415612" w:rsidRPr="00304864" w:rsidTr="008F7B62">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1</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07 Not applicable</w:t>
            </w:r>
          </w:p>
        </w:tc>
        <w:tc>
          <w:tcPr>
            <w:tcW w:w="3200" w:type="dxa"/>
            <w:tcBorders>
              <w:top w:val="nil"/>
              <w:left w:val="nil"/>
              <w:bottom w:val="single" w:sz="8" w:space="0" w:color="auto"/>
              <w:right w:val="single" w:sz="8" w:space="0" w:color="auto"/>
            </w:tcBorders>
            <w:shd w:val="clear" w:color="auto" w:fill="F2F2F2"/>
            <w:vAlign w:val="center"/>
          </w:tcPr>
          <w:p w:rsidR="00415612" w:rsidRPr="00693E73" w:rsidRDefault="00415612">
            <w:pPr>
              <w:jc w:val="left"/>
              <w:rPr>
                <w:rFonts w:ascii="Arial" w:hAnsi="Arial" w:cs="Arial"/>
                <w:color w:val="000000"/>
                <w:sz w:val="20"/>
                <w:lang w:eastAsia="es-ES"/>
              </w:rPr>
            </w:pPr>
            <w:r w:rsidRPr="00AB3E6F">
              <w:rPr>
                <w:rFonts w:ascii="Arial" w:hAnsi="Arial" w:cs="Arial"/>
                <w:sz w:val="20"/>
              </w:rPr>
              <w:t>19.691.658</w:t>
            </w:r>
          </w:p>
        </w:tc>
      </w:tr>
      <w:tr w:rsidR="00415612" w:rsidRPr="00304864" w:rsidTr="008F7B62">
        <w:trPr>
          <w:trHeight w:val="660"/>
          <w:jc w:val="center"/>
        </w:trPr>
        <w:tc>
          <w:tcPr>
            <w:tcW w:w="1240" w:type="dxa"/>
            <w:tcBorders>
              <w:top w:val="nil"/>
              <w:left w:val="single" w:sz="8" w:space="0" w:color="auto"/>
              <w:bottom w:val="single" w:sz="8" w:space="0" w:color="auto"/>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2</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07 Not applicable</w:t>
            </w:r>
          </w:p>
        </w:tc>
        <w:tc>
          <w:tcPr>
            <w:tcW w:w="3200" w:type="dxa"/>
            <w:tcBorders>
              <w:top w:val="nil"/>
              <w:left w:val="nil"/>
              <w:bottom w:val="single" w:sz="8" w:space="0" w:color="auto"/>
              <w:right w:val="single" w:sz="8" w:space="0" w:color="auto"/>
            </w:tcBorders>
            <w:shd w:val="clear" w:color="auto" w:fill="D9D9D9"/>
            <w:vAlign w:val="center"/>
          </w:tcPr>
          <w:p w:rsidR="00415612" w:rsidRPr="00693E73" w:rsidRDefault="00415612">
            <w:pPr>
              <w:jc w:val="left"/>
              <w:rPr>
                <w:rFonts w:ascii="Arial" w:hAnsi="Arial" w:cs="Arial"/>
                <w:color w:val="000000"/>
                <w:sz w:val="20"/>
                <w:lang w:eastAsia="es-ES"/>
              </w:rPr>
            </w:pPr>
            <w:r w:rsidRPr="00AB3E6F">
              <w:rPr>
                <w:rFonts w:ascii="Arial" w:hAnsi="Arial" w:cs="Arial"/>
                <w:sz w:val="20"/>
              </w:rPr>
              <w:t>45.472.376</w:t>
            </w:r>
          </w:p>
        </w:tc>
      </w:tr>
      <w:tr w:rsidR="00415612" w:rsidRPr="00304864" w:rsidTr="008F7B62">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3</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07 Not applicable</w:t>
            </w:r>
          </w:p>
        </w:tc>
        <w:tc>
          <w:tcPr>
            <w:tcW w:w="3200" w:type="dxa"/>
            <w:tcBorders>
              <w:top w:val="nil"/>
              <w:left w:val="nil"/>
              <w:bottom w:val="single" w:sz="8" w:space="0" w:color="auto"/>
              <w:right w:val="single" w:sz="8" w:space="0" w:color="auto"/>
            </w:tcBorders>
            <w:shd w:val="clear" w:color="auto" w:fill="F2F2F2"/>
            <w:vAlign w:val="center"/>
          </w:tcPr>
          <w:p w:rsidR="00415612" w:rsidRPr="00693E73" w:rsidRDefault="00415612">
            <w:pPr>
              <w:jc w:val="left"/>
              <w:rPr>
                <w:rFonts w:ascii="Arial" w:hAnsi="Arial" w:cs="Arial"/>
                <w:color w:val="000000"/>
                <w:sz w:val="20"/>
                <w:lang w:eastAsia="es-ES"/>
              </w:rPr>
            </w:pPr>
            <w:r w:rsidRPr="00AB3E6F">
              <w:rPr>
                <w:rFonts w:ascii="Arial" w:hAnsi="Arial" w:cs="Arial"/>
                <w:sz w:val="20"/>
              </w:rPr>
              <w:t>17.708.524</w:t>
            </w:r>
          </w:p>
        </w:tc>
      </w:tr>
      <w:tr w:rsidR="00415612" w:rsidRPr="00304864" w:rsidTr="008F7B62">
        <w:trPr>
          <w:trHeight w:val="660"/>
          <w:jc w:val="center"/>
        </w:trPr>
        <w:tc>
          <w:tcPr>
            <w:tcW w:w="1240" w:type="dxa"/>
            <w:tcBorders>
              <w:top w:val="nil"/>
              <w:left w:val="single" w:sz="8" w:space="0" w:color="auto"/>
              <w:bottom w:val="single" w:sz="8" w:space="0" w:color="auto"/>
              <w:right w:val="single" w:sz="8" w:space="0" w:color="auto"/>
            </w:tcBorders>
            <w:shd w:val="clear" w:color="auto" w:fill="D9D9D9"/>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4</w:t>
            </w:r>
          </w:p>
        </w:tc>
        <w:tc>
          <w:tcPr>
            <w:tcW w:w="3840" w:type="dxa"/>
            <w:tcBorders>
              <w:top w:val="nil"/>
              <w:left w:val="nil"/>
              <w:bottom w:val="single" w:sz="8" w:space="0" w:color="auto"/>
              <w:right w:val="single" w:sz="8" w:space="0" w:color="auto"/>
            </w:tcBorders>
            <w:shd w:val="clear" w:color="auto" w:fill="D9D9D9"/>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07 Not applicable</w:t>
            </w:r>
          </w:p>
        </w:tc>
        <w:tc>
          <w:tcPr>
            <w:tcW w:w="3200" w:type="dxa"/>
            <w:tcBorders>
              <w:top w:val="nil"/>
              <w:left w:val="nil"/>
              <w:bottom w:val="single" w:sz="8" w:space="0" w:color="auto"/>
              <w:right w:val="single" w:sz="8" w:space="0" w:color="auto"/>
            </w:tcBorders>
            <w:shd w:val="clear" w:color="auto" w:fill="D9D9D9"/>
            <w:vAlign w:val="center"/>
          </w:tcPr>
          <w:p w:rsidR="00415612" w:rsidRPr="00693E73" w:rsidRDefault="00415612">
            <w:pPr>
              <w:jc w:val="left"/>
              <w:rPr>
                <w:rFonts w:ascii="Arial" w:hAnsi="Arial" w:cs="Arial"/>
                <w:color w:val="000000"/>
                <w:sz w:val="20"/>
                <w:lang w:eastAsia="es-ES"/>
              </w:rPr>
            </w:pPr>
            <w:r w:rsidRPr="00AB3E6F">
              <w:rPr>
                <w:rFonts w:ascii="Arial" w:hAnsi="Arial" w:cs="Arial"/>
                <w:sz w:val="20"/>
              </w:rPr>
              <w:t>9.775.995</w:t>
            </w:r>
          </w:p>
        </w:tc>
      </w:tr>
      <w:tr w:rsidR="00415612" w:rsidRPr="00304864" w:rsidTr="008F7B62">
        <w:trPr>
          <w:trHeight w:val="660"/>
          <w:jc w:val="center"/>
        </w:trPr>
        <w:tc>
          <w:tcPr>
            <w:tcW w:w="1240" w:type="dxa"/>
            <w:tcBorders>
              <w:top w:val="nil"/>
              <w:left w:val="single" w:sz="8" w:space="0" w:color="auto"/>
              <w:bottom w:val="single" w:sz="8" w:space="0" w:color="auto"/>
              <w:right w:val="single" w:sz="8" w:space="0" w:color="auto"/>
            </w:tcBorders>
            <w:shd w:val="clear" w:color="auto" w:fill="F2F2F2"/>
            <w:vAlign w:val="center"/>
          </w:tcPr>
          <w:p w:rsidR="00415612" w:rsidRPr="003D2DCB" w:rsidRDefault="00415612">
            <w:pPr>
              <w:jc w:val="center"/>
              <w:rPr>
                <w:rFonts w:ascii="Arial" w:hAnsi="Arial" w:cs="Arial"/>
                <w:b/>
                <w:bCs/>
                <w:color w:val="000000"/>
                <w:sz w:val="20"/>
                <w:lang w:eastAsia="es-ES"/>
              </w:rPr>
            </w:pPr>
            <w:r w:rsidRPr="003D2DCB">
              <w:rPr>
                <w:rFonts w:ascii="Arial" w:hAnsi="Arial" w:cs="Arial"/>
                <w:b/>
                <w:bCs/>
                <w:color w:val="000000"/>
                <w:sz w:val="20"/>
                <w:lang w:eastAsia="es-ES"/>
              </w:rPr>
              <w:t>5</w:t>
            </w:r>
          </w:p>
        </w:tc>
        <w:tc>
          <w:tcPr>
            <w:tcW w:w="3840" w:type="dxa"/>
            <w:tcBorders>
              <w:top w:val="nil"/>
              <w:left w:val="nil"/>
              <w:bottom w:val="single" w:sz="8" w:space="0" w:color="auto"/>
              <w:right w:val="single" w:sz="8" w:space="0" w:color="auto"/>
            </w:tcBorders>
            <w:shd w:val="clear" w:color="auto" w:fill="F2F2F2"/>
            <w:vAlign w:val="center"/>
          </w:tcPr>
          <w:p w:rsidR="00415612" w:rsidRPr="003D2DCB" w:rsidRDefault="00415612">
            <w:pPr>
              <w:jc w:val="left"/>
              <w:rPr>
                <w:rFonts w:ascii="Arial" w:hAnsi="Arial" w:cs="Arial"/>
                <w:color w:val="000000"/>
                <w:sz w:val="20"/>
                <w:lang w:eastAsia="es-ES"/>
              </w:rPr>
            </w:pPr>
            <w:r w:rsidRPr="003D2DCB">
              <w:rPr>
                <w:rFonts w:ascii="Arial" w:hAnsi="Arial" w:cs="Arial"/>
                <w:color w:val="000000"/>
                <w:sz w:val="20"/>
                <w:lang w:eastAsia="es-ES"/>
              </w:rPr>
              <w:t>07 Not applicable</w:t>
            </w:r>
          </w:p>
        </w:tc>
        <w:tc>
          <w:tcPr>
            <w:tcW w:w="3200" w:type="dxa"/>
            <w:tcBorders>
              <w:top w:val="nil"/>
              <w:left w:val="nil"/>
              <w:bottom w:val="single" w:sz="8" w:space="0" w:color="auto"/>
              <w:right w:val="single" w:sz="8" w:space="0" w:color="auto"/>
            </w:tcBorders>
            <w:shd w:val="clear" w:color="auto" w:fill="F2F2F2"/>
            <w:vAlign w:val="center"/>
          </w:tcPr>
          <w:p w:rsidR="00415612" w:rsidRPr="003D2DCB" w:rsidRDefault="00415612">
            <w:pPr>
              <w:rPr>
                <w:rFonts w:ascii="Arial" w:hAnsi="Arial" w:cs="Arial"/>
                <w:color w:val="000000"/>
                <w:sz w:val="20"/>
                <w:lang w:eastAsia="es-ES"/>
              </w:rPr>
            </w:pPr>
            <w:r w:rsidRPr="00AB3E6F">
              <w:rPr>
                <w:rFonts w:ascii="Arial" w:hAnsi="Arial" w:cs="Arial"/>
                <w:sz w:val="20"/>
              </w:rPr>
              <w:t>6.508.063</w:t>
            </w:r>
          </w:p>
        </w:tc>
      </w:tr>
    </w:tbl>
    <w:p w:rsidR="00DF4E40" w:rsidRPr="00304864" w:rsidRDefault="00DF4E40">
      <w:pPr>
        <w:pStyle w:val="Heading3"/>
        <w:spacing w:before="0" w:after="120"/>
        <w:ind w:left="0"/>
        <w:rPr>
          <w:rFonts w:ascii="Arial" w:hAnsi="Arial" w:cs="Arial"/>
          <w:b w:val="0"/>
          <w:i w:val="0"/>
          <w:noProof w:val="0"/>
          <w:color w:val="000000"/>
          <w:sz w:val="22"/>
          <w:szCs w:val="22"/>
          <w:lang w:eastAsia="es-ES"/>
        </w:rPr>
      </w:pPr>
    </w:p>
    <w:p w:rsidR="00DF4E40" w:rsidRPr="00304864" w:rsidRDefault="007142EE">
      <w:pPr>
        <w:pStyle w:val="Text3"/>
        <w:ind w:left="0"/>
        <w:rPr>
          <w:rFonts w:ascii="Arial" w:hAnsi="Arial" w:cs="Arial"/>
        </w:rPr>
      </w:pPr>
      <w:r>
        <w:rPr>
          <w:rFonts w:ascii="Arial" w:hAnsi="Arial" w:cs="Arial"/>
        </w:rPr>
        <w:br w:type="page"/>
      </w:r>
    </w:p>
    <w:p w:rsidR="00DF4E40" w:rsidRPr="00A30AEC" w:rsidRDefault="00DF4E40" w:rsidP="00A30AEC">
      <w:pPr>
        <w:autoSpaceDE w:val="0"/>
        <w:autoSpaceDN w:val="0"/>
        <w:adjustRightInd w:val="0"/>
        <w:rPr>
          <w:rFonts w:ascii="Arial" w:hAnsi="Arial" w:cs="Arial"/>
          <w:noProof/>
          <w:color w:val="002060"/>
          <w:sz w:val="22"/>
          <w:szCs w:val="22"/>
          <w:lang w:val="en-US"/>
        </w:rPr>
      </w:pPr>
      <w:bookmarkStart w:id="226" w:name="_Toc420652548"/>
      <w:r w:rsidRPr="00A30AEC">
        <w:rPr>
          <w:rFonts w:ascii="Arial" w:hAnsi="Arial" w:cs="Arial"/>
          <w:i/>
          <w:color w:val="002060"/>
          <w:sz w:val="22"/>
          <w:szCs w:val="22"/>
        </w:rPr>
        <w:t>2.A.9.A summary of the planned use of technical assistance</w:t>
      </w:r>
      <w:bookmarkEnd w:id="226"/>
      <w:r w:rsidR="00C463AF" w:rsidRPr="00A30AEC">
        <w:rPr>
          <w:rFonts w:ascii="Arial" w:hAnsi="Arial" w:cs="Arial"/>
          <w:i/>
          <w:color w:val="002060"/>
          <w:sz w:val="22"/>
          <w:szCs w:val="22"/>
        </w:rPr>
        <w:t xml:space="preserve"> including, where necessary, actions to reinforce the administrative capacity of authorities involved in the management and control of the programmes and beneficiaries and, where necessary, actions to enhance the administrative capacity of relevant partners to participate in the implementation of programmes</w:t>
      </w:r>
    </w:p>
    <w:p w:rsidR="00DF4E40" w:rsidRPr="00A30AEC" w:rsidRDefault="00DF4E40">
      <w:pPr>
        <w:pStyle w:val="Text1"/>
        <w:ind w:left="0"/>
        <w:rPr>
          <w:rFonts w:ascii="Arial" w:hAnsi="Arial" w:cs="Arial"/>
          <w:sz w:val="22"/>
          <w:szCs w:val="22"/>
        </w:rPr>
      </w:pPr>
      <w:r w:rsidRPr="00A30AEC">
        <w:rPr>
          <w:rFonts w:ascii="Arial" w:hAnsi="Arial" w:cs="Arial"/>
          <w:sz w:val="22"/>
          <w:szCs w:val="22"/>
        </w:rPr>
        <w:t>(Reference: point (b)(vi) of Article 8(2) of Regulation (EU) No 1299/2013)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7193"/>
      </w:tblGrid>
      <w:tr w:rsidR="00DF4E40" w:rsidRPr="00304864" w:rsidTr="00A30AEC">
        <w:trPr>
          <w:trHeight w:val="332"/>
        </w:trPr>
        <w:tc>
          <w:tcPr>
            <w:tcW w:w="2127"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PRIORITY AXIS</w:t>
            </w:r>
          </w:p>
        </w:tc>
        <w:tc>
          <w:tcPr>
            <w:tcW w:w="7193"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TECHNICAL ASSISTANCE</w:t>
            </w:r>
          </w:p>
        </w:tc>
      </w:tr>
      <w:tr w:rsidR="00DF4E40" w:rsidRPr="00304864" w:rsidTr="00A30AEC">
        <w:trPr>
          <w:trHeight w:val="667"/>
        </w:trPr>
        <w:tc>
          <w:tcPr>
            <w:tcW w:w="9320" w:type="dxa"/>
            <w:gridSpan w:val="2"/>
          </w:tcPr>
          <w:p w:rsidR="00DF4E40" w:rsidRPr="00304864" w:rsidRDefault="00DF4E40">
            <w:pPr>
              <w:rPr>
                <w:rFonts w:ascii="Arial" w:hAnsi="Arial" w:cs="Arial"/>
                <w:szCs w:val="22"/>
              </w:rPr>
            </w:pPr>
            <w:r w:rsidRPr="00304864">
              <w:rPr>
                <w:rFonts w:ascii="Arial" w:hAnsi="Arial" w:cs="Arial"/>
                <w:sz w:val="22"/>
                <w:szCs w:val="22"/>
              </w:rPr>
              <w:t>There is no action limited to improving the implementation capacity of one specific P</w:t>
            </w:r>
            <w:r w:rsidR="004A0CC2">
              <w:rPr>
                <w:rFonts w:ascii="Arial" w:hAnsi="Arial" w:cs="Arial"/>
                <w:sz w:val="22"/>
                <w:szCs w:val="22"/>
              </w:rPr>
              <w:t>A</w:t>
            </w:r>
            <w:r w:rsidRPr="00304864">
              <w:rPr>
                <w:rFonts w:ascii="Arial" w:hAnsi="Arial" w:cs="Arial"/>
                <w:sz w:val="22"/>
                <w:szCs w:val="22"/>
              </w:rPr>
              <w:t>. Actions of technical assistance concern all Priority Axes and are developed in section 2.B.</w:t>
            </w:r>
          </w:p>
        </w:tc>
      </w:tr>
    </w:tbl>
    <w:p w:rsidR="00DF4E40" w:rsidRPr="00304864" w:rsidRDefault="00DF4E40">
      <w:pPr>
        <w:pStyle w:val="Heading3"/>
        <w:spacing w:before="0" w:after="120"/>
        <w:ind w:left="0"/>
        <w:rPr>
          <w:rFonts w:ascii="Arial" w:hAnsi="Arial" w:cs="Arial"/>
          <w:color w:val="000000"/>
          <w:sz w:val="22"/>
          <w:szCs w:val="22"/>
          <w:lang w:eastAsia="es-ES"/>
        </w:rPr>
      </w:pPr>
      <w:bookmarkStart w:id="227" w:name="_Toc365660132"/>
      <w:bookmarkStart w:id="228" w:name="_Toc366097042"/>
      <w:bookmarkStart w:id="229" w:name="_Toc377402572"/>
    </w:p>
    <w:p w:rsidR="00DF4E40" w:rsidRPr="00304864" w:rsidRDefault="00DF4E40">
      <w:pPr>
        <w:pStyle w:val="Heading3"/>
        <w:spacing w:before="0" w:after="120"/>
        <w:ind w:left="0"/>
        <w:rPr>
          <w:rFonts w:ascii="Arial" w:hAnsi="Arial" w:cs="Arial"/>
          <w:color w:val="000000"/>
          <w:sz w:val="22"/>
          <w:szCs w:val="22"/>
          <w:lang w:eastAsia="es-ES"/>
        </w:rPr>
      </w:pPr>
    </w:p>
    <w:p w:rsidR="00DF4E40" w:rsidRDefault="00DF4E40" w:rsidP="00A30AEC">
      <w:pPr>
        <w:pStyle w:val="Heading2"/>
        <w:spacing w:after="120"/>
      </w:pPr>
      <w:bookmarkStart w:id="230" w:name="_Toc420652549"/>
      <w:bookmarkStart w:id="231" w:name="_Toc421076901"/>
      <w:r w:rsidRPr="00304864">
        <w:t>2.B.</w:t>
      </w:r>
      <w:r w:rsidRPr="00304864">
        <w:tab/>
        <w:t>Description of the priority axis for technical assistance</w:t>
      </w:r>
      <w:bookmarkEnd w:id="227"/>
      <w:bookmarkEnd w:id="228"/>
      <w:bookmarkEnd w:id="229"/>
      <w:bookmarkEnd w:id="230"/>
      <w:bookmarkEnd w:id="231"/>
    </w:p>
    <w:p w:rsidR="00C463AF" w:rsidRPr="00C71BD4" w:rsidRDefault="00C463AF" w:rsidP="00A30AEC">
      <w:pPr>
        <w:pStyle w:val="Text2"/>
        <w:ind w:left="0"/>
        <w:rPr>
          <w:rFonts w:ascii="Arial" w:hAnsi="Arial" w:cs="Arial"/>
          <w:sz w:val="22"/>
          <w:szCs w:val="22"/>
          <w:lang w:val="en-US" w:eastAsia="sv-SE"/>
        </w:rPr>
      </w:pPr>
      <w:r w:rsidRPr="00A30AEC">
        <w:rPr>
          <w:rFonts w:ascii="Arial" w:hAnsi="Arial" w:cs="Arial"/>
          <w:sz w:val="22"/>
          <w:szCs w:val="22"/>
          <w:lang w:val="en-US" w:eastAsia="it-IT"/>
        </w:rPr>
        <w:t>(Reference: point (c) of Article 8(2) of the ETC Regulation)</w:t>
      </w:r>
      <w:bookmarkStart w:id="232" w:name="_Toc420652550"/>
    </w:p>
    <w:p w:rsidR="00C463AF" w:rsidRDefault="00C463AF" w:rsidP="00A30AEC">
      <w:pPr>
        <w:pStyle w:val="Text2"/>
        <w:ind w:left="0"/>
        <w:rPr>
          <w:rFonts w:ascii="Arial" w:hAnsi="Arial" w:cs="Arial"/>
          <w:sz w:val="22"/>
          <w:szCs w:val="22"/>
          <w:lang w:val="en-US" w:eastAsia="sv-SE"/>
        </w:rPr>
      </w:pPr>
    </w:p>
    <w:p w:rsidR="00DF4E40" w:rsidRPr="00A30AEC" w:rsidRDefault="00DF4E40" w:rsidP="00A30AEC">
      <w:pPr>
        <w:pStyle w:val="Heading3"/>
        <w:spacing w:before="0" w:after="120"/>
        <w:ind w:left="0"/>
        <w:rPr>
          <w:rFonts w:ascii="Arial" w:hAnsi="Arial" w:cs="Arial"/>
          <w:b w:val="0"/>
          <w:color w:val="002060"/>
          <w:sz w:val="22"/>
          <w:szCs w:val="22"/>
        </w:rPr>
      </w:pPr>
      <w:bookmarkStart w:id="233" w:name="_Toc421076902"/>
      <w:r w:rsidRPr="00A30AEC">
        <w:rPr>
          <w:rFonts w:ascii="Arial" w:hAnsi="Arial" w:cs="Arial"/>
          <w:b w:val="0"/>
          <w:color w:val="002060"/>
          <w:sz w:val="22"/>
          <w:szCs w:val="22"/>
        </w:rPr>
        <w:t>2.B.1. Priority Axis 5</w:t>
      </w:r>
      <w:bookmarkEnd w:id="232"/>
      <w:bookmarkEnd w:id="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77"/>
      </w:tblGrid>
      <w:tr w:rsidR="00DF4E40" w:rsidRPr="00304864" w:rsidTr="00A30AEC">
        <w:tc>
          <w:tcPr>
            <w:tcW w:w="1809"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ID</w:t>
            </w:r>
          </w:p>
        </w:tc>
        <w:tc>
          <w:tcPr>
            <w:tcW w:w="7477" w:type="dxa"/>
            <w:shd w:val="clear" w:color="auto" w:fill="C6D9F1"/>
          </w:tcPr>
          <w:p w:rsidR="00DF4E40" w:rsidRPr="00A30AEC" w:rsidRDefault="00DF4E40">
            <w:pPr>
              <w:rPr>
                <w:rFonts w:ascii="Arial" w:hAnsi="Arial" w:cs="Arial"/>
                <w:b/>
                <w:szCs w:val="22"/>
              </w:rPr>
            </w:pPr>
            <w:r w:rsidRPr="00A30AEC">
              <w:rPr>
                <w:rFonts w:ascii="Arial" w:hAnsi="Arial" w:cs="Arial"/>
                <w:b/>
                <w:sz w:val="22"/>
                <w:szCs w:val="22"/>
              </w:rPr>
              <w:t>PRIORITY AXIS 5</w:t>
            </w:r>
          </w:p>
        </w:tc>
      </w:tr>
      <w:tr w:rsidR="00DF4E40" w:rsidRPr="00304864" w:rsidTr="00B42572">
        <w:tc>
          <w:tcPr>
            <w:tcW w:w="1809" w:type="dxa"/>
          </w:tcPr>
          <w:p w:rsidR="00DF4E40" w:rsidRPr="00304864" w:rsidRDefault="00DF4E40">
            <w:pPr>
              <w:rPr>
                <w:rFonts w:ascii="Arial" w:hAnsi="Arial" w:cs="Arial"/>
                <w:b/>
                <w:szCs w:val="22"/>
              </w:rPr>
            </w:pPr>
            <w:r w:rsidRPr="00304864">
              <w:rPr>
                <w:rFonts w:ascii="Arial" w:hAnsi="Arial" w:cs="Arial"/>
                <w:b/>
                <w:sz w:val="22"/>
                <w:szCs w:val="22"/>
              </w:rPr>
              <w:t>Title</w:t>
            </w:r>
          </w:p>
        </w:tc>
        <w:tc>
          <w:tcPr>
            <w:tcW w:w="7477" w:type="dxa"/>
          </w:tcPr>
          <w:p w:rsidR="00DF4E40" w:rsidRPr="00304864" w:rsidRDefault="00DF4E40">
            <w:pPr>
              <w:rPr>
                <w:rFonts w:ascii="Arial" w:hAnsi="Arial" w:cs="Arial"/>
                <w:b/>
                <w:szCs w:val="22"/>
              </w:rPr>
            </w:pPr>
            <w:r w:rsidRPr="00304864">
              <w:rPr>
                <w:rFonts w:ascii="Arial" w:hAnsi="Arial" w:cs="Arial"/>
                <w:b/>
                <w:sz w:val="22"/>
                <w:szCs w:val="22"/>
              </w:rPr>
              <w:t>Technical Assistance</w:t>
            </w:r>
          </w:p>
        </w:tc>
      </w:tr>
    </w:tbl>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Pr>
          <w:rFonts w:ascii="Arial" w:hAnsi="Arial" w:cs="Arial"/>
          <w:b w:val="0"/>
          <w:color w:val="002060"/>
          <w:sz w:val="22"/>
          <w:szCs w:val="22"/>
        </w:rPr>
      </w:pPr>
      <w:bookmarkStart w:id="234" w:name="_Toc420652551"/>
      <w:bookmarkStart w:id="235" w:name="_Toc421076903"/>
      <w:r w:rsidRPr="00A30AEC">
        <w:rPr>
          <w:rFonts w:ascii="Arial" w:hAnsi="Arial" w:cs="Arial"/>
          <w:b w:val="0"/>
          <w:color w:val="002060"/>
          <w:sz w:val="22"/>
          <w:szCs w:val="22"/>
        </w:rPr>
        <w:t>2.B.2. Fund and calculation basis for Union support</w:t>
      </w:r>
      <w:bookmarkEnd w:id="234"/>
      <w:bookmarkEnd w:id="2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946"/>
      </w:tblGrid>
      <w:tr w:rsidR="00DF4E40" w:rsidRPr="00304864" w:rsidTr="00A30AEC">
        <w:tc>
          <w:tcPr>
            <w:tcW w:w="2376" w:type="dxa"/>
            <w:vAlign w:val="center"/>
          </w:tcPr>
          <w:p w:rsidR="00DF4E40" w:rsidRPr="00304864" w:rsidRDefault="00DF4E40">
            <w:pPr>
              <w:pStyle w:val="Text3"/>
              <w:ind w:left="0"/>
              <w:rPr>
                <w:rFonts w:ascii="Arial" w:hAnsi="Arial" w:cs="Arial"/>
                <w:b/>
                <w:szCs w:val="22"/>
                <w:lang w:eastAsia="fr-BE"/>
              </w:rPr>
            </w:pPr>
            <w:r w:rsidRPr="00304864">
              <w:rPr>
                <w:rFonts w:ascii="Arial" w:hAnsi="Arial" w:cs="Arial"/>
                <w:b/>
                <w:sz w:val="22"/>
                <w:szCs w:val="22"/>
                <w:lang w:eastAsia="fr-BE"/>
              </w:rPr>
              <w:t>Fund</w:t>
            </w:r>
          </w:p>
        </w:tc>
        <w:tc>
          <w:tcPr>
            <w:tcW w:w="6946" w:type="dxa"/>
            <w:vAlign w:val="center"/>
          </w:tcPr>
          <w:p w:rsidR="00DF4E40" w:rsidRPr="00304864" w:rsidRDefault="00DF4E40">
            <w:pPr>
              <w:pStyle w:val="Text3"/>
              <w:ind w:left="0"/>
              <w:jc w:val="center"/>
              <w:rPr>
                <w:rFonts w:ascii="Arial" w:hAnsi="Arial" w:cs="Arial"/>
                <w:b/>
                <w:szCs w:val="22"/>
                <w:lang w:eastAsia="fr-BE"/>
              </w:rPr>
            </w:pPr>
            <w:r w:rsidRPr="00304864">
              <w:rPr>
                <w:rFonts w:ascii="Arial" w:hAnsi="Arial" w:cs="Arial"/>
                <w:b/>
                <w:sz w:val="22"/>
                <w:szCs w:val="22"/>
                <w:lang w:eastAsia="fr-BE"/>
              </w:rPr>
              <w:t>ERDF +IPA</w:t>
            </w:r>
          </w:p>
        </w:tc>
      </w:tr>
      <w:tr w:rsidR="00DF4E40" w:rsidRPr="00304864" w:rsidTr="00A30AEC">
        <w:tc>
          <w:tcPr>
            <w:tcW w:w="2376" w:type="dxa"/>
            <w:vAlign w:val="center"/>
          </w:tcPr>
          <w:p w:rsidR="00DF4E40" w:rsidRPr="00304864" w:rsidRDefault="00DF4E40">
            <w:pPr>
              <w:pStyle w:val="Text3"/>
              <w:ind w:left="0"/>
              <w:jc w:val="left"/>
              <w:rPr>
                <w:rFonts w:ascii="Arial" w:hAnsi="Arial" w:cs="Arial"/>
                <w:b/>
                <w:szCs w:val="22"/>
                <w:lang w:eastAsia="fr-BE"/>
              </w:rPr>
            </w:pPr>
            <w:r w:rsidRPr="00304864">
              <w:rPr>
                <w:rFonts w:ascii="Arial" w:hAnsi="Arial" w:cs="Arial"/>
                <w:b/>
                <w:sz w:val="22"/>
                <w:szCs w:val="22"/>
                <w:lang w:eastAsia="fr-BE"/>
              </w:rPr>
              <w:t xml:space="preserve">Calculation Basis </w:t>
            </w:r>
            <w:r w:rsidRPr="00304864">
              <w:rPr>
                <w:rFonts w:ascii="Arial" w:hAnsi="Arial" w:cs="Arial"/>
                <w:i/>
                <w:sz w:val="22"/>
                <w:szCs w:val="22"/>
                <w:lang w:eastAsia="fr-BE"/>
              </w:rPr>
              <w:t>(total eligible expenditure)</w:t>
            </w:r>
          </w:p>
        </w:tc>
        <w:tc>
          <w:tcPr>
            <w:tcW w:w="6946" w:type="dxa"/>
            <w:vAlign w:val="center"/>
          </w:tcPr>
          <w:p w:rsidR="00DF4E40" w:rsidRPr="00304864" w:rsidRDefault="00DF4E40">
            <w:pPr>
              <w:pStyle w:val="Text3"/>
              <w:ind w:left="0"/>
              <w:jc w:val="center"/>
              <w:rPr>
                <w:rFonts w:ascii="Arial" w:hAnsi="Arial" w:cs="Arial"/>
                <w:b/>
                <w:szCs w:val="22"/>
                <w:lang w:eastAsia="fr-BE"/>
              </w:rPr>
            </w:pPr>
            <w:r w:rsidRPr="00304864">
              <w:rPr>
                <w:rFonts w:ascii="Arial" w:hAnsi="Arial" w:cs="Arial"/>
                <w:sz w:val="22"/>
                <w:szCs w:val="22"/>
                <w:lang w:eastAsia="fr-BE"/>
              </w:rPr>
              <w:t xml:space="preserve">EUR </w:t>
            </w:r>
            <w:r w:rsidRPr="00A30AEC">
              <w:rPr>
                <w:rFonts w:ascii="Arial" w:hAnsi="Arial" w:cs="Arial"/>
                <w:color w:val="000000"/>
                <w:sz w:val="22"/>
                <w:szCs w:val="22"/>
              </w:rPr>
              <w:t>6.508.06</w:t>
            </w:r>
            <w:r w:rsidR="0091308C">
              <w:rPr>
                <w:rFonts w:ascii="Arial" w:hAnsi="Arial" w:cs="Arial"/>
                <w:color w:val="000000"/>
                <w:sz w:val="22"/>
                <w:szCs w:val="22"/>
              </w:rPr>
              <w:t>3</w:t>
            </w:r>
          </w:p>
        </w:tc>
      </w:tr>
    </w:tbl>
    <w:p w:rsidR="00DF4E40" w:rsidRDefault="00DF4E40">
      <w:pPr>
        <w:rPr>
          <w:rFonts w:ascii="Arial" w:hAnsi="Arial" w:cs="Arial"/>
          <w:sz w:val="22"/>
          <w:szCs w:val="22"/>
        </w:rPr>
      </w:pPr>
      <w:bookmarkStart w:id="236" w:name="_Toc365660133"/>
      <w:bookmarkStart w:id="237" w:name="_Toc366097043"/>
      <w:bookmarkStart w:id="238" w:name="_Toc377402573"/>
    </w:p>
    <w:p w:rsidR="007142EE" w:rsidRPr="00304864" w:rsidRDefault="007142EE">
      <w:pPr>
        <w:rPr>
          <w:rFonts w:ascii="Arial" w:hAnsi="Arial" w:cs="Arial"/>
          <w:sz w:val="22"/>
          <w:szCs w:val="22"/>
        </w:rPr>
      </w:pPr>
    </w:p>
    <w:p w:rsidR="00DF4E40" w:rsidRPr="00A30AEC" w:rsidRDefault="00DF4E40" w:rsidP="00A30AEC">
      <w:pPr>
        <w:pStyle w:val="Heading3"/>
        <w:spacing w:before="0" w:after="120"/>
        <w:ind w:left="0"/>
        <w:rPr>
          <w:rFonts w:ascii="Arial" w:hAnsi="Arial" w:cs="Arial"/>
          <w:b w:val="0"/>
          <w:color w:val="002060"/>
          <w:sz w:val="22"/>
          <w:szCs w:val="22"/>
        </w:rPr>
      </w:pPr>
      <w:bookmarkStart w:id="239" w:name="_Toc420652552"/>
      <w:bookmarkStart w:id="240" w:name="_Toc421076904"/>
      <w:r w:rsidRPr="00A30AEC">
        <w:rPr>
          <w:rFonts w:ascii="Arial" w:hAnsi="Arial" w:cs="Arial"/>
          <w:b w:val="0"/>
          <w:color w:val="002060"/>
          <w:sz w:val="22"/>
          <w:szCs w:val="22"/>
        </w:rPr>
        <w:t>2.B.3. Specific objectives and expected result</w:t>
      </w:r>
      <w:bookmarkEnd w:id="236"/>
      <w:bookmarkEnd w:id="237"/>
      <w:r w:rsidRPr="00A30AEC">
        <w:rPr>
          <w:rFonts w:ascii="Arial" w:hAnsi="Arial" w:cs="Arial"/>
          <w:b w:val="0"/>
          <w:color w:val="002060"/>
          <w:sz w:val="22"/>
          <w:szCs w:val="22"/>
        </w:rPr>
        <w:t>s</w:t>
      </w:r>
      <w:bookmarkEnd w:id="238"/>
      <w:bookmarkEnd w:id="239"/>
      <w:bookmarkEnd w:id="240"/>
    </w:p>
    <w:p w:rsidR="00DF4E40" w:rsidRPr="00A30AEC" w:rsidRDefault="00DF4E40">
      <w:pPr>
        <w:rPr>
          <w:rFonts w:ascii="Arial" w:hAnsi="Arial" w:cs="Arial"/>
          <w:sz w:val="22"/>
          <w:szCs w:val="22"/>
        </w:rPr>
      </w:pPr>
      <w:r w:rsidRPr="00A30AEC">
        <w:rPr>
          <w:rFonts w:ascii="Arial" w:hAnsi="Arial" w:cs="Arial"/>
          <w:sz w:val="22"/>
          <w:szCs w:val="22"/>
        </w:rPr>
        <w:t>(Reference: points (c)(i) and (ii)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68"/>
      </w:tblGrid>
      <w:tr w:rsidR="00DF4E40" w:rsidRPr="00304864" w:rsidTr="00B42572">
        <w:tc>
          <w:tcPr>
            <w:tcW w:w="2518"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ID</w:t>
            </w:r>
          </w:p>
        </w:tc>
        <w:tc>
          <w:tcPr>
            <w:tcW w:w="6768"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5.1</w:t>
            </w:r>
          </w:p>
        </w:tc>
      </w:tr>
      <w:tr w:rsidR="00DF4E40" w:rsidRPr="00304864" w:rsidTr="00B42572">
        <w:tc>
          <w:tcPr>
            <w:tcW w:w="2518" w:type="dxa"/>
          </w:tcPr>
          <w:p w:rsidR="00DF4E40" w:rsidRPr="00304864" w:rsidRDefault="00DF4E40">
            <w:pPr>
              <w:rPr>
                <w:rFonts w:ascii="Arial" w:hAnsi="Arial" w:cs="Arial"/>
                <w:b/>
                <w:szCs w:val="22"/>
              </w:rPr>
            </w:pPr>
            <w:r w:rsidRPr="00304864">
              <w:rPr>
                <w:rFonts w:ascii="Arial" w:hAnsi="Arial" w:cs="Arial"/>
                <w:b/>
                <w:sz w:val="22"/>
                <w:szCs w:val="22"/>
              </w:rPr>
              <w:t>Specific objective</w:t>
            </w:r>
          </w:p>
        </w:tc>
        <w:tc>
          <w:tcPr>
            <w:tcW w:w="6768" w:type="dxa"/>
          </w:tcPr>
          <w:p w:rsidR="00DF4E40" w:rsidRPr="00304864" w:rsidRDefault="00DF4E40">
            <w:pPr>
              <w:rPr>
                <w:rFonts w:ascii="Arial" w:hAnsi="Arial" w:cs="Arial"/>
                <w:b/>
                <w:szCs w:val="22"/>
              </w:rPr>
            </w:pPr>
            <w:r w:rsidRPr="00304864">
              <w:rPr>
                <w:rFonts w:ascii="Arial" w:hAnsi="Arial" w:cs="Arial"/>
                <w:b/>
                <w:sz w:val="22"/>
                <w:szCs w:val="22"/>
              </w:rPr>
              <w:t>To increase in efficiency and effectiveness the management and implementation of the cooperation programme</w:t>
            </w:r>
          </w:p>
        </w:tc>
      </w:tr>
      <w:tr w:rsidR="00DF4E40" w:rsidRPr="00304864" w:rsidTr="00B42572">
        <w:tc>
          <w:tcPr>
            <w:tcW w:w="2518" w:type="dxa"/>
            <w:tcBorders>
              <w:left w:val="nil"/>
              <w:right w:val="nil"/>
            </w:tcBorders>
          </w:tcPr>
          <w:p w:rsidR="00DF4E40" w:rsidRPr="00304864" w:rsidRDefault="00DF4E40">
            <w:pPr>
              <w:rPr>
                <w:rFonts w:ascii="Arial" w:hAnsi="Arial" w:cs="Arial"/>
                <w:b/>
                <w:szCs w:val="22"/>
              </w:rPr>
            </w:pPr>
          </w:p>
        </w:tc>
        <w:tc>
          <w:tcPr>
            <w:tcW w:w="6768" w:type="dxa"/>
            <w:tcBorders>
              <w:left w:val="nil"/>
              <w:right w:val="nil"/>
            </w:tcBorders>
          </w:tcPr>
          <w:p w:rsidR="00DF4E40" w:rsidRPr="00304864" w:rsidRDefault="00DF4E40">
            <w:pPr>
              <w:rPr>
                <w:rFonts w:ascii="Arial" w:hAnsi="Arial" w:cs="Arial"/>
                <w:i/>
                <w:szCs w:val="22"/>
              </w:rPr>
            </w:pPr>
          </w:p>
        </w:tc>
      </w:tr>
      <w:tr w:rsidR="00DF4E40" w:rsidRPr="00304864" w:rsidTr="00B42572">
        <w:tc>
          <w:tcPr>
            <w:tcW w:w="2518" w:type="dxa"/>
          </w:tcPr>
          <w:p w:rsidR="00DF4E40" w:rsidRPr="00304864" w:rsidRDefault="00DF4E40">
            <w:pPr>
              <w:rPr>
                <w:rFonts w:ascii="Arial" w:hAnsi="Arial" w:cs="Arial"/>
                <w:szCs w:val="22"/>
              </w:rPr>
            </w:pPr>
            <w:r w:rsidRPr="00304864">
              <w:rPr>
                <w:rFonts w:ascii="Arial" w:hAnsi="Arial" w:cs="Arial"/>
                <w:b/>
                <w:sz w:val="22"/>
                <w:szCs w:val="22"/>
              </w:rPr>
              <w:t>Expected results</w:t>
            </w:r>
          </w:p>
        </w:tc>
        <w:tc>
          <w:tcPr>
            <w:tcW w:w="6768" w:type="dxa"/>
          </w:tcPr>
          <w:p w:rsidR="00DF4E40" w:rsidRDefault="00DF4E40">
            <w:pPr>
              <w:rPr>
                <w:rFonts w:ascii="Arial" w:hAnsi="Arial" w:cs="Arial"/>
                <w:sz w:val="22"/>
                <w:szCs w:val="22"/>
              </w:rPr>
            </w:pPr>
            <w:r w:rsidRPr="00304864">
              <w:rPr>
                <w:rFonts w:ascii="Arial" w:hAnsi="Arial" w:cs="Arial"/>
                <w:sz w:val="22"/>
                <w:szCs w:val="22"/>
              </w:rPr>
              <w:t>A sound management of the transnational cooperation programme is the pre-condition for its effective implementation. The result expected within this SO is thus directly linked to the need of ensuring an adequate management and control environment of the programme, as described in Section 5.3, guaranteeing that all programme implementation steps (including the launch of calls, contracting, monitoring of operations and programme achievements, reimbursement of expenditure, etc.) are timely and properly executed.</w:t>
            </w:r>
          </w:p>
          <w:p w:rsidR="0051768E" w:rsidRPr="00304864" w:rsidRDefault="0051768E">
            <w:pPr>
              <w:rPr>
                <w:rFonts w:ascii="Arial" w:hAnsi="Arial" w:cs="Arial"/>
                <w:szCs w:val="22"/>
              </w:rPr>
            </w:pPr>
          </w:p>
          <w:p w:rsidR="00DF4E40" w:rsidRPr="00304864" w:rsidRDefault="00DF4E40">
            <w:pPr>
              <w:rPr>
                <w:rFonts w:ascii="Arial" w:hAnsi="Arial" w:cs="Arial"/>
                <w:b/>
                <w:szCs w:val="22"/>
              </w:rPr>
            </w:pPr>
            <w:r w:rsidRPr="00304864">
              <w:rPr>
                <w:rFonts w:ascii="Arial" w:hAnsi="Arial" w:cs="Arial"/>
                <w:b/>
                <w:sz w:val="22"/>
                <w:szCs w:val="22"/>
              </w:rPr>
              <w:t>Main change sought</w:t>
            </w:r>
          </w:p>
          <w:p w:rsidR="00DF4E40" w:rsidRPr="00304864" w:rsidRDefault="00DF4E40">
            <w:pPr>
              <w:rPr>
                <w:rFonts w:ascii="Arial" w:hAnsi="Arial" w:cs="Arial"/>
                <w:szCs w:val="22"/>
              </w:rPr>
            </w:pPr>
            <w:r w:rsidRPr="00304864">
              <w:rPr>
                <w:rFonts w:ascii="Arial" w:hAnsi="Arial" w:cs="Arial"/>
                <w:sz w:val="22"/>
                <w:szCs w:val="22"/>
              </w:rPr>
              <w:t>The ADRION Programme is a new transnational cooperation programme which can nonetheless refer to a wide range of experiences and lessons learnt from transnational and cross-border cooperation programmes implemented in the EU programming period 2007-2013, respectively, the M</w:t>
            </w:r>
            <w:r w:rsidR="003D2DCB">
              <w:rPr>
                <w:rFonts w:ascii="Arial" w:hAnsi="Arial" w:cs="Arial"/>
                <w:sz w:val="22"/>
                <w:szCs w:val="22"/>
              </w:rPr>
              <w:t>ED</w:t>
            </w:r>
            <w:r w:rsidRPr="00304864">
              <w:rPr>
                <w:rFonts w:ascii="Arial" w:hAnsi="Arial" w:cs="Arial"/>
                <w:sz w:val="22"/>
                <w:szCs w:val="22"/>
              </w:rPr>
              <w:t>, the SEE and the IPA CBC Adriatic programmes.</w:t>
            </w:r>
          </w:p>
          <w:p w:rsidR="00DF4E40" w:rsidRPr="00304864" w:rsidRDefault="00DF4E40">
            <w:pPr>
              <w:rPr>
                <w:rFonts w:ascii="Arial" w:hAnsi="Arial" w:cs="Arial"/>
                <w:szCs w:val="22"/>
              </w:rPr>
            </w:pPr>
            <w:r w:rsidRPr="00304864">
              <w:rPr>
                <w:rFonts w:ascii="Arial" w:hAnsi="Arial" w:cs="Arial"/>
                <w:sz w:val="22"/>
                <w:szCs w:val="22"/>
              </w:rPr>
              <w:t>In particular, the evaluation of the SEE in the 2007-2013 programming period observed that there were space for reducing the administrative burden in the framework of implementation.</w:t>
            </w:r>
          </w:p>
          <w:p w:rsidR="00DF4E40" w:rsidRPr="00304864" w:rsidRDefault="00DF4E40">
            <w:pPr>
              <w:rPr>
                <w:rFonts w:ascii="Arial" w:hAnsi="Arial" w:cs="Arial"/>
                <w:szCs w:val="22"/>
              </w:rPr>
            </w:pPr>
            <w:r w:rsidRPr="00304864">
              <w:rPr>
                <w:rFonts w:ascii="Arial" w:hAnsi="Arial" w:cs="Arial"/>
                <w:sz w:val="22"/>
                <w:szCs w:val="22"/>
              </w:rPr>
              <w:t>Accordingly, the change driven by the ADRION Programme mainly refers to further improving and streamlining administrative procedures for a faster and more efficient implementation of the Programme and an improvement of the support to beneficiaries, allowing better conditions for the submission of project proposals and better quality projects.</w:t>
            </w:r>
          </w:p>
        </w:tc>
      </w:tr>
    </w:tbl>
    <w:p w:rsidR="00DF4E40" w:rsidRPr="00A30AEC" w:rsidRDefault="00DF4E40">
      <w:pPr>
        <w:rPr>
          <w:rFonts w:ascii="Arial" w:hAnsi="Arial" w:cs="Arial"/>
          <w:color w:val="002060"/>
        </w:rPr>
      </w:pPr>
    </w:p>
    <w:p w:rsidR="00DF4E40" w:rsidRPr="00304864" w:rsidRDefault="00DF4E4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68"/>
      </w:tblGrid>
      <w:tr w:rsidR="00DF4E40" w:rsidRPr="00304864" w:rsidTr="00B42572">
        <w:tc>
          <w:tcPr>
            <w:tcW w:w="2518"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ID</w:t>
            </w:r>
          </w:p>
        </w:tc>
        <w:tc>
          <w:tcPr>
            <w:tcW w:w="6768"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5.2</w:t>
            </w:r>
          </w:p>
        </w:tc>
      </w:tr>
      <w:tr w:rsidR="00DF4E40" w:rsidRPr="00304864" w:rsidTr="00B42572">
        <w:tc>
          <w:tcPr>
            <w:tcW w:w="2518" w:type="dxa"/>
          </w:tcPr>
          <w:p w:rsidR="00DF4E40" w:rsidRPr="00304864" w:rsidRDefault="00DF4E40">
            <w:pPr>
              <w:rPr>
                <w:rFonts w:ascii="Arial" w:hAnsi="Arial" w:cs="Arial"/>
                <w:b/>
                <w:szCs w:val="22"/>
              </w:rPr>
            </w:pPr>
            <w:r w:rsidRPr="00304864">
              <w:rPr>
                <w:rFonts w:ascii="Arial" w:hAnsi="Arial" w:cs="Arial"/>
                <w:b/>
                <w:sz w:val="22"/>
                <w:szCs w:val="22"/>
              </w:rPr>
              <w:t>Specific objective</w:t>
            </w:r>
          </w:p>
        </w:tc>
        <w:tc>
          <w:tcPr>
            <w:tcW w:w="6768" w:type="dxa"/>
          </w:tcPr>
          <w:p w:rsidR="00DF4E40" w:rsidRPr="00304864" w:rsidRDefault="00DF4E40">
            <w:pPr>
              <w:rPr>
                <w:rFonts w:ascii="Arial" w:hAnsi="Arial" w:cs="Arial"/>
                <w:b/>
                <w:szCs w:val="22"/>
              </w:rPr>
            </w:pPr>
            <w:r w:rsidRPr="00304864">
              <w:rPr>
                <w:rFonts w:ascii="Arial" w:hAnsi="Arial" w:cs="Arial"/>
                <w:b/>
                <w:sz w:val="22"/>
                <w:szCs w:val="22"/>
              </w:rPr>
              <w:t>To improve the support to applicants and beneficiaries and to strengthen the involvement of relevant partners in the programme implementation</w:t>
            </w:r>
          </w:p>
        </w:tc>
      </w:tr>
      <w:tr w:rsidR="00DF4E40" w:rsidRPr="00304864" w:rsidTr="00B42572">
        <w:tc>
          <w:tcPr>
            <w:tcW w:w="2518" w:type="dxa"/>
            <w:tcBorders>
              <w:left w:val="nil"/>
              <w:right w:val="nil"/>
            </w:tcBorders>
          </w:tcPr>
          <w:p w:rsidR="00DF4E40" w:rsidRPr="00304864" w:rsidRDefault="00DF4E40">
            <w:pPr>
              <w:rPr>
                <w:rFonts w:ascii="Arial" w:hAnsi="Arial" w:cs="Arial"/>
                <w:b/>
                <w:szCs w:val="22"/>
              </w:rPr>
            </w:pPr>
          </w:p>
        </w:tc>
        <w:tc>
          <w:tcPr>
            <w:tcW w:w="6768" w:type="dxa"/>
            <w:tcBorders>
              <w:left w:val="nil"/>
              <w:right w:val="nil"/>
            </w:tcBorders>
          </w:tcPr>
          <w:p w:rsidR="00DF4E40" w:rsidRPr="00304864" w:rsidRDefault="00DF4E40">
            <w:pPr>
              <w:rPr>
                <w:rFonts w:ascii="Arial" w:hAnsi="Arial" w:cs="Arial"/>
                <w:i/>
                <w:szCs w:val="22"/>
              </w:rPr>
            </w:pPr>
          </w:p>
        </w:tc>
      </w:tr>
      <w:tr w:rsidR="00DF4E40" w:rsidRPr="00304864" w:rsidTr="00B42572">
        <w:tc>
          <w:tcPr>
            <w:tcW w:w="2518" w:type="dxa"/>
          </w:tcPr>
          <w:p w:rsidR="00DF4E40" w:rsidRPr="00304864" w:rsidRDefault="00DF4E40">
            <w:pPr>
              <w:rPr>
                <w:rFonts w:ascii="Arial" w:hAnsi="Arial" w:cs="Arial"/>
                <w:szCs w:val="22"/>
              </w:rPr>
            </w:pPr>
            <w:r w:rsidRPr="00304864">
              <w:rPr>
                <w:rFonts w:ascii="Arial" w:hAnsi="Arial" w:cs="Arial"/>
                <w:b/>
                <w:sz w:val="22"/>
                <w:szCs w:val="22"/>
              </w:rPr>
              <w:t>Expected results</w:t>
            </w:r>
          </w:p>
        </w:tc>
        <w:tc>
          <w:tcPr>
            <w:tcW w:w="6768" w:type="dxa"/>
          </w:tcPr>
          <w:p w:rsidR="00DF4E40" w:rsidRPr="00304864" w:rsidRDefault="00DF4E40">
            <w:pPr>
              <w:rPr>
                <w:rFonts w:ascii="Arial" w:hAnsi="Arial" w:cs="Arial"/>
                <w:szCs w:val="22"/>
              </w:rPr>
            </w:pPr>
            <w:r w:rsidRPr="00304864">
              <w:rPr>
                <w:rFonts w:ascii="Arial" w:hAnsi="Arial" w:cs="Arial"/>
                <w:sz w:val="22"/>
                <w:szCs w:val="22"/>
              </w:rPr>
              <w:t xml:space="preserve">Besides a sound programme management, the capacity of applicants and beneficiaries to participate in the programme, as well as the direct involvement of relevant partners, in accordance with the multi-level governance approach, as defined in Article 5 of </w:t>
            </w:r>
            <w:r w:rsidRPr="00304864">
              <w:rPr>
                <w:rFonts w:ascii="Arial" w:hAnsi="Arial" w:cs="Arial"/>
                <w:sz w:val="22"/>
                <w:szCs w:val="22"/>
                <w:lang w:eastAsia="sv-SE"/>
              </w:rPr>
              <w:t>the Regulation (EU) No 1303/2013</w:t>
            </w:r>
            <w:r w:rsidRPr="00304864">
              <w:rPr>
                <w:rFonts w:ascii="Arial" w:hAnsi="Arial" w:cs="Arial"/>
                <w:sz w:val="22"/>
                <w:szCs w:val="22"/>
              </w:rPr>
              <w:t xml:space="preserve">(i.e. competent national, regional and local bodies representing public institutions at all relevant level, socio-economic bodies and the civil society), are key aspects of its successful implementation. </w:t>
            </w:r>
          </w:p>
          <w:p w:rsidR="00DF4E40" w:rsidRPr="00304864" w:rsidRDefault="00DF4E40">
            <w:pPr>
              <w:rPr>
                <w:rFonts w:ascii="Arial" w:hAnsi="Arial" w:cs="Arial"/>
                <w:szCs w:val="22"/>
              </w:rPr>
            </w:pPr>
            <w:r w:rsidRPr="00304864">
              <w:rPr>
                <w:rFonts w:ascii="Arial" w:hAnsi="Arial" w:cs="Arial"/>
                <w:sz w:val="22"/>
                <w:szCs w:val="22"/>
              </w:rPr>
              <w:t xml:space="preserve">In the implementation of SEE Programme, strategic calls proved to be successful in engaging core stakeholders. Strategic projects set up a more complex procedure for identifying relevant programme topics that have been narrowed down with the support of the programme national authorities and stakeholders and had more stricter eligibility rules in terms of objectives/results and beneficiaries. </w:t>
            </w:r>
          </w:p>
          <w:p w:rsidR="00DF4E40" w:rsidRPr="00304864" w:rsidRDefault="00DF4E40">
            <w:pPr>
              <w:rPr>
                <w:rFonts w:ascii="Arial" w:hAnsi="Arial" w:cs="Arial"/>
                <w:b/>
                <w:szCs w:val="22"/>
              </w:rPr>
            </w:pPr>
            <w:r w:rsidRPr="00304864">
              <w:rPr>
                <w:rFonts w:ascii="Arial" w:hAnsi="Arial" w:cs="Arial"/>
                <w:b/>
                <w:sz w:val="22"/>
                <w:szCs w:val="22"/>
              </w:rPr>
              <w:t>Main change sought</w:t>
            </w:r>
          </w:p>
          <w:p w:rsidR="00DF4E40" w:rsidRPr="00304864" w:rsidRDefault="00DF4E40">
            <w:pPr>
              <w:rPr>
                <w:rFonts w:ascii="Arial" w:hAnsi="Arial" w:cs="Arial"/>
                <w:szCs w:val="22"/>
              </w:rPr>
            </w:pPr>
            <w:r w:rsidRPr="00304864">
              <w:rPr>
                <w:rFonts w:ascii="Arial" w:hAnsi="Arial" w:cs="Arial"/>
                <w:sz w:val="22"/>
                <w:szCs w:val="22"/>
              </w:rPr>
              <w:t>In the framework of this SO, ADRION will address the need to build capacity of applicants and beneficiaries to participate in operations and to reach effective results aimed at improving policies and strategies and/or investments on long term.</w:t>
            </w:r>
          </w:p>
          <w:p w:rsidR="00DF4E40" w:rsidRPr="00304864" w:rsidRDefault="00DF4E40">
            <w:pPr>
              <w:rPr>
                <w:rFonts w:ascii="Arial" w:hAnsi="Arial" w:cs="Arial"/>
                <w:szCs w:val="22"/>
              </w:rPr>
            </w:pPr>
            <w:r w:rsidRPr="00304864">
              <w:rPr>
                <w:rFonts w:ascii="Arial" w:hAnsi="Arial" w:cs="Arial"/>
                <w:sz w:val="22"/>
                <w:szCs w:val="22"/>
              </w:rPr>
              <w:t>The main change sought is an improvement of the quality of projects, which implies less numerous applications better corresponding to the requirements of the programme.</w:t>
            </w:r>
          </w:p>
          <w:p w:rsidR="00DF4E40" w:rsidRPr="00304864" w:rsidRDefault="00DF4E40">
            <w:pPr>
              <w:rPr>
                <w:rFonts w:ascii="Arial" w:hAnsi="Arial" w:cs="Arial"/>
                <w:szCs w:val="22"/>
              </w:rPr>
            </w:pPr>
            <w:r w:rsidRPr="00304864">
              <w:rPr>
                <w:rFonts w:ascii="Arial" w:hAnsi="Arial" w:cs="Arial"/>
                <w:sz w:val="22"/>
                <w:szCs w:val="22"/>
              </w:rPr>
              <w:t xml:space="preserve">This change will require an adaptation of calls for proposals (targeted calls, strategic calls…), simplified procedures and more targeted support to the applicants and to the beneficiaries (training on preparation of applications as well as on project management, mobilisation of the </w:t>
            </w:r>
            <w:r w:rsidR="008772FE">
              <w:rPr>
                <w:rFonts w:ascii="Arial" w:hAnsi="Arial" w:cs="Arial"/>
                <w:sz w:val="22"/>
                <w:szCs w:val="22"/>
              </w:rPr>
              <w:t>j</w:t>
            </w:r>
            <w:r w:rsidRPr="00304864">
              <w:rPr>
                <w:rFonts w:ascii="Arial" w:hAnsi="Arial" w:cs="Arial"/>
                <w:sz w:val="22"/>
                <w:szCs w:val="22"/>
              </w:rPr>
              <w:t xml:space="preserve">oint </w:t>
            </w:r>
            <w:r w:rsidR="008772FE">
              <w:rPr>
                <w:rFonts w:ascii="Arial" w:hAnsi="Arial" w:cs="Arial"/>
                <w:sz w:val="22"/>
                <w:szCs w:val="22"/>
              </w:rPr>
              <w:t>s</w:t>
            </w:r>
            <w:r w:rsidRPr="00304864">
              <w:rPr>
                <w:rFonts w:ascii="Arial" w:hAnsi="Arial" w:cs="Arial"/>
                <w:sz w:val="22"/>
                <w:szCs w:val="22"/>
              </w:rPr>
              <w:t xml:space="preserve">ecretariat (JS), also through individual consultations, information, animation, mobilisation of </w:t>
            </w:r>
            <w:r w:rsidR="008772FE">
              <w:rPr>
                <w:rFonts w:ascii="Arial" w:hAnsi="Arial" w:cs="Arial"/>
                <w:sz w:val="22"/>
                <w:szCs w:val="22"/>
              </w:rPr>
              <w:t>n</w:t>
            </w:r>
            <w:r w:rsidRPr="00304864">
              <w:rPr>
                <w:rFonts w:ascii="Arial" w:hAnsi="Arial" w:cs="Arial"/>
                <w:sz w:val="22"/>
                <w:szCs w:val="22"/>
              </w:rPr>
              <w:t xml:space="preserve">ational </w:t>
            </w:r>
            <w:r w:rsidR="008772FE">
              <w:rPr>
                <w:rFonts w:ascii="Arial" w:hAnsi="Arial" w:cs="Arial"/>
                <w:sz w:val="22"/>
                <w:szCs w:val="22"/>
              </w:rPr>
              <w:t>c</w:t>
            </w:r>
            <w:r w:rsidRPr="00304864">
              <w:rPr>
                <w:rFonts w:ascii="Arial" w:hAnsi="Arial" w:cs="Arial"/>
                <w:sz w:val="22"/>
                <w:szCs w:val="22"/>
              </w:rPr>
              <w:t xml:space="preserve">ontact </w:t>
            </w:r>
            <w:r w:rsidR="008772FE">
              <w:rPr>
                <w:rFonts w:ascii="Arial" w:hAnsi="Arial" w:cs="Arial"/>
                <w:sz w:val="22"/>
                <w:szCs w:val="22"/>
              </w:rPr>
              <w:t>p</w:t>
            </w:r>
            <w:r w:rsidRPr="00304864">
              <w:rPr>
                <w:rFonts w:ascii="Arial" w:hAnsi="Arial" w:cs="Arial"/>
                <w:sz w:val="22"/>
                <w:szCs w:val="22"/>
              </w:rPr>
              <w:t>oints.</w:t>
            </w:r>
          </w:p>
          <w:p w:rsidR="00DF4E40" w:rsidRPr="00304864" w:rsidRDefault="00DF4E40">
            <w:pPr>
              <w:rPr>
                <w:rFonts w:ascii="Arial" w:hAnsi="Arial" w:cs="Arial"/>
                <w:szCs w:val="22"/>
              </w:rPr>
            </w:pPr>
            <w:r w:rsidRPr="00304864">
              <w:rPr>
                <w:rFonts w:ascii="Arial" w:hAnsi="Arial" w:cs="Arial"/>
                <w:sz w:val="22"/>
                <w:szCs w:val="22"/>
              </w:rPr>
              <w:t>Accordingly, two main results are envisaged:</w:t>
            </w:r>
          </w:p>
          <w:p w:rsidR="00DF4E40" w:rsidRPr="00304864" w:rsidRDefault="00DF4E40" w:rsidP="00A30AEC">
            <w:pPr>
              <w:numPr>
                <w:ilvl w:val="0"/>
                <w:numId w:val="132"/>
              </w:numPr>
              <w:rPr>
                <w:rFonts w:ascii="Arial" w:hAnsi="Arial" w:cs="Arial"/>
                <w:szCs w:val="22"/>
              </w:rPr>
            </w:pPr>
            <w:r w:rsidRPr="00304864">
              <w:rPr>
                <w:rFonts w:ascii="Arial" w:hAnsi="Arial" w:cs="Arial"/>
                <w:sz w:val="22"/>
                <w:szCs w:val="22"/>
              </w:rPr>
              <w:t>Increased capacity of applicants and beneficiar</w:t>
            </w:r>
            <w:r w:rsidR="00FB0061">
              <w:rPr>
                <w:rFonts w:ascii="Arial" w:hAnsi="Arial" w:cs="Arial"/>
                <w:sz w:val="22"/>
                <w:szCs w:val="22"/>
              </w:rPr>
              <w:t>ies</w:t>
            </w:r>
            <w:r w:rsidRPr="00304864">
              <w:rPr>
                <w:rFonts w:ascii="Arial" w:hAnsi="Arial" w:cs="Arial"/>
                <w:sz w:val="22"/>
                <w:szCs w:val="22"/>
              </w:rPr>
              <w:t xml:space="preserve"> to participate in the Programme;</w:t>
            </w:r>
          </w:p>
          <w:p w:rsidR="00DF4E40" w:rsidRPr="00304864" w:rsidRDefault="00DF4E40" w:rsidP="00A30AEC">
            <w:pPr>
              <w:numPr>
                <w:ilvl w:val="0"/>
                <w:numId w:val="132"/>
              </w:numPr>
              <w:rPr>
                <w:rFonts w:ascii="Arial" w:hAnsi="Arial" w:cs="Arial"/>
                <w:szCs w:val="22"/>
              </w:rPr>
            </w:pPr>
            <w:r w:rsidRPr="00304864">
              <w:rPr>
                <w:rFonts w:ascii="Arial" w:hAnsi="Arial" w:cs="Arial"/>
                <w:sz w:val="22"/>
                <w:szCs w:val="22"/>
              </w:rPr>
              <w:t>Strengthened involvement of relevant partners in Programme implementation.</w:t>
            </w:r>
          </w:p>
        </w:tc>
      </w:tr>
    </w:tbl>
    <w:p w:rsidR="00DF4E40" w:rsidRPr="00A30AEC" w:rsidRDefault="00DF4E40" w:rsidP="00A30AEC">
      <w:pPr>
        <w:rPr>
          <w:rFonts w:cs="Arial"/>
          <w:i/>
        </w:rPr>
      </w:pPr>
    </w:p>
    <w:p w:rsidR="007142EE" w:rsidRPr="00A30AEC" w:rsidRDefault="007142EE" w:rsidP="00A30AEC">
      <w:pPr>
        <w:rPr>
          <w:rFonts w:cs="Arial"/>
          <w:i/>
        </w:rPr>
      </w:pPr>
    </w:p>
    <w:p w:rsidR="00DF4E40" w:rsidRPr="00A30AEC" w:rsidRDefault="00DF4E40" w:rsidP="00A30AEC">
      <w:pPr>
        <w:pStyle w:val="Heading3"/>
        <w:spacing w:before="0" w:after="120"/>
        <w:ind w:left="0"/>
        <w:rPr>
          <w:rFonts w:ascii="Arial" w:hAnsi="Arial" w:cs="Arial"/>
          <w:b w:val="0"/>
          <w:color w:val="002060"/>
          <w:sz w:val="22"/>
          <w:szCs w:val="22"/>
        </w:rPr>
      </w:pPr>
      <w:bookmarkStart w:id="241" w:name="_Toc365660134"/>
      <w:bookmarkStart w:id="242" w:name="_Toc366097044"/>
      <w:bookmarkStart w:id="243" w:name="_Toc377402574"/>
      <w:bookmarkStart w:id="244" w:name="_Toc420652553"/>
      <w:bookmarkStart w:id="245" w:name="_Toc421076905"/>
      <w:r w:rsidRPr="00A30AEC">
        <w:rPr>
          <w:rFonts w:ascii="Arial" w:hAnsi="Arial" w:cs="Arial"/>
          <w:b w:val="0"/>
          <w:color w:val="002060"/>
          <w:sz w:val="22"/>
          <w:szCs w:val="22"/>
        </w:rPr>
        <w:t>2.B.4.Result indicators</w:t>
      </w:r>
      <w:bookmarkEnd w:id="241"/>
      <w:bookmarkEnd w:id="242"/>
      <w:bookmarkEnd w:id="243"/>
      <w:bookmarkEnd w:id="244"/>
      <w:bookmarkEnd w:id="245"/>
    </w:p>
    <w:p w:rsidR="00DF4E40" w:rsidRPr="00304864" w:rsidRDefault="00DF4E40">
      <w:pPr>
        <w:rPr>
          <w:rFonts w:ascii="Arial" w:hAnsi="Arial" w:cs="Arial"/>
          <w:i/>
          <w:sz w:val="22"/>
          <w:szCs w:val="22"/>
        </w:rPr>
      </w:pPr>
      <w:r w:rsidRPr="00304864">
        <w:rPr>
          <w:rFonts w:ascii="Arial" w:hAnsi="Arial" w:cs="Arial"/>
          <w:i/>
          <w:sz w:val="22"/>
          <w:szCs w:val="22"/>
        </w:rPr>
        <w:t xml:space="preserve">Not </w:t>
      </w:r>
      <w:r w:rsidR="00BD24B7">
        <w:rPr>
          <w:rFonts w:ascii="Arial" w:hAnsi="Arial" w:cs="Arial"/>
          <w:i/>
          <w:sz w:val="22"/>
          <w:szCs w:val="22"/>
        </w:rPr>
        <w:t>applicable</w:t>
      </w:r>
      <w:r w:rsidRPr="00304864">
        <w:rPr>
          <w:rFonts w:ascii="Arial" w:hAnsi="Arial" w:cs="Arial"/>
          <w:i/>
          <w:sz w:val="22"/>
          <w:szCs w:val="22"/>
        </w:rPr>
        <w:t xml:space="preserve">as the Union support to technical assistance in the Adriatic-Ionian cooperation programme does not exceed </w:t>
      </w:r>
      <w:r w:rsidR="00BD24B7">
        <w:rPr>
          <w:rFonts w:ascii="Arial" w:hAnsi="Arial" w:cs="Arial"/>
          <w:i/>
          <w:sz w:val="22"/>
          <w:szCs w:val="22"/>
        </w:rPr>
        <w:t xml:space="preserve">MEUR </w:t>
      </w:r>
      <w:r w:rsidRPr="00304864">
        <w:rPr>
          <w:rFonts w:ascii="Arial" w:hAnsi="Arial" w:cs="Arial"/>
          <w:i/>
          <w:sz w:val="22"/>
          <w:szCs w:val="22"/>
        </w:rPr>
        <w:t>15</w:t>
      </w:r>
      <w:r w:rsidR="00BD24B7">
        <w:rPr>
          <w:rFonts w:ascii="Arial" w:hAnsi="Arial" w:cs="Arial"/>
          <w:i/>
          <w:sz w:val="22"/>
          <w:szCs w:val="22"/>
        </w:rPr>
        <w:t>.</w:t>
      </w:r>
    </w:p>
    <w:p w:rsidR="00DF4E40" w:rsidRPr="00304864" w:rsidRDefault="00DF4E40">
      <w:pPr>
        <w:rPr>
          <w:rFonts w:ascii="Arial" w:hAnsi="Arial" w:cs="Arial"/>
          <w:i/>
          <w:sz w:val="22"/>
          <w:szCs w:val="22"/>
        </w:rPr>
      </w:pPr>
    </w:p>
    <w:p w:rsidR="00DF4E40" w:rsidRPr="00304864" w:rsidRDefault="00DF4E40">
      <w:pPr>
        <w:rPr>
          <w:rFonts w:ascii="Arial" w:hAnsi="Arial" w:cs="Arial"/>
          <w:i/>
          <w:sz w:val="22"/>
          <w:szCs w:val="22"/>
        </w:rPr>
      </w:pPr>
    </w:p>
    <w:p w:rsidR="00DF4E40" w:rsidRPr="00A30AEC" w:rsidRDefault="00DF4E40" w:rsidP="00A30AEC">
      <w:pPr>
        <w:pStyle w:val="Heading3"/>
        <w:spacing w:before="0" w:after="120"/>
        <w:ind w:left="0"/>
        <w:rPr>
          <w:rFonts w:ascii="Arial" w:hAnsi="Arial" w:cs="Arial"/>
          <w:b w:val="0"/>
          <w:color w:val="002060"/>
          <w:sz w:val="22"/>
          <w:szCs w:val="22"/>
        </w:rPr>
      </w:pPr>
      <w:bookmarkStart w:id="246" w:name="_Toc365660135"/>
      <w:bookmarkStart w:id="247" w:name="_Toc366097045"/>
      <w:bookmarkStart w:id="248" w:name="_Toc377402575"/>
      <w:bookmarkStart w:id="249" w:name="_Toc420652554"/>
      <w:bookmarkStart w:id="250" w:name="_Toc421076906"/>
      <w:r w:rsidRPr="00A30AEC">
        <w:rPr>
          <w:rFonts w:ascii="Arial" w:hAnsi="Arial" w:cs="Arial"/>
          <w:b w:val="0"/>
          <w:color w:val="002060"/>
          <w:sz w:val="22"/>
          <w:szCs w:val="22"/>
        </w:rPr>
        <w:t>2.B.5.Actions to be supported and their expected contribution to the specific objective</w:t>
      </w:r>
      <w:bookmarkEnd w:id="246"/>
      <w:bookmarkEnd w:id="247"/>
      <w:bookmarkEnd w:id="248"/>
      <w:bookmarkEnd w:id="249"/>
      <w:bookmarkEnd w:id="250"/>
    </w:p>
    <w:p w:rsidR="007142EE" w:rsidRPr="00A30AEC" w:rsidRDefault="00C463AF" w:rsidP="00A30AEC">
      <w:pPr>
        <w:pStyle w:val="Text3"/>
        <w:ind w:left="0"/>
        <w:rPr>
          <w:rFonts w:ascii="Arial" w:hAnsi="Arial" w:cs="Arial"/>
          <w:sz w:val="22"/>
          <w:szCs w:val="22"/>
        </w:rPr>
      </w:pPr>
      <w:r w:rsidRPr="00A30AEC">
        <w:rPr>
          <w:rFonts w:ascii="Arial" w:hAnsi="Arial" w:cs="Arial"/>
          <w:sz w:val="22"/>
          <w:szCs w:val="22"/>
        </w:rPr>
        <w:t>(Reference: point (c)(iii) of Article 8(2) of the ETC Regulation)</w:t>
      </w:r>
    </w:p>
    <w:p w:rsidR="007142EE" w:rsidRDefault="007142EE" w:rsidP="00A30AEC">
      <w:pPr>
        <w:pStyle w:val="Text3"/>
        <w:ind w:left="0"/>
      </w:pPr>
    </w:p>
    <w:p w:rsidR="00C463AF" w:rsidRPr="00A30AEC" w:rsidRDefault="00C463AF" w:rsidP="00A30AEC">
      <w:pPr>
        <w:pStyle w:val="Text3"/>
        <w:ind w:left="0"/>
      </w:pPr>
    </w:p>
    <w:p w:rsidR="00DF4E40" w:rsidRPr="00A30AEC" w:rsidRDefault="00DF4E40" w:rsidP="00A30AEC">
      <w:pPr>
        <w:pStyle w:val="Heading3"/>
        <w:spacing w:before="0" w:after="120"/>
        <w:ind w:left="0"/>
        <w:rPr>
          <w:rFonts w:ascii="Arial" w:hAnsi="Arial" w:cs="Arial"/>
          <w:b w:val="0"/>
          <w:i w:val="0"/>
          <w:color w:val="17365D"/>
          <w:sz w:val="22"/>
          <w:szCs w:val="22"/>
        </w:rPr>
      </w:pPr>
      <w:bookmarkStart w:id="251" w:name="_Toc365660136"/>
      <w:bookmarkStart w:id="252" w:name="_Toc420652555"/>
      <w:bookmarkStart w:id="253" w:name="_Toc421076907"/>
      <w:r w:rsidRPr="00A30AEC">
        <w:rPr>
          <w:rFonts w:ascii="Arial" w:hAnsi="Arial" w:cs="Arial"/>
          <w:b w:val="0"/>
          <w:i w:val="0"/>
          <w:color w:val="17365D"/>
          <w:sz w:val="22"/>
          <w:szCs w:val="22"/>
        </w:rPr>
        <w:t xml:space="preserve">2.B.5.1. </w:t>
      </w:r>
      <w:r w:rsidR="00AC6DF1" w:rsidRPr="00531153">
        <w:rPr>
          <w:rFonts w:ascii="Arial" w:hAnsi="Arial" w:cs="Arial"/>
          <w:b w:val="0"/>
          <w:i w:val="0"/>
          <w:color w:val="17365D"/>
          <w:sz w:val="22"/>
          <w:szCs w:val="22"/>
        </w:rPr>
        <w:t>D</w:t>
      </w:r>
      <w:r w:rsidRPr="00A30AEC">
        <w:rPr>
          <w:rFonts w:ascii="Arial" w:hAnsi="Arial" w:cs="Arial"/>
          <w:b w:val="0"/>
          <w:i w:val="0"/>
          <w:color w:val="17365D"/>
          <w:sz w:val="22"/>
          <w:szCs w:val="22"/>
        </w:rPr>
        <w:t>escription of actions to be supported and their expected contribution to the specific objectives</w:t>
      </w:r>
      <w:bookmarkEnd w:id="251"/>
      <w:bookmarkEnd w:id="252"/>
      <w:bookmarkEnd w:id="253"/>
    </w:p>
    <w:p w:rsidR="00DF4E40" w:rsidRPr="00A30AEC" w:rsidRDefault="00DF4E40">
      <w:pPr>
        <w:rPr>
          <w:rFonts w:ascii="Arial" w:hAnsi="Arial" w:cs="Arial"/>
          <w:sz w:val="22"/>
          <w:szCs w:val="22"/>
        </w:rPr>
      </w:pPr>
      <w:r w:rsidRPr="00A30AEC">
        <w:rPr>
          <w:rFonts w:ascii="Arial" w:hAnsi="Arial" w:cs="Arial"/>
          <w:sz w:val="22"/>
          <w:szCs w:val="22"/>
        </w:rPr>
        <w:t>(Reference: point (c)(iii) of Article 8(2)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201"/>
      </w:tblGrid>
      <w:tr w:rsidR="00DF4E40" w:rsidRPr="00304864" w:rsidTr="00B42572">
        <w:tc>
          <w:tcPr>
            <w:tcW w:w="3085" w:type="dxa"/>
            <w:shd w:val="clear" w:color="auto" w:fill="C6D9F1"/>
          </w:tcPr>
          <w:p w:rsidR="00DF4E40" w:rsidRPr="00304864" w:rsidRDefault="00DF4E40">
            <w:pPr>
              <w:rPr>
                <w:rFonts w:ascii="Arial" w:hAnsi="Arial" w:cs="Arial"/>
                <w:b/>
                <w:szCs w:val="22"/>
              </w:rPr>
            </w:pPr>
            <w:r w:rsidRPr="00304864">
              <w:rPr>
                <w:rFonts w:ascii="Arial" w:hAnsi="Arial" w:cs="Arial"/>
                <w:b/>
                <w:sz w:val="22"/>
                <w:szCs w:val="22"/>
              </w:rPr>
              <w:t>Priority Axis 5</w:t>
            </w:r>
          </w:p>
        </w:tc>
        <w:tc>
          <w:tcPr>
            <w:tcW w:w="6201" w:type="dxa"/>
            <w:shd w:val="clear" w:color="auto" w:fill="C6D9F1"/>
          </w:tcPr>
          <w:p w:rsidR="00DF4E40" w:rsidRPr="00304864" w:rsidRDefault="00DF4E40">
            <w:pPr>
              <w:rPr>
                <w:rFonts w:ascii="Arial" w:hAnsi="Arial" w:cs="Arial"/>
                <w:b/>
                <w:i/>
                <w:szCs w:val="22"/>
              </w:rPr>
            </w:pPr>
            <w:r w:rsidRPr="00304864">
              <w:rPr>
                <w:rFonts w:ascii="Arial" w:hAnsi="Arial" w:cs="Arial"/>
                <w:b/>
                <w:i/>
                <w:sz w:val="22"/>
                <w:szCs w:val="22"/>
              </w:rPr>
              <w:t>Technical Assistance</w:t>
            </w:r>
          </w:p>
        </w:tc>
      </w:tr>
      <w:tr w:rsidR="00DF4E40" w:rsidRPr="00304864" w:rsidTr="00B42572">
        <w:tc>
          <w:tcPr>
            <w:tcW w:w="9286" w:type="dxa"/>
            <w:gridSpan w:val="2"/>
          </w:tcPr>
          <w:p w:rsidR="00DF4E40" w:rsidRPr="00304864" w:rsidRDefault="00DF4E40">
            <w:pPr>
              <w:rPr>
                <w:rFonts w:ascii="Arial" w:hAnsi="Arial" w:cs="Arial"/>
                <w:b/>
                <w:szCs w:val="22"/>
              </w:rPr>
            </w:pPr>
            <w:r w:rsidRPr="00304864">
              <w:rPr>
                <w:rFonts w:ascii="Arial" w:hAnsi="Arial" w:cs="Arial"/>
                <w:b/>
                <w:sz w:val="22"/>
                <w:szCs w:val="22"/>
              </w:rPr>
              <w:t>Types and examples of actions and expected contribution to the SOs:</w:t>
            </w:r>
          </w:p>
          <w:p w:rsidR="00DF4E40" w:rsidRPr="00304864" w:rsidRDefault="00DF4E40">
            <w:pPr>
              <w:rPr>
                <w:rFonts w:ascii="Arial" w:hAnsi="Arial" w:cs="Arial"/>
                <w:szCs w:val="22"/>
              </w:rPr>
            </w:pPr>
            <w:r w:rsidRPr="00304864">
              <w:rPr>
                <w:rFonts w:ascii="Arial" w:hAnsi="Arial" w:cs="Arial"/>
                <w:sz w:val="22"/>
                <w:szCs w:val="22"/>
              </w:rPr>
              <w:t>The following list of possible actions is only an indicative list and can be completed with other relevant actions contributing to the SOs goals.</w:t>
            </w:r>
          </w:p>
          <w:p w:rsidR="00DF4E40" w:rsidRPr="00304864" w:rsidRDefault="00DF4E40">
            <w:pPr>
              <w:rPr>
                <w:rFonts w:ascii="Arial" w:hAnsi="Arial" w:cs="Arial"/>
                <w:b/>
                <w:szCs w:val="22"/>
              </w:rPr>
            </w:pPr>
            <w:r w:rsidRPr="00304864">
              <w:rPr>
                <w:rFonts w:ascii="Arial" w:hAnsi="Arial" w:cs="Arial"/>
                <w:b/>
                <w:sz w:val="22"/>
                <w:szCs w:val="22"/>
                <w:u w:val="single"/>
              </w:rPr>
              <w:t>SO 5.1</w:t>
            </w:r>
            <w:r w:rsidRPr="00304864">
              <w:rPr>
                <w:rFonts w:ascii="Arial" w:hAnsi="Arial" w:cs="Arial"/>
                <w:b/>
                <w:sz w:val="22"/>
                <w:szCs w:val="22"/>
              </w:rPr>
              <w:t>: Actions to increase in efficiency and effectiveness the management and implementation of the ADRION Programme</w:t>
            </w:r>
            <w:r w:rsidR="00BD24B7">
              <w:rPr>
                <w:rFonts w:ascii="Arial" w:hAnsi="Arial" w:cs="Arial"/>
                <w:b/>
                <w:sz w:val="22"/>
                <w:szCs w:val="22"/>
              </w:rPr>
              <w:t>.</w:t>
            </w:r>
          </w:p>
          <w:p w:rsidR="00DF4E40" w:rsidRPr="00304864" w:rsidRDefault="00DF4E40">
            <w:pPr>
              <w:rPr>
                <w:rFonts w:ascii="Arial" w:hAnsi="Arial" w:cs="Arial"/>
                <w:szCs w:val="22"/>
              </w:rPr>
            </w:pPr>
            <w:r w:rsidRPr="00304864">
              <w:rPr>
                <w:rFonts w:ascii="Arial" w:hAnsi="Arial" w:cs="Arial"/>
                <w:sz w:val="22"/>
                <w:szCs w:val="22"/>
              </w:rPr>
              <w:t>In line with Article 59 of the Regulation (EU) No 1303/2013, actions within SO 5.1 target the preparation, management, monitoring, evaluation, information and communication, networking, control and audit tasks of the programme. Moreover, actions referring to this SO also address the reduction of the administrative burden for beneficiaries.</w:t>
            </w:r>
          </w:p>
          <w:p w:rsidR="00DF4E40" w:rsidRPr="00304864" w:rsidRDefault="00DF4E40">
            <w:pPr>
              <w:rPr>
                <w:rFonts w:ascii="Arial" w:hAnsi="Arial" w:cs="Arial"/>
                <w:szCs w:val="22"/>
              </w:rPr>
            </w:pPr>
            <w:r w:rsidRPr="00304864">
              <w:rPr>
                <w:rFonts w:ascii="Arial" w:hAnsi="Arial" w:cs="Arial"/>
                <w:sz w:val="22"/>
                <w:szCs w:val="22"/>
              </w:rPr>
              <w:t>Indicative actions supported under SO 5.1 are listed below and refer to principles and tasks described in Sections 5.3 and 7:</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 xml:space="preserve">Setting up and managing of a JS supporting the </w:t>
            </w:r>
            <w:r w:rsidR="005121FD">
              <w:rPr>
                <w:rFonts w:ascii="Arial" w:hAnsi="Arial" w:cs="Arial"/>
                <w:bCs/>
                <w:sz w:val="22"/>
                <w:szCs w:val="22"/>
              </w:rPr>
              <w:t>m</w:t>
            </w:r>
            <w:r w:rsidRPr="003E2F90">
              <w:rPr>
                <w:rFonts w:ascii="Arial" w:hAnsi="Arial" w:cs="Arial"/>
                <w:bCs/>
                <w:sz w:val="22"/>
                <w:szCs w:val="22"/>
              </w:rPr>
              <w:t xml:space="preserve">anaging </w:t>
            </w:r>
            <w:r w:rsidR="005121FD">
              <w:rPr>
                <w:rFonts w:ascii="Arial" w:hAnsi="Arial" w:cs="Arial"/>
                <w:bCs/>
                <w:sz w:val="22"/>
                <w:szCs w:val="22"/>
              </w:rPr>
              <w:t>a</w:t>
            </w:r>
            <w:r w:rsidRPr="003E2F90">
              <w:rPr>
                <w:rFonts w:ascii="Arial" w:hAnsi="Arial" w:cs="Arial"/>
                <w:bCs/>
                <w:sz w:val="22"/>
                <w:szCs w:val="22"/>
              </w:rPr>
              <w:t>uthority/</w:t>
            </w:r>
            <w:r w:rsidR="005121FD">
              <w:rPr>
                <w:rFonts w:ascii="Arial" w:hAnsi="Arial" w:cs="Arial"/>
                <w:bCs/>
                <w:sz w:val="22"/>
                <w:szCs w:val="22"/>
              </w:rPr>
              <w:t>c</w:t>
            </w:r>
            <w:r w:rsidRPr="003E2F90">
              <w:rPr>
                <w:rFonts w:ascii="Arial" w:hAnsi="Arial" w:cs="Arial"/>
                <w:bCs/>
                <w:sz w:val="22"/>
                <w:szCs w:val="22"/>
              </w:rPr>
              <w:t xml:space="preserve">ertifying </w:t>
            </w:r>
            <w:r w:rsidR="005121FD">
              <w:rPr>
                <w:rFonts w:ascii="Arial" w:hAnsi="Arial" w:cs="Arial"/>
                <w:bCs/>
                <w:sz w:val="22"/>
                <w:szCs w:val="22"/>
              </w:rPr>
              <w:t>a</w:t>
            </w:r>
            <w:r w:rsidRPr="003E2F90">
              <w:rPr>
                <w:rFonts w:ascii="Arial" w:hAnsi="Arial" w:cs="Arial"/>
                <w:bCs/>
                <w:sz w:val="22"/>
                <w:szCs w:val="22"/>
              </w:rPr>
              <w:t>uthority</w:t>
            </w:r>
            <w:r w:rsidRPr="00587306">
              <w:rPr>
                <w:rFonts w:ascii="Arial" w:hAnsi="Arial" w:cs="Arial"/>
                <w:bCs/>
                <w:sz w:val="22"/>
                <w:szCs w:val="22"/>
              </w:rPr>
              <w:t xml:space="preserve"> (MA/CA) and assisting the </w:t>
            </w:r>
            <w:r w:rsidR="005121FD">
              <w:rPr>
                <w:rFonts w:ascii="Arial" w:hAnsi="Arial" w:cs="Arial"/>
                <w:bCs/>
                <w:sz w:val="22"/>
                <w:szCs w:val="22"/>
              </w:rPr>
              <w:t>m</w:t>
            </w:r>
            <w:r w:rsidRPr="00587306">
              <w:rPr>
                <w:rFonts w:ascii="Arial" w:hAnsi="Arial" w:cs="Arial"/>
                <w:bCs/>
                <w:sz w:val="22"/>
                <w:szCs w:val="22"/>
              </w:rPr>
              <w:t xml:space="preserve">onitoring </w:t>
            </w:r>
            <w:r w:rsidR="005121FD">
              <w:rPr>
                <w:rFonts w:ascii="Arial" w:hAnsi="Arial" w:cs="Arial"/>
                <w:bCs/>
                <w:sz w:val="22"/>
                <w:szCs w:val="22"/>
              </w:rPr>
              <w:t>c</w:t>
            </w:r>
            <w:r w:rsidRPr="00587306">
              <w:rPr>
                <w:rFonts w:ascii="Arial" w:hAnsi="Arial" w:cs="Arial"/>
                <w:bCs/>
                <w:sz w:val="22"/>
                <w:szCs w:val="22"/>
              </w:rPr>
              <w:t xml:space="preserve">ommittee (MC) and, where necessary, the </w:t>
            </w:r>
            <w:r w:rsidR="005121FD">
              <w:rPr>
                <w:rFonts w:ascii="Arial" w:hAnsi="Arial" w:cs="Arial"/>
                <w:bCs/>
                <w:sz w:val="22"/>
                <w:szCs w:val="22"/>
              </w:rPr>
              <w:t>a</w:t>
            </w:r>
            <w:r w:rsidRPr="00587306">
              <w:rPr>
                <w:rFonts w:ascii="Arial" w:hAnsi="Arial" w:cs="Arial"/>
                <w:bCs/>
                <w:sz w:val="22"/>
                <w:szCs w:val="22"/>
              </w:rPr>
              <w:t xml:space="preserve">udit </w:t>
            </w:r>
            <w:r w:rsidR="005121FD">
              <w:rPr>
                <w:rFonts w:ascii="Arial" w:hAnsi="Arial" w:cs="Arial"/>
                <w:bCs/>
                <w:sz w:val="22"/>
                <w:szCs w:val="22"/>
              </w:rPr>
              <w:t>a</w:t>
            </w:r>
            <w:r w:rsidRPr="00587306">
              <w:rPr>
                <w:rFonts w:ascii="Arial" w:hAnsi="Arial" w:cs="Arial"/>
                <w:bCs/>
                <w:sz w:val="22"/>
                <w:szCs w:val="22"/>
              </w:rPr>
              <w:t xml:space="preserve">uthority (AA) and the </w:t>
            </w:r>
            <w:r w:rsidR="005121FD">
              <w:rPr>
                <w:rFonts w:ascii="Arial" w:hAnsi="Arial" w:cs="Arial"/>
                <w:bCs/>
                <w:sz w:val="22"/>
                <w:szCs w:val="22"/>
              </w:rPr>
              <w:t>g</w:t>
            </w:r>
            <w:r w:rsidRPr="00587306">
              <w:rPr>
                <w:rFonts w:ascii="Arial" w:hAnsi="Arial" w:cs="Arial"/>
                <w:bCs/>
                <w:sz w:val="22"/>
                <w:szCs w:val="22"/>
              </w:rPr>
              <w:t xml:space="preserve">roup of </w:t>
            </w:r>
            <w:r w:rsidR="005121FD">
              <w:rPr>
                <w:rFonts w:ascii="Arial" w:hAnsi="Arial" w:cs="Arial"/>
                <w:bCs/>
                <w:sz w:val="22"/>
                <w:szCs w:val="22"/>
              </w:rPr>
              <w:t>a</w:t>
            </w:r>
            <w:r w:rsidRPr="00587306">
              <w:rPr>
                <w:rFonts w:ascii="Arial" w:hAnsi="Arial" w:cs="Arial"/>
                <w:bCs/>
                <w:sz w:val="22"/>
                <w:szCs w:val="22"/>
              </w:rPr>
              <w:t>uditors (GoA) in the implementation and day-to-day management of the Programme;</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 xml:space="preserve">Preparing and implementing calls for proposals, including </w:t>
            </w:r>
            <w:r w:rsidRPr="00587306">
              <w:rPr>
                <w:rFonts w:ascii="Arial" w:hAnsi="Arial" w:cs="Arial"/>
                <w:bCs/>
                <w:sz w:val="22"/>
                <w:szCs w:val="22"/>
              </w:rPr>
              <w:t>the development of guidance documents setting out the conditions for the support of operations;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 xml:space="preserve">Setting-up and implementing procedures for the quality assessment, monitoring and control of operations implemented under the ADRION programme, also making use </w:t>
            </w:r>
            <w:r w:rsidRPr="00587306">
              <w:rPr>
                <w:rFonts w:ascii="Arial" w:hAnsi="Arial" w:cs="Arial"/>
                <w:bCs/>
                <w:sz w:val="22"/>
                <w:szCs w:val="22"/>
              </w:rPr>
              <w:t>of external experts where necessary, and contributing to the reduction of administrative burden for beneficiaries;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Collecting data concerning the progress of the Programme in achieving its objectives, as well as financial data and data relating to indicato</w:t>
            </w:r>
            <w:r w:rsidRPr="00587306">
              <w:rPr>
                <w:rFonts w:ascii="Arial" w:hAnsi="Arial" w:cs="Arial"/>
                <w:bCs/>
                <w:sz w:val="22"/>
                <w:szCs w:val="22"/>
              </w:rPr>
              <w:t>rs and milestones, and reporting to the MC and the European Commission;</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Drafting and implementing the Programme communication strategy, including the setting up and implementation of information and communication measures and tools in line with Article 115 of the Regulation (EU) 1303/2013;</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Drafting and implementing the Programme evaluation plan and follow-up of findings of independent programme evaluations;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Setting-up, running and maintenance of a computerised system to record and store data on each operati</w:t>
            </w:r>
            <w:r w:rsidRPr="00587306">
              <w:rPr>
                <w:rFonts w:ascii="Arial" w:hAnsi="Arial" w:cs="Arial"/>
                <w:bCs/>
                <w:sz w:val="22"/>
                <w:szCs w:val="22"/>
              </w:rPr>
              <w:t>on necessary for monitoring, evaluation, financial management, verification and audit, in compliance with the applicable electronic data exchange requirements and contribut</w:t>
            </w:r>
            <w:r w:rsidRPr="009956A4">
              <w:rPr>
                <w:rFonts w:ascii="Arial" w:hAnsi="Arial" w:cs="Arial"/>
                <w:bCs/>
                <w:sz w:val="22"/>
                <w:szCs w:val="22"/>
              </w:rPr>
              <w:t>ing to the reduction of administrative burden for beneficiaries;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Setting-up a network of national first level controllers, coordinated by the MA/JS, with the purpose of exchanging information and best practices at transnational level;</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Setting up and execution of audits on the Programme management and control system and on operations;</w:t>
            </w:r>
          </w:p>
          <w:p w:rsidR="00DF4E40" w:rsidRPr="00A30AEC" w:rsidRDefault="00DF4E40" w:rsidP="00A30AEC">
            <w:pPr>
              <w:pStyle w:val="Text4"/>
              <w:numPr>
                <w:ilvl w:val="0"/>
                <w:numId w:val="121"/>
              </w:numPr>
              <w:ind w:left="284" w:hanging="284"/>
              <w:rPr>
                <w:rFonts w:ascii="Arial" w:hAnsi="Arial" w:cs="Arial"/>
                <w:bCs/>
                <w:sz w:val="22"/>
                <w:szCs w:val="22"/>
              </w:rPr>
            </w:pPr>
            <w:r w:rsidRPr="003E2F90">
              <w:rPr>
                <w:rFonts w:ascii="Arial" w:hAnsi="Arial" w:cs="Arial"/>
                <w:bCs/>
                <w:sz w:val="22"/>
                <w:szCs w:val="22"/>
              </w:rPr>
              <w:t>Training for Programme bodies Participation to international conferences.</w:t>
            </w:r>
          </w:p>
          <w:p w:rsidR="003D2DCB" w:rsidRDefault="003D2DCB">
            <w:pPr>
              <w:rPr>
                <w:rFonts w:ascii="Arial" w:hAnsi="Arial" w:cs="Arial"/>
                <w:b/>
                <w:sz w:val="22"/>
                <w:szCs w:val="22"/>
                <w:u w:val="single"/>
              </w:rPr>
            </w:pPr>
          </w:p>
          <w:p w:rsidR="00DF4E40" w:rsidRPr="00304864" w:rsidRDefault="00DF4E40">
            <w:pPr>
              <w:rPr>
                <w:rFonts w:ascii="Arial" w:hAnsi="Arial" w:cs="Arial"/>
                <w:b/>
                <w:szCs w:val="22"/>
              </w:rPr>
            </w:pPr>
            <w:r w:rsidRPr="00304864">
              <w:rPr>
                <w:rFonts w:ascii="Arial" w:hAnsi="Arial" w:cs="Arial"/>
                <w:b/>
                <w:sz w:val="22"/>
                <w:szCs w:val="22"/>
                <w:u w:val="single"/>
              </w:rPr>
              <w:t>SO 5.2</w:t>
            </w:r>
            <w:r w:rsidRPr="00304864">
              <w:rPr>
                <w:rFonts w:ascii="Arial" w:hAnsi="Arial" w:cs="Arial"/>
                <w:b/>
                <w:sz w:val="22"/>
                <w:szCs w:val="22"/>
              </w:rPr>
              <w:t>: Actions to improve the support to applicants and beneficiaries and to strengthen the involvement of relevant partners in the ADRION Programme</w:t>
            </w:r>
            <w:r w:rsidR="00BD24B7">
              <w:rPr>
                <w:rFonts w:ascii="Arial" w:hAnsi="Arial" w:cs="Arial"/>
                <w:b/>
                <w:sz w:val="22"/>
                <w:szCs w:val="22"/>
              </w:rPr>
              <w:t>.</w:t>
            </w:r>
          </w:p>
          <w:p w:rsidR="00DF4E40" w:rsidRPr="00304864" w:rsidRDefault="00DF4E40">
            <w:pPr>
              <w:rPr>
                <w:rFonts w:ascii="Arial" w:hAnsi="Arial" w:cs="Arial"/>
                <w:szCs w:val="22"/>
              </w:rPr>
            </w:pPr>
            <w:r w:rsidRPr="00304864">
              <w:rPr>
                <w:rFonts w:ascii="Arial" w:hAnsi="Arial" w:cs="Arial"/>
                <w:sz w:val="22"/>
                <w:szCs w:val="22"/>
              </w:rPr>
              <w:t>In line with Article 59 of the Regulation (EU) No 1303/2013 , actions within the SO 5.2 target the reinforcement of capacity of applicants and beneficiaries to apply for and to use the funds as well as the involvement of relevant partners, including the exchange of good practices among partners.</w:t>
            </w:r>
          </w:p>
          <w:p w:rsidR="00DF4E40" w:rsidRPr="00304864" w:rsidRDefault="00DF4E40">
            <w:pPr>
              <w:rPr>
                <w:rFonts w:ascii="Arial" w:hAnsi="Arial" w:cs="Arial"/>
                <w:szCs w:val="22"/>
              </w:rPr>
            </w:pPr>
            <w:r w:rsidRPr="00304864">
              <w:rPr>
                <w:rFonts w:ascii="Arial" w:hAnsi="Arial" w:cs="Arial"/>
                <w:sz w:val="22"/>
                <w:szCs w:val="22"/>
              </w:rPr>
              <w:t>Indicative actions supported within SO 5.2 are listed below and they refer to principles and tasks described in Sections 5:</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Drafting of information documents for applicants and beneficiaries to guide them in the preparation of applications and the implementation, evaluation, control and communication of approved operations;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Organising consultation, information, training and exchange events to strengthen the capacity of applicants to develop applications directly contributing to the Programme SOs and expected results;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Organising trainings on specific implementation issues such as project and financial management, reporting, control, audit, communication and networking to strengthen the capacity of beneficiaries to implement approved operations;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Organising monitoring visit to running projects performed by the JS aimed at carrying out, whenever needed, quality assessment of outputs/results, with the possibility to ask for improvements;</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Developing information and exchange tools (e.g. analytical documents, bilateral meetings, targeted events, etc.) and organisation of transnational and national events to strengthen the involvement of relevant partners in the implementation of the programme (also including authorities involved in the development or implementation of macro-regional strategies, joint legal bodies operating in the area (EGTCs,…) and umbrella organisations at EU/transnational level);</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Coordinating a network of NCPs selected or nominated according to jointly established criteria;</w:t>
            </w:r>
          </w:p>
          <w:p w:rsidR="00DF4E40" w:rsidRPr="00A30AEC" w:rsidRDefault="00DF4E40" w:rsidP="00A30AEC">
            <w:pPr>
              <w:pStyle w:val="Text4"/>
              <w:numPr>
                <w:ilvl w:val="0"/>
                <w:numId w:val="121"/>
              </w:numPr>
              <w:ind w:left="284" w:hanging="284"/>
              <w:rPr>
                <w:rFonts w:ascii="Arial" w:hAnsi="Arial" w:cs="Arial"/>
                <w:bCs/>
                <w:sz w:val="22"/>
                <w:szCs w:val="22"/>
              </w:rPr>
            </w:pPr>
            <w:r w:rsidRPr="00A30AEC">
              <w:rPr>
                <w:rFonts w:ascii="Arial" w:hAnsi="Arial" w:cs="Arial"/>
                <w:bCs/>
                <w:sz w:val="22"/>
                <w:szCs w:val="22"/>
              </w:rPr>
              <w:t>Executing studies, reports and surveys on strategic matters concerning the programme that can contribute to the sustainability and take up of results and achievements into policies, strategies, investments or that are of public interest, making use of experts when necessary</w:t>
            </w:r>
            <w:r w:rsidR="003D2DCB" w:rsidRPr="00A30AEC">
              <w:rPr>
                <w:rFonts w:ascii="Arial" w:hAnsi="Arial" w:cs="Arial"/>
                <w:bCs/>
                <w:sz w:val="22"/>
                <w:szCs w:val="22"/>
              </w:rPr>
              <w:t>.</w:t>
            </w:r>
          </w:p>
          <w:p w:rsidR="00DF4E40" w:rsidRPr="00304864" w:rsidRDefault="00DF4E40">
            <w:pPr>
              <w:rPr>
                <w:rFonts w:ascii="Arial" w:hAnsi="Arial" w:cs="Arial"/>
                <w:szCs w:val="22"/>
              </w:rPr>
            </w:pPr>
            <w:r w:rsidRPr="00304864">
              <w:rPr>
                <w:rFonts w:ascii="Arial" w:hAnsi="Arial" w:cs="Arial"/>
                <w:sz w:val="22"/>
                <w:szCs w:val="22"/>
              </w:rPr>
              <w:t>Preparation costs for project are eligible from the P</w:t>
            </w:r>
            <w:r w:rsidR="004A0CC2">
              <w:rPr>
                <w:rFonts w:ascii="Arial" w:hAnsi="Arial" w:cs="Arial"/>
                <w:sz w:val="22"/>
                <w:szCs w:val="22"/>
              </w:rPr>
              <w:t>A</w:t>
            </w:r>
            <w:r w:rsidRPr="00304864">
              <w:rPr>
                <w:rFonts w:ascii="Arial" w:hAnsi="Arial" w:cs="Arial"/>
                <w:sz w:val="22"/>
                <w:szCs w:val="22"/>
              </w:rPr>
              <w:t xml:space="preserve"> 5 funds.</w:t>
            </w:r>
          </w:p>
          <w:p w:rsidR="00DF4E40" w:rsidRPr="00304864" w:rsidRDefault="00DF4E40">
            <w:pPr>
              <w:rPr>
                <w:rFonts w:ascii="Arial" w:hAnsi="Arial" w:cs="Arial"/>
                <w:i/>
                <w:szCs w:val="22"/>
              </w:rPr>
            </w:pPr>
            <w:r w:rsidRPr="00304864">
              <w:rPr>
                <w:rFonts w:ascii="Arial" w:hAnsi="Arial" w:cs="Arial"/>
                <w:sz w:val="22"/>
                <w:szCs w:val="22"/>
              </w:rPr>
              <w:t xml:space="preserve">Technical </w:t>
            </w:r>
            <w:r w:rsidR="008772FE">
              <w:rPr>
                <w:rFonts w:ascii="Arial" w:hAnsi="Arial" w:cs="Arial"/>
                <w:sz w:val="22"/>
                <w:szCs w:val="22"/>
              </w:rPr>
              <w:t>a</w:t>
            </w:r>
            <w:r w:rsidRPr="00304864">
              <w:rPr>
                <w:rFonts w:ascii="Arial" w:hAnsi="Arial" w:cs="Arial"/>
                <w:sz w:val="22"/>
                <w:szCs w:val="22"/>
              </w:rPr>
              <w:t>ssistance actions shall be implemented by all authorities involved in the management of the Programme, listed in Section 5.3.</w:t>
            </w:r>
          </w:p>
        </w:tc>
      </w:tr>
    </w:tbl>
    <w:p w:rsidR="00DF4E40" w:rsidRPr="00A30AEC" w:rsidRDefault="00DF4E40">
      <w:pPr>
        <w:rPr>
          <w:rFonts w:ascii="Arial" w:hAnsi="Arial" w:cs="Arial"/>
        </w:rPr>
      </w:pPr>
    </w:p>
    <w:p w:rsidR="00DF4E40" w:rsidRPr="00A30AEC" w:rsidRDefault="00DF4E40">
      <w:pPr>
        <w:rPr>
          <w:rFonts w:ascii="Arial" w:hAnsi="Arial" w:cs="Arial"/>
        </w:rPr>
      </w:pPr>
    </w:p>
    <w:p w:rsidR="00DF4E40" w:rsidRPr="00A30AEC" w:rsidRDefault="00DF4E40" w:rsidP="00A30AEC">
      <w:pPr>
        <w:pStyle w:val="Heading3"/>
        <w:spacing w:before="0" w:after="120"/>
        <w:ind w:left="0"/>
        <w:rPr>
          <w:rFonts w:ascii="Arial" w:hAnsi="Arial" w:cs="Arial"/>
          <w:b w:val="0"/>
          <w:i w:val="0"/>
          <w:color w:val="17365D"/>
          <w:sz w:val="22"/>
          <w:szCs w:val="22"/>
          <w:lang w:val="en-US"/>
        </w:rPr>
      </w:pPr>
      <w:bookmarkStart w:id="254" w:name="_Toc420652556"/>
      <w:bookmarkStart w:id="255" w:name="_Toc421076908"/>
      <w:r w:rsidRPr="00A30AEC">
        <w:rPr>
          <w:rFonts w:ascii="Arial" w:hAnsi="Arial" w:cs="Arial"/>
          <w:b w:val="0"/>
          <w:i w:val="0"/>
          <w:color w:val="17365D"/>
          <w:sz w:val="22"/>
          <w:szCs w:val="22"/>
        </w:rPr>
        <w:t>2.B.5.2.Output indicators</w:t>
      </w:r>
      <w:bookmarkEnd w:id="254"/>
      <w:r w:rsidR="00AC6DF1" w:rsidRPr="00A30AEC">
        <w:rPr>
          <w:rFonts w:ascii="Arial" w:hAnsi="Arial" w:cs="Arial"/>
          <w:b w:val="0"/>
          <w:i w:val="0"/>
          <w:color w:val="17365D"/>
          <w:sz w:val="22"/>
          <w:szCs w:val="22"/>
        </w:rPr>
        <w:t xml:space="preserve"> expected to contribute to results</w:t>
      </w:r>
      <w:bookmarkEnd w:id="255"/>
    </w:p>
    <w:p w:rsidR="00DF4E40" w:rsidRPr="00A30AEC" w:rsidRDefault="00DF4E40">
      <w:pPr>
        <w:pStyle w:val="Text4"/>
        <w:ind w:left="0"/>
        <w:rPr>
          <w:rFonts w:ascii="Arial" w:hAnsi="Arial" w:cs="Arial"/>
          <w:sz w:val="22"/>
          <w:szCs w:val="22"/>
          <w:lang w:eastAsia="sv-SE"/>
        </w:rPr>
      </w:pPr>
      <w:r w:rsidRPr="00A30AEC">
        <w:rPr>
          <w:rFonts w:ascii="Arial" w:hAnsi="Arial" w:cs="Arial"/>
          <w:sz w:val="22"/>
          <w:szCs w:val="22"/>
        </w:rPr>
        <w:t>(Reference: point (c)(iv) of Article 8(2) of Regulation (EU) No 1299/2013)</w:t>
      </w:r>
    </w:p>
    <w:p w:rsidR="00DF4E40" w:rsidRPr="00304864" w:rsidRDefault="00DF4E40">
      <w:pPr>
        <w:rPr>
          <w:rFonts w:ascii="Arial" w:hAnsi="Arial" w:cs="Arial"/>
          <w:i/>
          <w:sz w:val="22"/>
          <w:szCs w:val="22"/>
        </w:rPr>
      </w:pPr>
      <w:r w:rsidRPr="00304864">
        <w:rPr>
          <w:rFonts w:ascii="Arial" w:hAnsi="Arial" w:cs="Arial"/>
          <w:b/>
          <w:sz w:val="22"/>
          <w:szCs w:val="22"/>
        </w:rPr>
        <w:t xml:space="preserve">Table 11: Output indicators </w:t>
      </w:r>
      <w:r w:rsidRPr="00304864">
        <w:rPr>
          <w:rFonts w:ascii="Arial" w:hAnsi="Arial" w:cs="Arial"/>
          <w:i/>
          <w:sz w:val="22"/>
          <w:szCs w:val="22"/>
        </w:rPr>
        <w:t>(by priority axis)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126"/>
        <w:gridCol w:w="1629"/>
        <w:gridCol w:w="2694"/>
        <w:gridCol w:w="1842"/>
      </w:tblGrid>
      <w:tr w:rsidR="00DF4E40" w:rsidRPr="00304864" w:rsidTr="00A961B0">
        <w:trPr>
          <w:trHeight w:val="358"/>
          <w:jc w:val="center"/>
        </w:trPr>
        <w:tc>
          <w:tcPr>
            <w:tcW w:w="959" w:type="dxa"/>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ID</w:t>
            </w:r>
          </w:p>
          <w:p w:rsidR="00DF4E40" w:rsidRPr="00304864" w:rsidRDefault="00DF4E40" w:rsidP="00A30AEC">
            <w:pPr>
              <w:jc w:val="center"/>
              <w:rPr>
                <w:rFonts w:ascii="Arial" w:hAnsi="Arial" w:cs="Arial"/>
                <w:b/>
                <w:sz w:val="20"/>
              </w:rPr>
            </w:pPr>
          </w:p>
        </w:tc>
        <w:tc>
          <w:tcPr>
            <w:tcW w:w="2126" w:type="dxa"/>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Indicator</w:t>
            </w:r>
          </w:p>
          <w:p w:rsidR="00DF4E40" w:rsidRPr="00304864" w:rsidRDefault="00DF4E40" w:rsidP="00A30AEC">
            <w:pPr>
              <w:jc w:val="center"/>
              <w:rPr>
                <w:rFonts w:ascii="Arial" w:hAnsi="Arial" w:cs="Arial"/>
                <w:b/>
                <w:sz w:val="20"/>
              </w:rPr>
            </w:pPr>
          </w:p>
        </w:tc>
        <w:tc>
          <w:tcPr>
            <w:tcW w:w="1629" w:type="dxa"/>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Measurement unit</w:t>
            </w:r>
          </w:p>
        </w:tc>
        <w:tc>
          <w:tcPr>
            <w:tcW w:w="2694" w:type="dxa"/>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Target value (2023)</w:t>
            </w:r>
          </w:p>
          <w:p w:rsidR="00DF4E40" w:rsidRPr="00304864" w:rsidRDefault="00DF4E40" w:rsidP="00A30AEC">
            <w:pPr>
              <w:jc w:val="center"/>
              <w:rPr>
                <w:rFonts w:ascii="Arial" w:hAnsi="Arial" w:cs="Arial"/>
                <w:b/>
                <w:sz w:val="20"/>
              </w:rPr>
            </w:pPr>
            <w:r w:rsidRPr="00304864">
              <w:rPr>
                <w:rFonts w:ascii="Arial" w:hAnsi="Arial" w:cs="Arial"/>
                <w:i/>
                <w:sz w:val="20"/>
              </w:rPr>
              <w:t>(optional)</w:t>
            </w:r>
          </w:p>
        </w:tc>
        <w:tc>
          <w:tcPr>
            <w:tcW w:w="1842" w:type="dxa"/>
            <w:shd w:val="clear" w:color="auto" w:fill="C6D9F1"/>
            <w:vAlign w:val="center"/>
          </w:tcPr>
          <w:p w:rsidR="00DF4E40" w:rsidRPr="00304864" w:rsidRDefault="00DF4E40" w:rsidP="00A30AEC">
            <w:pPr>
              <w:jc w:val="center"/>
              <w:rPr>
                <w:rFonts w:ascii="Arial" w:hAnsi="Arial" w:cs="Arial"/>
                <w:b/>
                <w:sz w:val="20"/>
              </w:rPr>
            </w:pPr>
            <w:r w:rsidRPr="00304864">
              <w:rPr>
                <w:rFonts w:ascii="Arial" w:hAnsi="Arial" w:cs="Arial"/>
                <w:b/>
                <w:sz w:val="20"/>
              </w:rPr>
              <w:t>Source of data</w:t>
            </w:r>
          </w:p>
          <w:p w:rsidR="00DF4E40" w:rsidRPr="00304864" w:rsidRDefault="00DF4E40" w:rsidP="00A30AEC">
            <w:pPr>
              <w:jc w:val="center"/>
              <w:rPr>
                <w:rFonts w:ascii="Arial" w:hAnsi="Arial" w:cs="Arial"/>
                <w:b/>
                <w:sz w:val="20"/>
              </w:rPr>
            </w:pP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Calls for proposals successfully launched and closed</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2</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Observation</w:t>
            </w:r>
          </w:p>
          <w:p w:rsidR="00DF4E40" w:rsidRPr="00304864" w:rsidRDefault="00DF4E40" w:rsidP="00A30AEC">
            <w:pPr>
              <w:jc w:val="center"/>
              <w:rPr>
                <w:rFonts w:ascii="Arial" w:hAnsi="Arial" w:cs="Arial"/>
                <w:sz w:val="20"/>
              </w:rPr>
            </w:pP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Operations approved following calls for proposals</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40</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Programme e-Monitoring System</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Periodic progress reports of operations monitored and paid</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300</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Programme e-Monitoring System</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Programme communication strategy developed and implemented</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1</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Observation</w:t>
            </w:r>
          </w:p>
          <w:p w:rsidR="00DF4E40" w:rsidRPr="00304864" w:rsidRDefault="00DF4E40" w:rsidP="00A30AEC">
            <w:pPr>
              <w:jc w:val="center"/>
              <w:rPr>
                <w:rFonts w:ascii="Arial" w:hAnsi="Arial" w:cs="Arial"/>
                <w:sz w:val="20"/>
              </w:rPr>
            </w:pPr>
            <w:r w:rsidRPr="00304864">
              <w:rPr>
                <w:rFonts w:ascii="Arial" w:hAnsi="Arial" w:cs="Arial"/>
                <w:sz w:val="20"/>
              </w:rPr>
              <w:t>Programme Annual Report</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Independent programme evaluations implemented (ex-ante and during programme implementation)</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2</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Observation</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Programme e-Monitoring System developed and implemented</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1</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Observation</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Network of national controllers established</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1</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Observation</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Audits on programme management and control system and on operations</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Programme e-Monitoring System</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Consultation, information, training and exchange workshops for applicants and beneficiaries organised</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Observation</w:t>
            </w:r>
          </w:p>
        </w:tc>
      </w:tr>
      <w:tr w:rsidR="00DF4E40" w:rsidRPr="00304864" w:rsidTr="00A961B0">
        <w:trPr>
          <w:trHeight w:val="79"/>
          <w:jc w:val="center"/>
        </w:trPr>
        <w:tc>
          <w:tcPr>
            <w:tcW w:w="959" w:type="dxa"/>
            <w:vAlign w:val="center"/>
          </w:tcPr>
          <w:p w:rsidR="00DF4E40" w:rsidRPr="00304864" w:rsidRDefault="00DF4E40" w:rsidP="00A30AEC">
            <w:pPr>
              <w:jc w:val="center"/>
              <w:rPr>
                <w:rFonts w:ascii="Arial" w:hAnsi="Arial" w:cs="Arial"/>
                <w:i/>
                <w:sz w:val="20"/>
              </w:rPr>
            </w:pPr>
          </w:p>
        </w:tc>
        <w:tc>
          <w:tcPr>
            <w:tcW w:w="2126" w:type="dxa"/>
            <w:vAlign w:val="center"/>
          </w:tcPr>
          <w:p w:rsidR="00DF4E40" w:rsidRPr="00304864" w:rsidRDefault="00DF4E40" w:rsidP="00A30AEC">
            <w:pPr>
              <w:jc w:val="center"/>
              <w:rPr>
                <w:rFonts w:ascii="Arial" w:hAnsi="Arial" w:cs="Arial"/>
                <w:sz w:val="20"/>
              </w:rPr>
            </w:pPr>
            <w:r w:rsidRPr="00304864">
              <w:rPr>
                <w:rFonts w:ascii="Arial" w:hAnsi="Arial" w:cs="Arial"/>
                <w:sz w:val="20"/>
              </w:rPr>
              <w:t xml:space="preserve">Established </w:t>
            </w:r>
            <w:r w:rsidR="008772FE">
              <w:rPr>
                <w:rFonts w:ascii="Arial" w:hAnsi="Arial" w:cs="Arial"/>
                <w:sz w:val="20"/>
              </w:rPr>
              <w:t>n</w:t>
            </w:r>
            <w:r w:rsidRPr="00304864">
              <w:rPr>
                <w:rFonts w:ascii="Arial" w:hAnsi="Arial" w:cs="Arial"/>
                <w:sz w:val="20"/>
              </w:rPr>
              <w:t xml:space="preserve">ational </w:t>
            </w:r>
            <w:r w:rsidR="008772FE">
              <w:rPr>
                <w:rFonts w:ascii="Arial" w:hAnsi="Arial" w:cs="Arial"/>
                <w:sz w:val="20"/>
              </w:rPr>
              <w:t>c</w:t>
            </w:r>
            <w:r w:rsidRPr="00304864">
              <w:rPr>
                <w:rFonts w:ascii="Arial" w:hAnsi="Arial" w:cs="Arial"/>
                <w:sz w:val="20"/>
              </w:rPr>
              <w:t xml:space="preserve">ontact </w:t>
            </w:r>
            <w:r w:rsidR="008772FE">
              <w:rPr>
                <w:rFonts w:ascii="Arial" w:hAnsi="Arial" w:cs="Arial"/>
                <w:sz w:val="20"/>
              </w:rPr>
              <w:t>p</w:t>
            </w:r>
            <w:r w:rsidRPr="00304864">
              <w:rPr>
                <w:rFonts w:ascii="Arial" w:hAnsi="Arial" w:cs="Arial"/>
                <w:sz w:val="20"/>
              </w:rPr>
              <w:t>oints</w:t>
            </w:r>
          </w:p>
        </w:tc>
        <w:tc>
          <w:tcPr>
            <w:tcW w:w="1629" w:type="dxa"/>
            <w:vAlign w:val="center"/>
          </w:tcPr>
          <w:p w:rsidR="00DF4E40" w:rsidRPr="00304864" w:rsidRDefault="00DF4E40" w:rsidP="00A30AEC">
            <w:pPr>
              <w:jc w:val="center"/>
              <w:rPr>
                <w:rFonts w:ascii="Arial" w:hAnsi="Arial" w:cs="Arial"/>
                <w:sz w:val="20"/>
              </w:rPr>
            </w:pPr>
            <w:r w:rsidRPr="00304864">
              <w:rPr>
                <w:rFonts w:ascii="Arial" w:hAnsi="Arial" w:cs="Arial"/>
                <w:sz w:val="20"/>
              </w:rPr>
              <w:t>No.</w:t>
            </w:r>
          </w:p>
        </w:tc>
        <w:tc>
          <w:tcPr>
            <w:tcW w:w="2694" w:type="dxa"/>
            <w:vAlign w:val="center"/>
          </w:tcPr>
          <w:p w:rsidR="00DF4E40" w:rsidRPr="00304864" w:rsidRDefault="00DF4E40" w:rsidP="00A30AEC">
            <w:pPr>
              <w:jc w:val="center"/>
              <w:rPr>
                <w:rFonts w:ascii="Arial" w:hAnsi="Arial" w:cs="Arial"/>
                <w:sz w:val="20"/>
              </w:rPr>
            </w:pPr>
            <w:r w:rsidRPr="00304864">
              <w:rPr>
                <w:rFonts w:ascii="Arial" w:hAnsi="Arial" w:cs="Arial"/>
                <w:sz w:val="20"/>
              </w:rPr>
              <w:t>8</w:t>
            </w:r>
          </w:p>
        </w:tc>
        <w:tc>
          <w:tcPr>
            <w:tcW w:w="1842" w:type="dxa"/>
            <w:vAlign w:val="center"/>
          </w:tcPr>
          <w:p w:rsidR="00DF4E40" w:rsidRPr="00304864" w:rsidRDefault="00DF4E40" w:rsidP="00A30AEC">
            <w:pPr>
              <w:jc w:val="center"/>
              <w:rPr>
                <w:rFonts w:ascii="Arial" w:hAnsi="Arial" w:cs="Arial"/>
                <w:sz w:val="20"/>
              </w:rPr>
            </w:pPr>
            <w:r w:rsidRPr="00304864">
              <w:rPr>
                <w:rFonts w:ascii="Arial" w:hAnsi="Arial" w:cs="Arial"/>
                <w:sz w:val="20"/>
              </w:rPr>
              <w:t>Observation</w:t>
            </w:r>
          </w:p>
        </w:tc>
      </w:tr>
      <w:tr w:rsidR="00122D27" w:rsidRPr="00304864" w:rsidTr="00A961B0">
        <w:trPr>
          <w:trHeight w:val="79"/>
          <w:jc w:val="center"/>
        </w:trPr>
        <w:tc>
          <w:tcPr>
            <w:tcW w:w="959" w:type="dxa"/>
            <w:vAlign w:val="center"/>
          </w:tcPr>
          <w:p w:rsidR="00122D27" w:rsidRPr="00304864" w:rsidRDefault="00122D27" w:rsidP="00A30AEC">
            <w:pPr>
              <w:jc w:val="center"/>
              <w:rPr>
                <w:rFonts w:ascii="Arial" w:hAnsi="Arial" w:cs="Arial"/>
                <w:i/>
                <w:sz w:val="20"/>
              </w:rPr>
            </w:pPr>
          </w:p>
        </w:tc>
        <w:tc>
          <w:tcPr>
            <w:tcW w:w="2126" w:type="dxa"/>
            <w:vAlign w:val="center"/>
          </w:tcPr>
          <w:p w:rsidR="00122D27" w:rsidRPr="00304864" w:rsidRDefault="00122D27" w:rsidP="00A30AEC">
            <w:pPr>
              <w:jc w:val="center"/>
              <w:rPr>
                <w:rFonts w:ascii="Arial" w:hAnsi="Arial" w:cs="Arial"/>
                <w:sz w:val="20"/>
              </w:rPr>
            </w:pPr>
            <w:r w:rsidRPr="007825A6">
              <w:rPr>
                <w:rFonts w:ascii="Arial" w:hAnsi="Arial" w:cs="Arial"/>
                <w:sz w:val="20"/>
              </w:rPr>
              <w:t>Number of employees (FTE)</w:t>
            </w:r>
          </w:p>
        </w:tc>
        <w:tc>
          <w:tcPr>
            <w:tcW w:w="1629" w:type="dxa"/>
            <w:vAlign w:val="center"/>
          </w:tcPr>
          <w:p w:rsidR="00122D27" w:rsidRPr="00304864" w:rsidRDefault="00122D27" w:rsidP="00A30AEC">
            <w:pPr>
              <w:jc w:val="center"/>
              <w:rPr>
                <w:rFonts w:ascii="Arial" w:hAnsi="Arial" w:cs="Arial"/>
                <w:sz w:val="20"/>
              </w:rPr>
            </w:pPr>
            <w:r>
              <w:rPr>
                <w:rFonts w:ascii="Arial" w:hAnsi="Arial" w:cs="Arial"/>
                <w:sz w:val="20"/>
              </w:rPr>
              <w:t>No</w:t>
            </w:r>
          </w:p>
        </w:tc>
        <w:tc>
          <w:tcPr>
            <w:tcW w:w="2694" w:type="dxa"/>
            <w:vAlign w:val="center"/>
          </w:tcPr>
          <w:p w:rsidR="00122D27" w:rsidRPr="00304864" w:rsidRDefault="00122D27" w:rsidP="00A30AEC">
            <w:pPr>
              <w:jc w:val="center"/>
              <w:rPr>
                <w:rFonts w:ascii="Arial" w:hAnsi="Arial" w:cs="Arial"/>
                <w:sz w:val="20"/>
              </w:rPr>
            </w:pPr>
          </w:p>
        </w:tc>
        <w:tc>
          <w:tcPr>
            <w:tcW w:w="1842" w:type="dxa"/>
            <w:vAlign w:val="center"/>
          </w:tcPr>
          <w:p w:rsidR="00122D27" w:rsidRPr="00304864" w:rsidRDefault="006009B9" w:rsidP="00A30AEC">
            <w:pPr>
              <w:jc w:val="center"/>
              <w:rPr>
                <w:rFonts w:ascii="Arial" w:hAnsi="Arial" w:cs="Arial"/>
                <w:sz w:val="20"/>
              </w:rPr>
            </w:pPr>
            <w:r>
              <w:rPr>
                <w:rFonts w:ascii="Arial" w:hAnsi="Arial" w:cs="Arial"/>
                <w:sz w:val="20"/>
              </w:rPr>
              <w:t>Observation</w:t>
            </w:r>
          </w:p>
        </w:tc>
      </w:tr>
    </w:tbl>
    <w:p w:rsidR="00DF4E40" w:rsidRPr="00304864" w:rsidRDefault="00DF4E40">
      <w:pPr>
        <w:rPr>
          <w:rFonts w:ascii="Arial" w:hAnsi="Arial" w:cs="Arial"/>
          <w:sz w:val="22"/>
          <w:szCs w:val="22"/>
        </w:rPr>
      </w:pPr>
      <w:bookmarkStart w:id="256" w:name="_Toc365660138"/>
      <w:bookmarkStart w:id="257" w:name="_Toc366097046"/>
      <w:bookmarkStart w:id="258" w:name="_Toc377402576"/>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Pr>
          <w:rFonts w:ascii="Arial" w:hAnsi="Arial" w:cs="Arial"/>
          <w:b w:val="0"/>
          <w:color w:val="17365D"/>
          <w:sz w:val="22"/>
          <w:szCs w:val="22"/>
        </w:rPr>
      </w:pPr>
      <w:bookmarkStart w:id="259" w:name="_Toc420652557"/>
      <w:bookmarkStart w:id="260" w:name="_Toc421076909"/>
      <w:r w:rsidRPr="00A30AEC">
        <w:rPr>
          <w:rFonts w:ascii="Arial" w:hAnsi="Arial" w:cs="Arial"/>
          <w:b w:val="0"/>
          <w:color w:val="17365D"/>
          <w:sz w:val="22"/>
          <w:szCs w:val="22"/>
        </w:rPr>
        <w:t>2.B.6.Categories of intervention</w:t>
      </w:r>
      <w:bookmarkEnd w:id="256"/>
      <w:bookmarkEnd w:id="257"/>
      <w:bookmarkEnd w:id="258"/>
      <w:bookmarkEnd w:id="259"/>
      <w:bookmarkEnd w:id="260"/>
    </w:p>
    <w:p w:rsidR="00AC6DF1" w:rsidRPr="00A30AEC" w:rsidRDefault="00AC6DF1">
      <w:pPr>
        <w:rPr>
          <w:rFonts w:ascii="Arial" w:hAnsi="Arial" w:cs="Arial"/>
          <w:sz w:val="22"/>
          <w:szCs w:val="22"/>
        </w:rPr>
      </w:pPr>
      <w:r w:rsidRPr="00A30AEC">
        <w:rPr>
          <w:rFonts w:ascii="Arial" w:hAnsi="Arial" w:cs="Arial"/>
          <w:sz w:val="22"/>
          <w:szCs w:val="22"/>
        </w:rPr>
        <w:t>(Reference: point (c)(v) of Article 8(2) of the ETC Regulation)</w:t>
      </w:r>
    </w:p>
    <w:p w:rsidR="00DF4E40" w:rsidRPr="00304864" w:rsidRDefault="00DF4E40">
      <w:pPr>
        <w:rPr>
          <w:rFonts w:ascii="Arial" w:hAnsi="Arial" w:cs="Arial"/>
          <w:b/>
          <w:sz w:val="22"/>
          <w:szCs w:val="22"/>
        </w:rPr>
      </w:pPr>
      <w:r w:rsidRPr="00304864">
        <w:rPr>
          <w:rFonts w:ascii="Arial" w:hAnsi="Arial" w:cs="Arial"/>
          <w:b/>
          <w:sz w:val="22"/>
          <w:szCs w:val="22"/>
        </w:rPr>
        <w:t>Table 12-14: Categories of intervention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5"/>
        <w:gridCol w:w="3096"/>
      </w:tblGrid>
      <w:tr w:rsidR="00DF4E40" w:rsidRPr="00304864" w:rsidTr="00A961B0">
        <w:trPr>
          <w:trHeight w:val="411"/>
          <w:jc w:val="center"/>
        </w:trPr>
        <w:tc>
          <w:tcPr>
            <w:tcW w:w="9286" w:type="dxa"/>
            <w:gridSpan w:val="3"/>
            <w:vAlign w:val="center"/>
          </w:tcPr>
          <w:p w:rsidR="00DF4E40" w:rsidRPr="00304864" w:rsidRDefault="00DF4E40">
            <w:pPr>
              <w:rPr>
                <w:rFonts w:ascii="Arial" w:hAnsi="Arial" w:cs="Arial"/>
                <w:b/>
                <w:sz w:val="20"/>
              </w:rPr>
            </w:pPr>
            <w:r w:rsidRPr="00304864">
              <w:rPr>
                <w:rFonts w:ascii="Arial" w:hAnsi="Arial" w:cs="Arial"/>
                <w:b/>
                <w:sz w:val="20"/>
              </w:rPr>
              <w:t>Table 12: Dimension 1: Intervention field</w:t>
            </w:r>
          </w:p>
        </w:tc>
      </w:tr>
      <w:tr w:rsidR="00DF4E40" w:rsidRPr="00304864" w:rsidTr="00A961B0">
        <w:trPr>
          <w:jc w:val="center"/>
        </w:trPr>
        <w:tc>
          <w:tcPr>
            <w:tcW w:w="3095" w:type="dxa"/>
            <w:vAlign w:val="center"/>
          </w:tcPr>
          <w:p w:rsidR="00DF4E40" w:rsidRPr="00304864" w:rsidRDefault="00DF4E40">
            <w:pPr>
              <w:jc w:val="center"/>
              <w:rPr>
                <w:rFonts w:ascii="Arial" w:hAnsi="Arial" w:cs="Arial"/>
                <w:b/>
                <w:sz w:val="20"/>
              </w:rPr>
            </w:pPr>
            <w:r w:rsidRPr="00304864">
              <w:rPr>
                <w:rFonts w:ascii="Arial" w:hAnsi="Arial" w:cs="Arial"/>
                <w:b/>
                <w:sz w:val="20"/>
              </w:rPr>
              <w:t>Priority Axis</w:t>
            </w:r>
          </w:p>
        </w:tc>
        <w:tc>
          <w:tcPr>
            <w:tcW w:w="3095" w:type="dxa"/>
            <w:vAlign w:val="center"/>
          </w:tcPr>
          <w:p w:rsidR="00DF4E40" w:rsidRPr="00304864" w:rsidRDefault="00DF4E40">
            <w:pPr>
              <w:ind w:left="-118"/>
              <w:jc w:val="center"/>
              <w:rPr>
                <w:rFonts w:ascii="Arial" w:hAnsi="Arial" w:cs="Arial"/>
                <w:b/>
                <w:sz w:val="20"/>
              </w:rPr>
            </w:pPr>
            <w:r w:rsidRPr="00304864">
              <w:rPr>
                <w:rFonts w:ascii="Arial" w:hAnsi="Arial" w:cs="Arial"/>
                <w:b/>
                <w:sz w:val="20"/>
              </w:rPr>
              <w:t>Code</w:t>
            </w:r>
          </w:p>
        </w:tc>
        <w:tc>
          <w:tcPr>
            <w:tcW w:w="3096" w:type="dxa"/>
            <w:vAlign w:val="center"/>
          </w:tcPr>
          <w:p w:rsidR="00DF4E40" w:rsidRPr="00304864" w:rsidRDefault="00DF4E40">
            <w:pPr>
              <w:jc w:val="center"/>
              <w:rPr>
                <w:rFonts w:ascii="Arial" w:hAnsi="Arial" w:cs="Arial"/>
                <w:b/>
                <w:sz w:val="20"/>
              </w:rPr>
            </w:pPr>
            <w:r w:rsidRPr="00304864">
              <w:rPr>
                <w:rFonts w:ascii="Arial" w:hAnsi="Arial" w:cs="Arial"/>
                <w:b/>
                <w:sz w:val="20"/>
              </w:rPr>
              <w:t>EUR amount</w:t>
            </w:r>
          </w:p>
        </w:tc>
      </w:tr>
      <w:tr w:rsidR="00415612" w:rsidRPr="00304864" w:rsidTr="007825A6">
        <w:trPr>
          <w:jc w:val="center"/>
        </w:trPr>
        <w:tc>
          <w:tcPr>
            <w:tcW w:w="3095" w:type="dxa"/>
            <w:vAlign w:val="center"/>
          </w:tcPr>
          <w:p w:rsidR="00415612" w:rsidRPr="00304864" w:rsidRDefault="00415612">
            <w:pPr>
              <w:jc w:val="center"/>
              <w:rPr>
                <w:rFonts w:ascii="Arial" w:hAnsi="Arial" w:cs="Arial"/>
                <w:b/>
                <w:sz w:val="20"/>
              </w:rPr>
            </w:pPr>
            <w:r w:rsidRPr="00304864">
              <w:rPr>
                <w:rFonts w:ascii="Arial" w:hAnsi="Arial" w:cs="Arial"/>
                <w:b/>
                <w:sz w:val="20"/>
              </w:rPr>
              <w:t>5</w:t>
            </w:r>
          </w:p>
        </w:tc>
        <w:tc>
          <w:tcPr>
            <w:tcW w:w="3095" w:type="dxa"/>
            <w:vAlign w:val="center"/>
          </w:tcPr>
          <w:p w:rsidR="00415612" w:rsidRPr="00304864" w:rsidRDefault="00415612">
            <w:pPr>
              <w:jc w:val="left"/>
              <w:rPr>
                <w:rFonts w:ascii="Arial" w:hAnsi="Arial" w:cs="Arial"/>
                <w:sz w:val="20"/>
              </w:rPr>
            </w:pPr>
            <w:r w:rsidRPr="00304864">
              <w:rPr>
                <w:rFonts w:ascii="Arial" w:hAnsi="Arial" w:cs="Arial"/>
                <w:sz w:val="20"/>
              </w:rPr>
              <w:t>121: Preparation, implementation monitoring and inspection</w:t>
            </w:r>
          </w:p>
        </w:tc>
        <w:tc>
          <w:tcPr>
            <w:tcW w:w="3096" w:type="dxa"/>
          </w:tcPr>
          <w:p w:rsidR="00415612" w:rsidRPr="00693E73" w:rsidRDefault="00415612">
            <w:pPr>
              <w:jc w:val="center"/>
              <w:rPr>
                <w:rFonts w:ascii="Arial" w:hAnsi="Arial" w:cs="Arial"/>
                <w:sz w:val="20"/>
              </w:rPr>
            </w:pPr>
            <w:r w:rsidRPr="00693E73">
              <w:rPr>
                <w:rFonts w:ascii="Arial" w:hAnsi="Arial" w:cs="Arial"/>
                <w:sz w:val="20"/>
              </w:rPr>
              <w:t xml:space="preserve">5.206.450 </w:t>
            </w:r>
          </w:p>
        </w:tc>
      </w:tr>
      <w:tr w:rsidR="00415612" w:rsidRPr="00304864" w:rsidTr="007825A6">
        <w:trPr>
          <w:jc w:val="center"/>
        </w:trPr>
        <w:tc>
          <w:tcPr>
            <w:tcW w:w="3095" w:type="dxa"/>
            <w:vAlign w:val="center"/>
          </w:tcPr>
          <w:p w:rsidR="00415612" w:rsidRPr="00304864" w:rsidRDefault="00415612">
            <w:pPr>
              <w:jc w:val="center"/>
              <w:rPr>
                <w:rFonts w:ascii="Arial" w:hAnsi="Arial" w:cs="Arial"/>
                <w:b/>
                <w:sz w:val="20"/>
              </w:rPr>
            </w:pPr>
            <w:r w:rsidRPr="00304864">
              <w:rPr>
                <w:rFonts w:ascii="Arial" w:hAnsi="Arial" w:cs="Arial"/>
                <w:b/>
                <w:sz w:val="20"/>
              </w:rPr>
              <w:t>5</w:t>
            </w:r>
          </w:p>
        </w:tc>
        <w:tc>
          <w:tcPr>
            <w:tcW w:w="3095" w:type="dxa"/>
            <w:vAlign w:val="center"/>
          </w:tcPr>
          <w:p w:rsidR="00415612" w:rsidRPr="00304864" w:rsidRDefault="00415612">
            <w:pPr>
              <w:jc w:val="left"/>
              <w:rPr>
                <w:rFonts w:ascii="Arial" w:hAnsi="Arial" w:cs="Arial"/>
                <w:sz w:val="20"/>
              </w:rPr>
            </w:pPr>
            <w:r w:rsidRPr="00304864">
              <w:rPr>
                <w:rFonts w:ascii="Arial" w:hAnsi="Arial" w:cs="Arial"/>
                <w:sz w:val="20"/>
              </w:rPr>
              <w:t>122: Evaluation and studies</w:t>
            </w:r>
          </w:p>
        </w:tc>
        <w:tc>
          <w:tcPr>
            <w:tcW w:w="3096" w:type="dxa"/>
          </w:tcPr>
          <w:p w:rsidR="00415612" w:rsidRPr="00693E73" w:rsidRDefault="00415612">
            <w:pPr>
              <w:jc w:val="center"/>
              <w:rPr>
                <w:rFonts w:ascii="Arial" w:hAnsi="Arial" w:cs="Arial"/>
                <w:sz w:val="20"/>
              </w:rPr>
            </w:pPr>
            <w:r w:rsidRPr="00693E73">
              <w:rPr>
                <w:rFonts w:ascii="Arial" w:hAnsi="Arial" w:cs="Arial"/>
                <w:sz w:val="20"/>
              </w:rPr>
              <w:t xml:space="preserve">650.806 </w:t>
            </w:r>
          </w:p>
        </w:tc>
      </w:tr>
      <w:tr w:rsidR="00415612" w:rsidRPr="00304864" w:rsidTr="007825A6">
        <w:trPr>
          <w:jc w:val="center"/>
        </w:trPr>
        <w:tc>
          <w:tcPr>
            <w:tcW w:w="3095" w:type="dxa"/>
            <w:vAlign w:val="center"/>
          </w:tcPr>
          <w:p w:rsidR="00415612" w:rsidRPr="00304864" w:rsidRDefault="00415612">
            <w:pPr>
              <w:jc w:val="center"/>
              <w:rPr>
                <w:rFonts w:ascii="Arial" w:hAnsi="Arial" w:cs="Arial"/>
                <w:b/>
                <w:sz w:val="20"/>
              </w:rPr>
            </w:pPr>
            <w:r w:rsidRPr="00304864">
              <w:rPr>
                <w:rFonts w:ascii="Arial" w:hAnsi="Arial" w:cs="Arial"/>
                <w:b/>
                <w:sz w:val="20"/>
              </w:rPr>
              <w:t>5</w:t>
            </w:r>
          </w:p>
        </w:tc>
        <w:tc>
          <w:tcPr>
            <w:tcW w:w="3095" w:type="dxa"/>
            <w:vAlign w:val="center"/>
          </w:tcPr>
          <w:p w:rsidR="00415612" w:rsidRPr="00304864" w:rsidRDefault="00415612">
            <w:pPr>
              <w:jc w:val="left"/>
              <w:rPr>
                <w:rFonts w:ascii="Arial" w:hAnsi="Arial" w:cs="Arial"/>
                <w:sz w:val="20"/>
              </w:rPr>
            </w:pPr>
            <w:r w:rsidRPr="00304864">
              <w:rPr>
                <w:rFonts w:ascii="Arial" w:hAnsi="Arial" w:cs="Arial"/>
                <w:sz w:val="20"/>
              </w:rPr>
              <w:t>123: Information and communication</w:t>
            </w:r>
          </w:p>
        </w:tc>
        <w:tc>
          <w:tcPr>
            <w:tcW w:w="3096" w:type="dxa"/>
          </w:tcPr>
          <w:p w:rsidR="00415612" w:rsidRPr="00693E73" w:rsidRDefault="00415612">
            <w:pPr>
              <w:jc w:val="center"/>
              <w:rPr>
                <w:rFonts w:ascii="Arial" w:hAnsi="Arial" w:cs="Arial"/>
                <w:sz w:val="20"/>
              </w:rPr>
            </w:pPr>
            <w:r w:rsidRPr="00693E73">
              <w:rPr>
                <w:rFonts w:ascii="Arial" w:hAnsi="Arial" w:cs="Arial"/>
                <w:sz w:val="20"/>
              </w:rPr>
              <w:t xml:space="preserve">650.806 </w:t>
            </w:r>
          </w:p>
        </w:tc>
      </w:tr>
    </w:tbl>
    <w:p w:rsidR="00DF4E40" w:rsidRPr="00304864" w:rsidRDefault="00DF4E4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5"/>
        <w:gridCol w:w="3096"/>
      </w:tblGrid>
      <w:tr w:rsidR="00DF4E40" w:rsidRPr="00304864" w:rsidTr="00A961B0">
        <w:trPr>
          <w:jc w:val="center"/>
        </w:trPr>
        <w:tc>
          <w:tcPr>
            <w:tcW w:w="9286" w:type="dxa"/>
            <w:gridSpan w:val="3"/>
            <w:vAlign w:val="center"/>
          </w:tcPr>
          <w:p w:rsidR="00DF4E40" w:rsidRPr="00304864" w:rsidRDefault="00DF4E40">
            <w:pPr>
              <w:rPr>
                <w:rFonts w:ascii="Arial" w:hAnsi="Arial" w:cs="Arial"/>
                <w:b/>
                <w:sz w:val="20"/>
              </w:rPr>
            </w:pPr>
            <w:r w:rsidRPr="00304864">
              <w:rPr>
                <w:rFonts w:ascii="Arial" w:hAnsi="Arial" w:cs="Arial"/>
                <w:b/>
                <w:sz w:val="20"/>
              </w:rPr>
              <w:t>Table 13: Dimension 2: Form of finance</w:t>
            </w:r>
          </w:p>
        </w:tc>
      </w:tr>
      <w:tr w:rsidR="00DF4E40" w:rsidRPr="00304864" w:rsidTr="00A961B0">
        <w:trPr>
          <w:jc w:val="center"/>
        </w:trPr>
        <w:tc>
          <w:tcPr>
            <w:tcW w:w="3095" w:type="dxa"/>
            <w:vAlign w:val="center"/>
          </w:tcPr>
          <w:p w:rsidR="00DF4E40" w:rsidRPr="00304864" w:rsidRDefault="00DF4E40">
            <w:pPr>
              <w:jc w:val="center"/>
              <w:rPr>
                <w:rFonts w:ascii="Arial" w:hAnsi="Arial" w:cs="Arial"/>
                <w:b/>
                <w:sz w:val="20"/>
              </w:rPr>
            </w:pPr>
            <w:r w:rsidRPr="00304864">
              <w:rPr>
                <w:rFonts w:ascii="Arial" w:hAnsi="Arial" w:cs="Arial"/>
                <w:b/>
                <w:sz w:val="20"/>
              </w:rPr>
              <w:t>Priority Axis</w:t>
            </w:r>
          </w:p>
        </w:tc>
        <w:tc>
          <w:tcPr>
            <w:tcW w:w="3095" w:type="dxa"/>
            <w:vAlign w:val="center"/>
          </w:tcPr>
          <w:p w:rsidR="00DF4E40" w:rsidRPr="00304864" w:rsidRDefault="00DF4E40">
            <w:pPr>
              <w:ind w:left="-118"/>
              <w:jc w:val="center"/>
              <w:rPr>
                <w:rFonts w:ascii="Arial" w:hAnsi="Arial" w:cs="Arial"/>
                <w:b/>
                <w:sz w:val="20"/>
              </w:rPr>
            </w:pPr>
            <w:r w:rsidRPr="00304864">
              <w:rPr>
                <w:rFonts w:ascii="Arial" w:hAnsi="Arial" w:cs="Arial"/>
                <w:b/>
                <w:sz w:val="20"/>
              </w:rPr>
              <w:t>Code</w:t>
            </w:r>
          </w:p>
        </w:tc>
        <w:tc>
          <w:tcPr>
            <w:tcW w:w="3096" w:type="dxa"/>
            <w:vAlign w:val="center"/>
          </w:tcPr>
          <w:p w:rsidR="00DF4E40" w:rsidRPr="00304864" w:rsidRDefault="00DF4E40">
            <w:pPr>
              <w:jc w:val="center"/>
              <w:rPr>
                <w:rFonts w:ascii="Arial" w:hAnsi="Arial" w:cs="Arial"/>
                <w:b/>
                <w:sz w:val="20"/>
              </w:rPr>
            </w:pPr>
            <w:r w:rsidRPr="00304864">
              <w:rPr>
                <w:rFonts w:ascii="Arial" w:hAnsi="Arial" w:cs="Arial"/>
                <w:b/>
                <w:sz w:val="20"/>
              </w:rPr>
              <w:t>EUR amount</w:t>
            </w:r>
          </w:p>
        </w:tc>
      </w:tr>
      <w:tr w:rsidR="00DF4E40" w:rsidRPr="00304864" w:rsidTr="00A961B0">
        <w:trPr>
          <w:jc w:val="center"/>
        </w:trPr>
        <w:tc>
          <w:tcPr>
            <w:tcW w:w="3095" w:type="dxa"/>
            <w:vAlign w:val="center"/>
          </w:tcPr>
          <w:p w:rsidR="00DF4E40" w:rsidRPr="00304864" w:rsidRDefault="00DF4E40">
            <w:pPr>
              <w:jc w:val="center"/>
              <w:rPr>
                <w:rFonts w:ascii="Arial" w:hAnsi="Arial" w:cs="Arial"/>
                <w:b/>
                <w:sz w:val="20"/>
              </w:rPr>
            </w:pPr>
            <w:r w:rsidRPr="00304864">
              <w:rPr>
                <w:rFonts w:ascii="Arial" w:hAnsi="Arial" w:cs="Arial"/>
                <w:b/>
                <w:sz w:val="20"/>
              </w:rPr>
              <w:t>5</w:t>
            </w:r>
          </w:p>
        </w:tc>
        <w:tc>
          <w:tcPr>
            <w:tcW w:w="3095" w:type="dxa"/>
            <w:vAlign w:val="center"/>
          </w:tcPr>
          <w:p w:rsidR="00DF4E40" w:rsidRPr="00304864" w:rsidRDefault="00DF4E40">
            <w:pPr>
              <w:rPr>
                <w:rFonts w:ascii="Arial" w:hAnsi="Arial" w:cs="Arial"/>
                <w:sz w:val="20"/>
              </w:rPr>
            </w:pPr>
            <w:r w:rsidRPr="00304864">
              <w:rPr>
                <w:rFonts w:ascii="Arial" w:hAnsi="Arial" w:cs="Arial"/>
                <w:sz w:val="20"/>
              </w:rPr>
              <w:t>01: Non-repayable grant</w:t>
            </w:r>
          </w:p>
        </w:tc>
        <w:tc>
          <w:tcPr>
            <w:tcW w:w="3096" w:type="dxa"/>
            <w:vAlign w:val="center"/>
          </w:tcPr>
          <w:p w:rsidR="00DF4E40" w:rsidRPr="00304864" w:rsidRDefault="00415612">
            <w:pPr>
              <w:jc w:val="center"/>
              <w:rPr>
                <w:rFonts w:ascii="Arial" w:hAnsi="Arial" w:cs="Arial"/>
                <w:sz w:val="20"/>
              </w:rPr>
            </w:pPr>
            <w:r w:rsidRPr="00693E73">
              <w:rPr>
                <w:rFonts w:ascii="Arial" w:hAnsi="Arial" w:cs="Arial"/>
                <w:color w:val="000000"/>
                <w:sz w:val="20"/>
              </w:rPr>
              <w:t>6.508.063</w:t>
            </w:r>
          </w:p>
        </w:tc>
      </w:tr>
    </w:tbl>
    <w:p w:rsidR="00DF4E40" w:rsidRPr="00304864" w:rsidRDefault="00DF4E4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3095"/>
        <w:gridCol w:w="3096"/>
      </w:tblGrid>
      <w:tr w:rsidR="00DF4E40" w:rsidRPr="00304864" w:rsidTr="00A961B0">
        <w:trPr>
          <w:jc w:val="center"/>
        </w:trPr>
        <w:tc>
          <w:tcPr>
            <w:tcW w:w="9286" w:type="dxa"/>
            <w:gridSpan w:val="3"/>
            <w:vAlign w:val="center"/>
          </w:tcPr>
          <w:p w:rsidR="00DF4E40" w:rsidRPr="00304864" w:rsidRDefault="00DF4E40">
            <w:pPr>
              <w:rPr>
                <w:rFonts w:ascii="Arial" w:hAnsi="Arial" w:cs="Arial"/>
                <w:b/>
                <w:sz w:val="20"/>
              </w:rPr>
            </w:pPr>
            <w:r w:rsidRPr="00304864">
              <w:rPr>
                <w:rFonts w:ascii="Arial" w:hAnsi="Arial" w:cs="Arial"/>
                <w:b/>
                <w:sz w:val="20"/>
              </w:rPr>
              <w:t>Table 14: Dimension 2: Territory type</w:t>
            </w:r>
          </w:p>
        </w:tc>
      </w:tr>
      <w:tr w:rsidR="00DF4E40" w:rsidRPr="00304864" w:rsidTr="00A961B0">
        <w:trPr>
          <w:jc w:val="center"/>
        </w:trPr>
        <w:tc>
          <w:tcPr>
            <w:tcW w:w="3095" w:type="dxa"/>
            <w:vAlign w:val="center"/>
          </w:tcPr>
          <w:p w:rsidR="00DF4E40" w:rsidRPr="00304864" w:rsidRDefault="00DF4E40">
            <w:pPr>
              <w:jc w:val="center"/>
              <w:rPr>
                <w:rFonts w:ascii="Arial" w:hAnsi="Arial" w:cs="Arial"/>
                <w:b/>
                <w:sz w:val="20"/>
              </w:rPr>
            </w:pPr>
            <w:r w:rsidRPr="00304864">
              <w:rPr>
                <w:rFonts w:ascii="Arial" w:hAnsi="Arial" w:cs="Arial"/>
                <w:b/>
                <w:sz w:val="20"/>
              </w:rPr>
              <w:t>Priority Axis</w:t>
            </w:r>
          </w:p>
        </w:tc>
        <w:tc>
          <w:tcPr>
            <w:tcW w:w="3095" w:type="dxa"/>
            <w:vAlign w:val="center"/>
          </w:tcPr>
          <w:p w:rsidR="00DF4E40" w:rsidRPr="00304864" w:rsidRDefault="00DF4E40">
            <w:pPr>
              <w:ind w:left="-118"/>
              <w:jc w:val="center"/>
              <w:rPr>
                <w:rFonts w:ascii="Arial" w:hAnsi="Arial" w:cs="Arial"/>
                <w:b/>
                <w:sz w:val="20"/>
              </w:rPr>
            </w:pPr>
            <w:r w:rsidRPr="00304864">
              <w:rPr>
                <w:rFonts w:ascii="Arial" w:hAnsi="Arial" w:cs="Arial"/>
                <w:b/>
                <w:sz w:val="20"/>
              </w:rPr>
              <w:t>Code</w:t>
            </w:r>
          </w:p>
        </w:tc>
        <w:tc>
          <w:tcPr>
            <w:tcW w:w="3096" w:type="dxa"/>
            <w:vAlign w:val="center"/>
          </w:tcPr>
          <w:p w:rsidR="00DF4E40" w:rsidRPr="00304864" w:rsidRDefault="00DF4E40">
            <w:pPr>
              <w:jc w:val="center"/>
              <w:rPr>
                <w:rFonts w:ascii="Arial" w:hAnsi="Arial" w:cs="Arial"/>
                <w:b/>
                <w:sz w:val="20"/>
              </w:rPr>
            </w:pPr>
            <w:r w:rsidRPr="00304864">
              <w:rPr>
                <w:rFonts w:ascii="Arial" w:hAnsi="Arial" w:cs="Arial"/>
                <w:b/>
                <w:sz w:val="20"/>
              </w:rPr>
              <w:t>EUR amount</w:t>
            </w:r>
          </w:p>
        </w:tc>
      </w:tr>
      <w:tr w:rsidR="00DF4E40" w:rsidRPr="00304864" w:rsidTr="00A961B0">
        <w:trPr>
          <w:jc w:val="center"/>
        </w:trPr>
        <w:tc>
          <w:tcPr>
            <w:tcW w:w="3095" w:type="dxa"/>
            <w:vAlign w:val="center"/>
          </w:tcPr>
          <w:p w:rsidR="00DF4E40" w:rsidRPr="00304864" w:rsidRDefault="00DF4E40">
            <w:pPr>
              <w:jc w:val="center"/>
              <w:rPr>
                <w:rFonts w:ascii="Arial" w:hAnsi="Arial" w:cs="Arial"/>
                <w:b/>
                <w:sz w:val="20"/>
              </w:rPr>
            </w:pPr>
            <w:r w:rsidRPr="00304864">
              <w:rPr>
                <w:rFonts w:ascii="Arial" w:hAnsi="Arial" w:cs="Arial"/>
                <w:b/>
                <w:sz w:val="20"/>
              </w:rPr>
              <w:t>5</w:t>
            </w:r>
          </w:p>
        </w:tc>
        <w:tc>
          <w:tcPr>
            <w:tcW w:w="3095" w:type="dxa"/>
            <w:vAlign w:val="center"/>
          </w:tcPr>
          <w:p w:rsidR="00DF4E40" w:rsidRPr="00304864" w:rsidRDefault="00DF4E40">
            <w:pPr>
              <w:rPr>
                <w:rFonts w:ascii="Arial" w:hAnsi="Arial" w:cs="Arial"/>
                <w:sz w:val="20"/>
              </w:rPr>
            </w:pPr>
            <w:r w:rsidRPr="00304864">
              <w:rPr>
                <w:rFonts w:ascii="Arial" w:hAnsi="Arial" w:cs="Arial"/>
                <w:sz w:val="20"/>
              </w:rPr>
              <w:t>07: Not applicable</w:t>
            </w:r>
          </w:p>
        </w:tc>
        <w:tc>
          <w:tcPr>
            <w:tcW w:w="3096" w:type="dxa"/>
            <w:vAlign w:val="center"/>
          </w:tcPr>
          <w:p w:rsidR="00DF4E40" w:rsidRPr="00304864" w:rsidRDefault="00415612">
            <w:pPr>
              <w:jc w:val="center"/>
              <w:rPr>
                <w:rFonts w:ascii="Arial" w:hAnsi="Arial" w:cs="Arial"/>
                <w:sz w:val="20"/>
              </w:rPr>
            </w:pPr>
            <w:r w:rsidRPr="00693E73">
              <w:rPr>
                <w:rFonts w:ascii="Arial" w:hAnsi="Arial" w:cs="Arial"/>
                <w:color w:val="000000"/>
                <w:sz w:val="20"/>
              </w:rPr>
              <w:t>6.508.063</w:t>
            </w:r>
          </w:p>
        </w:tc>
      </w:tr>
    </w:tbl>
    <w:p w:rsidR="00F92654" w:rsidRDefault="00F92654">
      <w:pPr>
        <w:pStyle w:val="Text1"/>
        <w:rPr>
          <w:rFonts w:ascii="Arial" w:hAnsi="Arial" w:cs="Arial"/>
          <w:sz w:val="22"/>
          <w:szCs w:val="22"/>
          <w:lang w:eastAsia="sv-SE"/>
        </w:rPr>
        <w:sectPr w:rsidR="00F92654" w:rsidSect="00A961B0">
          <w:pgSz w:w="11906" w:h="16838"/>
          <w:pgMar w:top="1417" w:right="1134" w:bottom="1134" w:left="1134" w:header="601" w:footer="1077" w:gutter="0"/>
          <w:cols w:space="720"/>
          <w:docGrid w:linePitch="326"/>
        </w:sectPr>
      </w:pPr>
    </w:p>
    <w:p w:rsidR="00DF4E40" w:rsidRPr="00304864" w:rsidRDefault="00DF4E40">
      <w:pPr>
        <w:pStyle w:val="Heading1"/>
      </w:pPr>
      <w:bookmarkStart w:id="261" w:name="_Toc365660139"/>
      <w:bookmarkStart w:id="262" w:name="_Toc366097047"/>
      <w:bookmarkStart w:id="263" w:name="_Toc377402577"/>
      <w:bookmarkStart w:id="264" w:name="_Toc420652558"/>
      <w:bookmarkStart w:id="265" w:name="_Toc421076910"/>
      <w:r w:rsidRPr="00304864">
        <w:t>Section 3. The financing plan</w:t>
      </w:r>
      <w:bookmarkEnd w:id="261"/>
      <w:bookmarkEnd w:id="262"/>
      <w:bookmarkEnd w:id="263"/>
      <w:bookmarkEnd w:id="264"/>
      <w:bookmarkEnd w:id="265"/>
    </w:p>
    <w:p w:rsidR="00DF4E40" w:rsidRPr="00A30AEC" w:rsidRDefault="00DF4E40">
      <w:pPr>
        <w:pStyle w:val="Text1"/>
        <w:ind w:left="0"/>
        <w:rPr>
          <w:rFonts w:ascii="Arial" w:hAnsi="Arial" w:cs="Arial"/>
          <w:sz w:val="22"/>
          <w:szCs w:val="22"/>
        </w:rPr>
      </w:pPr>
      <w:r w:rsidRPr="00A30AEC">
        <w:rPr>
          <w:rFonts w:ascii="Arial" w:hAnsi="Arial" w:cs="Arial"/>
          <w:sz w:val="22"/>
          <w:szCs w:val="22"/>
        </w:rPr>
        <w:t>(Reference: point (d) of Article 8(2) of Regulation (EU) No 1299/2013)</w:t>
      </w:r>
    </w:p>
    <w:p w:rsidR="007142EE" w:rsidRDefault="007142EE">
      <w:pPr>
        <w:pStyle w:val="Text1"/>
        <w:ind w:left="0"/>
        <w:rPr>
          <w:rFonts w:ascii="Arial" w:hAnsi="Arial" w:cs="Arial"/>
          <w:i/>
          <w:sz w:val="22"/>
          <w:szCs w:val="22"/>
        </w:rPr>
      </w:pPr>
    </w:p>
    <w:p w:rsidR="007142EE" w:rsidRPr="00304864" w:rsidRDefault="007142EE">
      <w:pPr>
        <w:pStyle w:val="Text1"/>
        <w:ind w:left="0"/>
        <w:rPr>
          <w:rFonts w:ascii="Arial" w:eastAsia="Arial Unicode MS" w:hAnsi="Arial" w:cs="Arial"/>
          <w:i/>
          <w:sz w:val="22"/>
          <w:szCs w:val="22"/>
          <w:lang w:eastAsia="sv-SE"/>
        </w:rPr>
      </w:pPr>
    </w:p>
    <w:p w:rsidR="00DF4E40" w:rsidRPr="00304864" w:rsidRDefault="00DF4E40" w:rsidP="00A30AEC">
      <w:pPr>
        <w:pStyle w:val="Heading2"/>
        <w:spacing w:after="120"/>
      </w:pPr>
      <w:bookmarkStart w:id="266" w:name="_Toc420652559"/>
      <w:bookmarkStart w:id="267" w:name="_Toc421076911"/>
      <w:bookmarkStart w:id="268" w:name="_Toc365660140"/>
      <w:bookmarkStart w:id="269" w:name="_Toc366097048"/>
      <w:bookmarkStart w:id="270" w:name="_Toc377402578"/>
      <w:r w:rsidRPr="00304864">
        <w:t>3.1.Financial appropriation from ERDF and IPA</w:t>
      </w:r>
      <w:bookmarkEnd w:id="266"/>
      <w:bookmarkEnd w:id="267"/>
    </w:p>
    <w:p w:rsidR="00DF4E40" w:rsidRPr="00A30AEC" w:rsidRDefault="00DF4E40">
      <w:pPr>
        <w:pStyle w:val="Text2"/>
        <w:ind w:left="0"/>
        <w:rPr>
          <w:rFonts w:ascii="Arial" w:hAnsi="Arial" w:cs="Arial"/>
          <w:sz w:val="22"/>
          <w:szCs w:val="22"/>
          <w:lang w:eastAsia="sv-SE"/>
        </w:rPr>
      </w:pPr>
      <w:r w:rsidRPr="00A30AEC">
        <w:rPr>
          <w:rFonts w:ascii="Arial" w:hAnsi="Arial" w:cs="Arial"/>
          <w:sz w:val="22"/>
          <w:szCs w:val="22"/>
        </w:rPr>
        <w:t>(Reference: point (d)(i) of Article 8(2) of Regulation (EU) No 1299/2013)</w:t>
      </w:r>
    </w:p>
    <w:bookmarkEnd w:id="268"/>
    <w:bookmarkEnd w:id="269"/>
    <w:bookmarkEnd w:id="270"/>
    <w:p w:rsidR="00DF4E40" w:rsidRPr="00304864" w:rsidRDefault="00DF4E40">
      <w:pPr>
        <w:rPr>
          <w:rFonts w:ascii="Arial" w:eastAsia="Arial Unicode MS" w:hAnsi="Arial" w:cs="Arial"/>
          <w:b/>
          <w:sz w:val="22"/>
          <w:szCs w:val="22"/>
        </w:rPr>
      </w:pPr>
      <w:r w:rsidRPr="00304864">
        <w:rPr>
          <w:rFonts w:ascii="Arial" w:eastAsia="Arial Unicode MS" w:hAnsi="Arial" w:cs="Arial"/>
          <w:b/>
          <w:sz w:val="22"/>
          <w:szCs w:val="22"/>
        </w:rPr>
        <w:t>Table 15</w:t>
      </w:r>
    </w:p>
    <w:tbl>
      <w:tblPr>
        <w:tblW w:w="13020" w:type="dxa"/>
        <w:jc w:val="center"/>
        <w:tblCellMar>
          <w:left w:w="70" w:type="dxa"/>
          <w:right w:w="70" w:type="dxa"/>
        </w:tblCellMar>
        <w:tblLook w:val="00A0"/>
      </w:tblPr>
      <w:tblGrid>
        <w:gridCol w:w="1669"/>
        <w:gridCol w:w="1028"/>
        <w:gridCol w:w="2254"/>
        <w:gridCol w:w="1276"/>
        <w:gridCol w:w="1208"/>
        <w:gridCol w:w="1208"/>
        <w:gridCol w:w="1208"/>
        <w:gridCol w:w="1208"/>
        <w:gridCol w:w="1961"/>
      </w:tblGrid>
      <w:tr w:rsidR="00DF4E40" w:rsidRPr="00304864" w:rsidTr="00B0751E">
        <w:trPr>
          <w:trHeight w:val="324"/>
          <w:jc w:val="center"/>
        </w:trPr>
        <w:tc>
          <w:tcPr>
            <w:tcW w:w="16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color w:val="000000"/>
                <w:sz w:val="20"/>
                <w:lang w:val="es-ES" w:eastAsia="es-ES"/>
              </w:rPr>
            </w:pPr>
            <w:r w:rsidRPr="00304864">
              <w:rPr>
                <w:rFonts w:ascii="Arial" w:hAnsi="Arial" w:cs="Arial"/>
                <w:color w:val="000000"/>
                <w:sz w:val="20"/>
                <w:lang w:val="es-ES" w:eastAsia="es-ES"/>
              </w:rPr>
              <w:t> </w:t>
            </w:r>
          </w:p>
        </w:tc>
        <w:tc>
          <w:tcPr>
            <w:tcW w:w="1028"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2014</w:t>
            </w:r>
          </w:p>
        </w:tc>
        <w:tc>
          <w:tcPr>
            <w:tcW w:w="2254"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2015</w:t>
            </w:r>
          </w:p>
        </w:tc>
        <w:tc>
          <w:tcPr>
            <w:tcW w:w="1276"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2016</w:t>
            </w:r>
          </w:p>
        </w:tc>
        <w:tc>
          <w:tcPr>
            <w:tcW w:w="1208"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2017</w:t>
            </w:r>
          </w:p>
        </w:tc>
        <w:tc>
          <w:tcPr>
            <w:tcW w:w="1208"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2018</w:t>
            </w:r>
          </w:p>
        </w:tc>
        <w:tc>
          <w:tcPr>
            <w:tcW w:w="1208"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2019</w:t>
            </w:r>
          </w:p>
        </w:tc>
        <w:tc>
          <w:tcPr>
            <w:tcW w:w="1208"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2020</w:t>
            </w:r>
          </w:p>
        </w:tc>
        <w:tc>
          <w:tcPr>
            <w:tcW w:w="1961" w:type="dxa"/>
            <w:tcBorders>
              <w:top w:val="single" w:sz="8" w:space="0" w:color="000000"/>
              <w:left w:val="nil"/>
              <w:bottom w:val="single" w:sz="8" w:space="0" w:color="000000"/>
              <w:right w:val="single" w:sz="8" w:space="0" w:color="000000"/>
            </w:tcBorders>
            <w:shd w:val="clear" w:color="auto" w:fill="C6D9F1"/>
            <w:vAlign w:val="center"/>
          </w:tcPr>
          <w:p w:rsidR="00DF4E40" w:rsidRPr="00304864" w:rsidRDefault="00DF4E40">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Total</w:t>
            </w:r>
          </w:p>
        </w:tc>
      </w:tr>
      <w:tr w:rsidR="00B0751E" w:rsidRPr="00304864" w:rsidTr="007825A6">
        <w:trPr>
          <w:trHeight w:val="324"/>
          <w:jc w:val="center"/>
        </w:trPr>
        <w:tc>
          <w:tcPr>
            <w:tcW w:w="1669" w:type="dxa"/>
            <w:tcBorders>
              <w:top w:val="nil"/>
              <w:left w:val="single" w:sz="8" w:space="0" w:color="000000"/>
              <w:bottom w:val="single" w:sz="8" w:space="0" w:color="000000"/>
              <w:right w:val="single" w:sz="8" w:space="0" w:color="000000"/>
            </w:tcBorders>
            <w:shd w:val="clear" w:color="auto" w:fill="C6D9F1"/>
            <w:vAlign w:val="center"/>
          </w:tcPr>
          <w:p w:rsidR="00B0751E" w:rsidRPr="00304864" w:rsidRDefault="00B0751E">
            <w:pPr>
              <w:jc w:val="left"/>
              <w:rPr>
                <w:rFonts w:ascii="Arial" w:hAnsi="Arial" w:cs="Arial"/>
                <w:b/>
                <w:bCs/>
                <w:color w:val="000000"/>
                <w:sz w:val="20"/>
                <w:lang w:val="es-ES" w:eastAsia="es-ES"/>
              </w:rPr>
            </w:pPr>
            <w:r w:rsidRPr="00304864">
              <w:rPr>
                <w:rFonts w:ascii="Arial" w:hAnsi="Arial" w:cs="Arial"/>
                <w:b/>
                <w:bCs/>
                <w:color w:val="000000"/>
                <w:sz w:val="20"/>
                <w:lang w:val="es-ES" w:eastAsia="es-ES"/>
              </w:rPr>
              <w:t>ERDF</w:t>
            </w:r>
          </w:p>
        </w:tc>
        <w:tc>
          <w:tcPr>
            <w:tcW w:w="1028" w:type="dxa"/>
            <w:tcBorders>
              <w:top w:val="nil"/>
              <w:left w:val="nil"/>
              <w:bottom w:val="single" w:sz="8" w:space="0" w:color="000000"/>
              <w:right w:val="single" w:sz="8" w:space="0" w:color="000000"/>
            </w:tcBorders>
            <w:vAlign w:val="center"/>
          </w:tcPr>
          <w:p w:rsidR="00B0751E" w:rsidRPr="00304864" w:rsidRDefault="00B0751E">
            <w:pPr>
              <w:jc w:val="right"/>
              <w:rPr>
                <w:rFonts w:ascii="Arial" w:hAnsi="Arial" w:cs="Arial"/>
                <w:b/>
                <w:bCs/>
                <w:color w:val="000000"/>
                <w:sz w:val="20"/>
                <w:lang w:val="es-ES" w:eastAsia="es-ES"/>
              </w:rPr>
            </w:pPr>
            <w:r w:rsidRPr="00304864">
              <w:rPr>
                <w:rFonts w:ascii="Arial" w:hAnsi="Arial" w:cs="Arial"/>
                <w:b/>
                <w:bCs/>
                <w:color w:val="000000"/>
                <w:sz w:val="20"/>
                <w:lang w:eastAsia="es-ES"/>
              </w:rPr>
              <w:t>0</w:t>
            </w:r>
          </w:p>
        </w:tc>
        <w:tc>
          <w:tcPr>
            <w:tcW w:w="2254" w:type="dxa"/>
            <w:tcBorders>
              <w:top w:val="nil"/>
              <w:left w:val="nil"/>
              <w:bottom w:val="single" w:sz="8" w:space="0" w:color="000000"/>
              <w:right w:val="single" w:sz="8" w:space="0" w:color="000000"/>
            </w:tcBorders>
            <w:vAlign w:val="center"/>
          </w:tcPr>
          <w:p w:rsidR="00B0751E" w:rsidRPr="007176ED" w:rsidRDefault="00B0751E" w:rsidP="007825A6">
            <w:pPr>
              <w:jc w:val="center"/>
              <w:rPr>
                <w:rFonts w:ascii="Arial" w:hAnsi="Arial" w:cs="Arial"/>
                <w:b/>
                <w:bCs/>
                <w:color w:val="000000"/>
                <w:sz w:val="20"/>
                <w:lang w:val="es-ES" w:eastAsia="es-ES"/>
              </w:rPr>
            </w:pPr>
            <w:r w:rsidRPr="007176ED">
              <w:rPr>
                <w:rFonts w:ascii="Arial" w:hAnsi="Arial" w:cs="Arial"/>
                <w:b/>
                <w:sz w:val="20"/>
              </w:rPr>
              <w:t>10.185.11</w:t>
            </w:r>
            <w:r>
              <w:rPr>
                <w:rFonts w:ascii="Arial" w:hAnsi="Arial" w:cs="Arial"/>
                <w:b/>
                <w:sz w:val="20"/>
              </w:rPr>
              <w:t>6</w:t>
            </w:r>
          </w:p>
        </w:tc>
        <w:tc>
          <w:tcPr>
            <w:tcW w:w="1276" w:type="dxa"/>
            <w:tcBorders>
              <w:top w:val="nil"/>
              <w:left w:val="nil"/>
              <w:bottom w:val="single" w:sz="8" w:space="0" w:color="000000"/>
              <w:right w:val="single" w:sz="8" w:space="0" w:color="000000"/>
            </w:tcBorders>
            <w:vAlign w:val="center"/>
          </w:tcPr>
          <w:p w:rsidR="00B0751E" w:rsidRPr="007176ED" w:rsidRDefault="00B0751E" w:rsidP="007825A6">
            <w:pPr>
              <w:jc w:val="center"/>
              <w:rPr>
                <w:rFonts w:ascii="Arial" w:hAnsi="Arial" w:cs="Arial"/>
                <w:b/>
                <w:bCs/>
                <w:color w:val="000000"/>
                <w:sz w:val="20"/>
                <w:lang w:val="es-ES" w:eastAsia="es-ES"/>
              </w:rPr>
            </w:pPr>
            <w:r w:rsidRPr="007176ED">
              <w:rPr>
                <w:rFonts w:ascii="Arial" w:hAnsi="Arial" w:cs="Arial"/>
                <w:b/>
                <w:sz w:val="20"/>
              </w:rPr>
              <w:t>8.632.718</w:t>
            </w:r>
          </w:p>
        </w:tc>
        <w:tc>
          <w:tcPr>
            <w:tcW w:w="1208" w:type="dxa"/>
            <w:tcBorders>
              <w:top w:val="nil"/>
              <w:left w:val="nil"/>
              <w:bottom w:val="single" w:sz="8" w:space="0" w:color="000000"/>
              <w:right w:val="single" w:sz="8" w:space="0" w:color="000000"/>
            </w:tcBorders>
            <w:vAlign w:val="center"/>
          </w:tcPr>
          <w:p w:rsidR="00B0751E" w:rsidRPr="007176ED" w:rsidRDefault="00B0751E" w:rsidP="007825A6">
            <w:pPr>
              <w:jc w:val="center"/>
              <w:rPr>
                <w:rFonts w:ascii="Arial" w:hAnsi="Arial" w:cs="Arial"/>
                <w:b/>
                <w:bCs/>
                <w:color w:val="000000"/>
                <w:sz w:val="20"/>
                <w:lang w:val="es-ES" w:eastAsia="es-ES"/>
              </w:rPr>
            </w:pPr>
            <w:r w:rsidRPr="007176ED">
              <w:rPr>
                <w:rFonts w:ascii="Arial" w:hAnsi="Arial" w:cs="Arial"/>
                <w:b/>
                <w:sz w:val="20"/>
              </w:rPr>
              <w:t>15.685.599</w:t>
            </w:r>
          </w:p>
        </w:tc>
        <w:tc>
          <w:tcPr>
            <w:tcW w:w="1208" w:type="dxa"/>
            <w:tcBorders>
              <w:top w:val="nil"/>
              <w:left w:val="nil"/>
              <w:bottom w:val="single" w:sz="8" w:space="0" w:color="000000"/>
              <w:right w:val="single" w:sz="8" w:space="0" w:color="000000"/>
            </w:tcBorders>
            <w:vAlign w:val="center"/>
          </w:tcPr>
          <w:p w:rsidR="00B0751E" w:rsidRPr="007176ED" w:rsidRDefault="00B0751E" w:rsidP="007825A6">
            <w:pPr>
              <w:jc w:val="center"/>
              <w:rPr>
                <w:rFonts w:ascii="Arial" w:hAnsi="Arial" w:cs="Arial"/>
                <w:b/>
                <w:bCs/>
                <w:color w:val="000000"/>
                <w:sz w:val="20"/>
                <w:lang w:val="es-ES" w:eastAsia="es-ES"/>
              </w:rPr>
            </w:pPr>
            <w:r w:rsidRPr="007176ED">
              <w:rPr>
                <w:rFonts w:ascii="Arial" w:hAnsi="Arial" w:cs="Arial"/>
                <w:b/>
                <w:sz w:val="20"/>
              </w:rPr>
              <w:t>15.999.312</w:t>
            </w:r>
          </w:p>
        </w:tc>
        <w:tc>
          <w:tcPr>
            <w:tcW w:w="1208" w:type="dxa"/>
            <w:tcBorders>
              <w:top w:val="nil"/>
              <w:left w:val="nil"/>
              <w:bottom w:val="single" w:sz="8" w:space="0" w:color="000000"/>
              <w:right w:val="single" w:sz="8" w:space="0" w:color="000000"/>
            </w:tcBorders>
            <w:vAlign w:val="center"/>
          </w:tcPr>
          <w:p w:rsidR="00B0751E" w:rsidRPr="007176ED" w:rsidRDefault="00B0751E" w:rsidP="007825A6">
            <w:pPr>
              <w:jc w:val="center"/>
              <w:rPr>
                <w:rFonts w:ascii="Arial" w:hAnsi="Arial" w:cs="Arial"/>
                <w:b/>
                <w:bCs/>
                <w:color w:val="000000"/>
                <w:sz w:val="20"/>
                <w:lang w:val="es-ES" w:eastAsia="es-ES"/>
              </w:rPr>
            </w:pPr>
            <w:r w:rsidRPr="007176ED">
              <w:rPr>
                <w:rFonts w:ascii="Arial" w:hAnsi="Arial" w:cs="Arial"/>
                <w:b/>
                <w:sz w:val="20"/>
              </w:rPr>
              <w:t>16.319.297</w:t>
            </w:r>
          </w:p>
        </w:tc>
        <w:tc>
          <w:tcPr>
            <w:tcW w:w="1208" w:type="dxa"/>
            <w:tcBorders>
              <w:top w:val="nil"/>
              <w:left w:val="nil"/>
              <w:bottom w:val="single" w:sz="8" w:space="0" w:color="000000"/>
              <w:right w:val="single" w:sz="8" w:space="0" w:color="000000"/>
            </w:tcBorders>
            <w:vAlign w:val="center"/>
          </w:tcPr>
          <w:p w:rsidR="00B0751E" w:rsidRPr="007176ED" w:rsidRDefault="00B0751E" w:rsidP="007825A6">
            <w:pPr>
              <w:jc w:val="center"/>
              <w:rPr>
                <w:rFonts w:ascii="Arial" w:hAnsi="Arial" w:cs="Arial"/>
                <w:b/>
                <w:bCs/>
                <w:color w:val="000000"/>
                <w:sz w:val="20"/>
                <w:lang w:val="es-ES" w:eastAsia="es-ES"/>
              </w:rPr>
            </w:pPr>
            <w:r w:rsidRPr="007176ED">
              <w:rPr>
                <w:rFonts w:ascii="Arial" w:hAnsi="Arial" w:cs="Arial"/>
                <w:b/>
                <w:sz w:val="20"/>
              </w:rPr>
              <w:t>16.645.687</w:t>
            </w:r>
          </w:p>
        </w:tc>
        <w:tc>
          <w:tcPr>
            <w:tcW w:w="1961" w:type="dxa"/>
            <w:tcBorders>
              <w:top w:val="nil"/>
              <w:left w:val="nil"/>
              <w:bottom w:val="single" w:sz="8" w:space="0" w:color="000000"/>
              <w:right w:val="single" w:sz="8" w:space="0" w:color="000000"/>
            </w:tcBorders>
            <w:vAlign w:val="center"/>
          </w:tcPr>
          <w:p w:rsidR="00B0751E" w:rsidRPr="007176ED" w:rsidRDefault="00B0751E" w:rsidP="007825A6">
            <w:pPr>
              <w:jc w:val="center"/>
              <w:rPr>
                <w:rFonts w:ascii="Arial" w:hAnsi="Arial" w:cs="Arial"/>
                <w:b/>
                <w:bCs/>
                <w:color w:val="000000"/>
                <w:sz w:val="20"/>
                <w:lang w:val="es-ES" w:eastAsia="es-ES"/>
              </w:rPr>
            </w:pPr>
            <w:r w:rsidRPr="007176ED">
              <w:rPr>
                <w:rFonts w:ascii="Arial" w:hAnsi="Arial" w:cs="Arial"/>
                <w:b/>
                <w:sz w:val="20"/>
              </w:rPr>
              <w:t>83.467.72</w:t>
            </w:r>
            <w:r>
              <w:rPr>
                <w:rFonts w:ascii="Arial" w:hAnsi="Arial" w:cs="Arial"/>
                <w:b/>
                <w:sz w:val="20"/>
              </w:rPr>
              <w:t>9</w:t>
            </w:r>
          </w:p>
        </w:tc>
      </w:tr>
      <w:tr w:rsidR="00B0751E" w:rsidRPr="00304864" w:rsidTr="007825A6">
        <w:trPr>
          <w:trHeight w:val="1080"/>
          <w:jc w:val="center"/>
        </w:trPr>
        <w:tc>
          <w:tcPr>
            <w:tcW w:w="1669" w:type="dxa"/>
            <w:tcBorders>
              <w:top w:val="nil"/>
              <w:left w:val="single" w:sz="8" w:space="0" w:color="000000"/>
              <w:bottom w:val="single" w:sz="8" w:space="0" w:color="000000"/>
              <w:right w:val="single" w:sz="8" w:space="0" w:color="000000"/>
            </w:tcBorders>
            <w:shd w:val="clear" w:color="auto" w:fill="C6D9F1"/>
            <w:vAlign w:val="center"/>
          </w:tcPr>
          <w:p w:rsidR="00B0751E" w:rsidRPr="00304864" w:rsidRDefault="00B0751E">
            <w:pPr>
              <w:jc w:val="left"/>
              <w:rPr>
                <w:rFonts w:ascii="Arial" w:hAnsi="Arial" w:cs="Arial"/>
                <w:b/>
                <w:bCs/>
                <w:color w:val="000000"/>
                <w:sz w:val="20"/>
                <w:lang w:val="es-ES" w:eastAsia="es-ES"/>
              </w:rPr>
            </w:pPr>
            <w:r w:rsidRPr="00304864">
              <w:rPr>
                <w:rFonts w:ascii="Arial" w:hAnsi="Arial" w:cs="Arial"/>
                <w:b/>
                <w:bCs/>
                <w:color w:val="000000"/>
                <w:sz w:val="20"/>
                <w:lang w:val="es-ES" w:eastAsia="es-ES"/>
              </w:rPr>
              <w:t xml:space="preserve">IPA amounts </w:t>
            </w:r>
            <w:r w:rsidRPr="00304864">
              <w:rPr>
                <w:rFonts w:ascii="Arial" w:hAnsi="Arial" w:cs="Arial"/>
                <w:i/>
                <w:iCs/>
                <w:color w:val="000000"/>
                <w:sz w:val="20"/>
                <w:lang w:val="es-ES" w:eastAsia="es-ES"/>
              </w:rPr>
              <w:t>(where applicable)</w:t>
            </w:r>
          </w:p>
        </w:tc>
        <w:tc>
          <w:tcPr>
            <w:tcW w:w="1028" w:type="dxa"/>
            <w:tcBorders>
              <w:top w:val="nil"/>
              <w:left w:val="nil"/>
              <w:bottom w:val="single" w:sz="8" w:space="0" w:color="000000"/>
              <w:right w:val="single" w:sz="8" w:space="0" w:color="000000"/>
            </w:tcBorders>
            <w:vAlign w:val="center"/>
          </w:tcPr>
          <w:p w:rsidR="00B0751E" w:rsidRPr="00304864" w:rsidRDefault="00B0751E">
            <w:pPr>
              <w:jc w:val="right"/>
              <w:rPr>
                <w:rFonts w:ascii="Arial" w:hAnsi="Arial" w:cs="Arial"/>
                <w:b/>
                <w:bCs/>
                <w:color w:val="000000"/>
                <w:sz w:val="20"/>
                <w:lang w:val="es-ES" w:eastAsia="es-ES"/>
              </w:rPr>
            </w:pPr>
            <w:r w:rsidRPr="00304864">
              <w:rPr>
                <w:rFonts w:ascii="Arial" w:hAnsi="Arial" w:cs="Arial"/>
                <w:b/>
                <w:bCs/>
                <w:color w:val="000000"/>
                <w:sz w:val="20"/>
                <w:lang w:eastAsia="es-ES"/>
              </w:rPr>
              <w:t>0</w:t>
            </w:r>
          </w:p>
        </w:tc>
        <w:tc>
          <w:tcPr>
            <w:tcW w:w="2254"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eastAsia="es-ES"/>
              </w:rPr>
              <w:t>1.914.430</w:t>
            </w:r>
          </w:p>
        </w:tc>
        <w:tc>
          <w:tcPr>
            <w:tcW w:w="1276"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eastAsia="es-ES"/>
              </w:rPr>
              <w:t>1.622.636</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eastAsia="es-ES"/>
              </w:rPr>
              <w:t>2.948.320</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eastAsia="es-ES"/>
              </w:rPr>
              <w:t>3.007.287</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eastAsia="es-ES"/>
              </w:rPr>
              <w:t>3.067.432</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eastAsia="es-ES"/>
              </w:rPr>
              <w:t>3.128.782</w:t>
            </w:r>
          </w:p>
        </w:tc>
        <w:tc>
          <w:tcPr>
            <w:tcW w:w="1961"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15.688.887</w:t>
            </w:r>
          </w:p>
        </w:tc>
      </w:tr>
      <w:tr w:rsidR="00B0751E" w:rsidRPr="00304864" w:rsidTr="007825A6">
        <w:trPr>
          <w:trHeight w:val="792"/>
          <w:jc w:val="center"/>
        </w:trPr>
        <w:tc>
          <w:tcPr>
            <w:tcW w:w="1669" w:type="dxa"/>
            <w:tcBorders>
              <w:top w:val="nil"/>
              <w:left w:val="single" w:sz="8" w:space="0" w:color="000000"/>
              <w:bottom w:val="single" w:sz="8" w:space="0" w:color="000000"/>
              <w:right w:val="single" w:sz="8" w:space="0" w:color="000000"/>
            </w:tcBorders>
            <w:shd w:val="clear" w:color="auto" w:fill="C6D9F1"/>
            <w:vAlign w:val="center"/>
          </w:tcPr>
          <w:p w:rsidR="00B0751E" w:rsidRPr="00304864" w:rsidRDefault="00B0751E">
            <w:pPr>
              <w:jc w:val="left"/>
              <w:rPr>
                <w:rFonts w:ascii="Arial" w:hAnsi="Arial" w:cs="Arial"/>
                <w:b/>
                <w:bCs/>
                <w:color w:val="000000"/>
                <w:sz w:val="20"/>
                <w:lang w:val="es-ES" w:eastAsia="es-ES"/>
              </w:rPr>
            </w:pPr>
            <w:r w:rsidRPr="00304864">
              <w:rPr>
                <w:rFonts w:ascii="Arial" w:hAnsi="Arial" w:cs="Arial"/>
                <w:b/>
                <w:bCs/>
                <w:color w:val="000000"/>
                <w:sz w:val="20"/>
                <w:lang w:val="es-ES" w:eastAsia="es-ES"/>
              </w:rPr>
              <w:t xml:space="preserve">ENI amounts </w:t>
            </w:r>
            <w:r w:rsidRPr="00304864">
              <w:rPr>
                <w:rFonts w:ascii="Arial" w:hAnsi="Arial" w:cs="Arial"/>
                <w:i/>
                <w:iCs/>
                <w:color w:val="000000"/>
                <w:sz w:val="20"/>
                <w:lang w:val="es-ES" w:eastAsia="es-ES"/>
              </w:rPr>
              <w:t>(where applicable)</w:t>
            </w:r>
          </w:p>
        </w:tc>
        <w:tc>
          <w:tcPr>
            <w:tcW w:w="1028" w:type="dxa"/>
            <w:tcBorders>
              <w:top w:val="nil"/>
              <w:left w:val="nil"/>
              <w:bottom w:val="single" w:sz="8" w:space="0" w:color="000000"/>
              <w:right w:val="single" w:sz="8" w:space="0" w:color="000000"/>
            </w:tcBorders>
            <w:vAlign w:val="center"/>
          </w:tcPr>
          <w:p w:rsidR="00B0751E" w:rsidRPr="00304864" w:rsidRDefault="00B0751E">
            <w:pPr>
              <w:rPr>
                <w:rFonts w:ascii="Arial" w:hAnsi="Arial" w:cs="Arial"/>
                <w:color w:val="000000"/>
                <w:sz w:val="20"/>
                <w:lang w:val="es-ES" w:eastAsia="es-ES"/>
              </w:rPr>
            </w:pPr>
            <w:r w:rsidRPr="00304864">
              <w:rPr>
                <w:rFonts w:ascii="Arial" w:hAnsi="Arial" w:cs="Arial"/>
                <w:color w:val="000000"/>
                <w:sz w:val="20"/>
                <w:lang w:val="es-ES" w:eastAsia="es-ES"/>
              </w:rPr>
              <w:t> </w:t>
            </w:r>
          </w:p>
        </w:tc>
        <w:tc>
          <w:tcPr>
            <w:tcW w:w="2254"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color w:val="000000"/>
                <w:sz w:val="20"/>
                <w:lang w:val="es-ES" w:eastAsia="es-ES"/>
              </w:rPr>
            </w:pPr>
          </w:p>
        </w:tc>
        <w:tc>
          <w:tcPr>
            <w:tcW w:w="1276"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color w:val="000000"/>
                <w:sz w:val="20"/>
                <w:lang w:val="es-ES" w:eastAsia="es-ES"/>
              </w:rPr>
            </w:pP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color w:val="000000"/>
                <w:sz w:val="20"/>
                <w:lang w:val="es-ES" w:eastAsia="es-ES"/>
              </w:rPr>
            </w:pP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color w:val="000000"/>
                <w:sz w:val="20"/>
                <w:lang w:val="es-ES" w:eastAsia="es-ES"/>
              </w:rPr>
            </w:pP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color w:val="000000"/>
                <w:sz w:val="20"/>
                <w:lang w:val="es-ES" w:eastAsia="es-ES"/>
              </w:rPr>
            </w:pP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color w:val="000000"/>
                <w:sz w:val="20"/>
                <w:lang w:val="es-ES" w:eastAsia="es-ES"/>
              </w:rPr>
            </w:pPr>
          </w:p>
        </w:tc>
        <w:tc>
          <w:tcPr>
            <w:tcW w:w="1961"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0</w:t>
            </w:r>
          </w:p>
        </w:tc>
      </w:tr>
      <w:tr w:rsidR="00B0751E" w:rsidRPr="00304864" w:rsidTr="007825A6">
        <w:trPr>
          <w:trHeight w:val="324"/>
          <w:jc w:val="center"/>
        </w:trPr>
        <w:tc>
          <w:tcPr>
            <w:tcW w:w="1669" w:type="dxa"/>
            <w:tcBorders>
              <w:top w:val="nil"/>
              <w:left w:val="single" w:sz="8" w:space="0" w:color="000000"/>
              <w:bottom w:val="single" w:sz="8" w:space="0" w:color="000000"/>
              <w:right w:val="single" w:sz="8" w:space="0" w:color="000000"/>
            </w:tcBorders>
            <w:shd w:val="clear" w:color="auto" w:fill="C6D9F1"/>
            <w:vAlign w:val="center"/>
          </w:tcPr>
          <w:p w:rsidR="00B0751E" w:rsidRPr="00304864" w:rsidRDefault="00B0751E">
            <w:pPr>
              <w:jc w:val="left"/>
              <w:rPr>
                <w:rFonts w:ascii="Arial" w:hAnsi="Arial" w:cs="Arial"/>
                <w:b/>
                <w:bCs/>
                <w:color w:val="000000"/>
                <w:sz w:val="20"/>
                <w:lang w:val="es-ES" w:eastAsia="es-ES"/>
              </w:rPr>
            </w:pPr>
            <w:r w:rsidRPr="00304864">
              <w:rPr>
                <w:rFonts w:ascii="Arial" w:hAnsi="Arial" w:cs="Arial"/>
                <w:b/>
                <w:bCs/>
                <w:color w:val="000000"/>
                <w:sz w:val="20"/>
                <w:lang w:val="es-ES" w:eastAsia="es-ES"/>
              </w:rPr>
              <w:t>Total</w:t>
            </w:r>
          </w:p>
        </w:tc>
        <w:tc>
          <w:tcPr>
            <w:tcW w:w="1028" w:type="dxa"/>
            <w:tcBorders>
              <w:top w:val="nil"/>
              <w:left w:val="nil"/>
              <w:bottom w:val="single" w:sz="8" w:space="0" w:color="000000"/>
              <w:right w:val="single" w:sz="8" w:space="0" w:color="000000"/>
            </w:tcBorders>
            <w:vAlign w:val="center"/>
          </w:tcPr>
          <w:p w:rsidR="00B0751E" w:rsidRPr="00304864" w:rsidRDefault="00B0751E">
            <w:pPr>
              <w:jc w:val="right"/>
              <w:rPr>
                <w:rFonts w:ascii="Arial" w:hAnsi="Arial" w:cs="Arial"/>
                <w:b/>
                <w:bCs/>
                <w:color w:val="000000"/>
                <w:sz w:val="20"/>
                <w:lang w:val="es-ES" w:eastAsia="es-ES"/>
              </w:rPr>
            </w:pPr>
            <w:r w:rsidRPr="00304864">
              <w:rPr>
                <w:rFonts w:ascii="Arial" w:hAnsi="Arial" w:cs="Arial"/>
                <w:b/>
                <w:bCs/>
                <w:color w:val="000000"/>
                <w:sz w:val="20"/>
                <w:lang w:val="es-ES" w:eastAsia="es-ES"/>
              </w:rPr>
              <w:t> </w:t>
            </w:r>
          </w:p>
        </w:tc>
        <w:tc>
          <w:tcPr>
            <w:tcW w:w="2254"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12.099.54</w:t>
            </w:r>
            <w:r>
              <w:rPr>
                <w:rFonts w:ascii="Arial" w:hAnsi="Arial" w:cs="Arial"/>
                <w:b/>
                <w:bCs/>
                <w:color w:val="000000"/>
                <w:sz w:val="20"/>
                <w:lang w:val="es-ES" w:eastAsia="es-ES"/>
              </w:rPr>
              <w:t>6</w:t>
            </w:r>
          </w:p>
        </w:tc>
        <w:tc>
          <w:tcPr>
            <w:tcW w:w="1276"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10.255.354</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18.633.919</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19.006.599</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19.386.729</w:t>
            </w:r>
          </w:p>
        </w:tc>
        <w:tc>
          <w:tcPr>
            <w:tcW w:w="1208"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19.774.469</w:t>
            </w:r>
          </w:p>
        </w:tc>
        <w:tc>
          <w:tcPr>
            <w:tcW w:w="1961" w:type="dxa"/>
            <w:tcBorders>
              <w:top w:val="nil"/>
              <w:left w:val="nil"/>
              <w:bottom w:val="single" w:sz="8" w:space="0" w:color="000000"/>
              <w:right w:val="single" w:sz="8" w:space="0" w:color="000000"/>
            </w:tcBorders>
            <w:vAlign w:val="center"/>
          </w:tcPr>
          <w:p w:rsidR="00B0751E" w:rsidRPr="00304864" w:rsidRDefault="00B0751E" w:rsidP="007825A6">
            <w:pPr>
              <w:jc w:val="center"/>
              <w:rPr>
                <w:rFonts w:ascii="Arial" w:hAnsi="Arial" w:cs="Arial"/>
                <w:b/>
                <w:bCs/>
                <w:color w:val="000000"/>
                <w:sz w:val="20"/>
                <w:lang w:val="es-ES" w:eastAsia="es-ES"/>
              </w:rPr>
            </w:pPr>
            <w:r w:rsidRPr="00304864">
              <w:rPr>
                <w:rFonts w:ascii="Arial" w:hAnsi="Arial" w:cs="Arial"/>
                <w:b/>
                <w:bCs/>
                <w:color w:val="000000"/>
                <w:sz w:val="20"/>
                <w:lang w:val="es-ES" w:eastAsia="es-ES"/>
              </w:rPr>
              <w:t>99.156.61</w:t>
            </w:r>
            <w:r>
              <w:rPr>
                <w:rFonts w:ascii="Arial" w:hAnsi="Arial" w:cs="Arial"/>
                <w:b/>
                <w:bCs/>
                <w:color w:val="000000"/>
                <w:sz w:val="20"/>
                <w:lang w:val="es-ES" w:eastAsia="es-ES"/>
              </w:rPr>
              <w:t>6</w:t>
            </w:r>
          </w:p>
        </w:tc>
      </w:tr>
    </w:tbl>
    <w:p w:rsidR="00DF4E40" w:rsidRPr="00304864" w:rsidRDefault="00DF4E40">
      <w:pPr>
        <w:pStyle w:val="Heading3"/>
        <w:spacing w:before="0" w:after="120"/>
        <w:ind w:left="0"/>
        <w:rPr>
          <w:rFonts w:ascii="Arial" w:eastAsia="Arial Unicode MS" w:hAnsi="Arial" w:cs="Arial"/>
          <w:noProof w:val="0"/>
          <w:color w:val="auto"/>
          <w:sz w:val="22"/>
          <w:szCs w:val="22"/>
        </w:rPr>
      </w:pPr>
    </w:p>
    <w:p w:rsidR="004223DC" w:rsidRDefault="004223DC">
      <w:pPr>
        <w:spacing w:after="0"/>
        <w:jc w:val="left"/>
        <w:rPr>
          <w:rFonts w:ascii="Arial" w:hAnsi="Arial" w:cs="Arial"/>
          <w:color w:val="002060"/>
          <w:sz w:val="22"/>
          <w:szCs w:val="22"/>
        </w:rPr>
      </w:pPr>
      <w:r>
        <w:rPr>
          <w:rFonts w:ascii="Arial" w:hAnsi="Arial" w:cs="Arial"/>
          <w:color w:val="002060"/>
          <w:sz w:val="22"/>
          <w:szCs w:val="22"/>
        </w:rPr>
        <w:br w:type="page"/>
      </w:r>
    </w:p>
    <w:p w:rsidR="00DF4E40" w:rsidRPr="00A30AEC" w:rsidRDefault="00DF4E40" w:rsidP="00A30AEC">
      <w:pPr>
        <w:pStyle w:val="Text1"/>
        <w:ind w:left="0"/>
        <w:rPr>
          <w:rFonts w:ascii="Arial" w:hAnsi="Arial" w:cs="Arial"/>
          <w:color w:val="002060"/>
          <w:sz w:val="22"/>
          <w:szCs w:val="22"/>
        </w:rPr>
      </w:pPr>
    </w:p>
    <w:p w:rsidR="00DF4E40" w:rsidRPr="00A30AEC" w:rsidRDefault="00DF4E40" w:rsidP="00A30AEC">
      <w:pPr>
        <w:pStyle w:val="Heading2"/>
        <w:spacing w:after="120"/>
      </w:pPr>
      <w:bookmarkStart w:id="271" w:name="_Toc420652560"/>
      <w:bookmarkStart w:id="272" w:name="_Toc421076912"/>
      <w:r w:rsidRPr="00A30AEC">
        <w:t>3.2.A.Total financial appropriation from the ERDF + IPA</w:t>
      </w:r>
      <w:bookmarkEnd w:id="271"/>
      <w:bookmarkEnd w:id="272"/>
    </w:p>
    <w:p w:rsidR="00DF4E40" w:rsidRPr="00A30AEC" w:rsidRDefault="00DF4E40">
      <w:pPr>
        <w:pStyle w:val="Text3"/>
        <w:ind w:left="0"/>
        <w:rPr>
          <w:rFonts w:ascii="Arial" w:hAnsi="Arial" w:cs="Arial"/>
          <w:sz w:val="22"/>
          <w:szCs w:val="22"/>
        </w:rPr>
      </w:pPr>
      <w:r w:rsidRPr="00A30AEC">
        <w:rPr>
          <w:rFonts w:ascii="Arial" w:hAnsi="Arial" w:cs="Arial"/>
          <w:sz w:val="22"/>
          <w:szCs w:val="22"/>
        </w:rPr>
        <w:t>(Reference: point (d)(ii) of Article 8(2) of Regulation (EU) No 1299/2013)</w:t>
      </w:r>
    </w:p>
    <w:tbl>
      <w:tblPr>
        <w:tblW w:w="14885" w:type="dxa"/>
        <w:tblInd w:w="55" w:type="dxa"/>
        <w:tblCellMar>
          <w:left w:w="70" w:type="dxa"/>
          <w:right w:w="70" w:type="dxa"/>
        </w:tblCellMar>
        <w:tblLook w:val="00A0"/>
      </w:tblPr>
      <w:tblGrid>
        <w:gridCol w:w="1940"/>
        <w:gridCol w:w="1240"/>
        <w:gridCol w:w="1240"/>
        <w:gridCol w:w="1340"/>
        <w:gridCol w:w="1242"/>
        <w:gridCol w:w="1242"/>
        <w:gridCol w:w="1240"/>
        <w:gridCol w:w="1364"/>
        <w:gridCol w:w="1344"/>
        <w:gridCol w:w="1351"/>
        <w:gridCol w:w="956"/>
        <w:gridCol w:w="386"/>
      </w:tblGrid>
      <w:tr w:rsidR="00DF4E40" w:rsidRPr="00304864" w:rsidTr="0091308C">
        <w:trPr>
          <w:trHeight w:val="324"/>
        </w:trPr>
        <w:tc>
          <w:tcPr>
            <w:tcW w:w="3180" w:type="dxa"/>
            <w:gridSpan w:val="2"/>
            <w:tcBorders>
              <w:top w:val="nil"/>
              <w:left w:val="nil"/>
              <w:bottom w:val="nil"/>
              <w:right w:val="nil"/>
            </w:tcBorders>
            <w:noWrap/>
            <w:vAlign w:val="center"/>
          </w:tcPr>
          <w:p w:rsidR="00DF4E40" w:rsidRPr="00A30AEC" w:rsidRDefault="00DF4E40" w:rsidP="00A30AEC">
            <w:pPr>
              <w:jc w:val="left"/>
              <w:rPr>
                <w:rFonts w:ascii="Arial" w:hAnsi="Arial" w:cs="Arial"/>
                <w:b/>
                <w:bCs/>
                <w:color w:val="000000"/>
                <w:sz w:val="22"/>
                <w:szCs w:val="22"/>
                <w:lang w:val="es-ES" w:eastAsia="es-ES"/>
              </w:rPr>
            </w:pPr>
            <w:r w:rsidRPr="00A30AEC">
              <w:rPr>
                <w:rFonts w:ascii="Arial" w:hAnsi="Arial" w:cs="Arial"/>
                <w:b/>
                <w:bCs/>
                <w:color w:val="000000"/>
                <w:sz w:val="22"/>
                <w:szCs w:val="22"/>
                <w:lang w:val="es-ES" w:eastAsia="es-ES"/>
              </w:rPr>
              <w:t>Table 16: Financing plan</w:t>
            </w:r>
          </w:p>
        </w:tc>
        <w:tc>
          <w:tcPr>
            <w:tcW w:w="1240"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1340"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1242"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1242"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1240"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1364"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1344"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2307" w:type="dxa"/>
            <w:gridSpan w:val="2"/>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c>
          <w:tcPr>
            <w:tcW w:w="386" w:type="dxa"/>
            <w:tcBorders>
              <w:top w:val="nil"/>
              <w:left w:val="nil"/>
              <w:bottom w:val="nil"/>
              <w:right w:val="nil"/>
            </w:tcBorders>
            <w:noWrap/>
            <w:vAlign w:val="bottom"/>
          </w:tcPr>
          <w:p w:rsidR="00DF4E40" w:rsidRPr="00A30AEC" w:rsidRDefault="00DF4E40" w:rsidP="00A30AEC">
            <w:pPr>
              <w:jc w:val="left"/>
              <w:rPr>
                <w:rFonts w:ascii="Arial" w:hAnsi="Arial" w:cs="Arial"/>
                <w:color w:val="000000"/>
                <w:szCs w:val="22"/>
                <w:lang w:val="es-ES" w:eastAsia="es-ES"/>
              </w:rPr>
            </w:pPr>
          </w:p>
        </w:tc>
      </w:tr>
      <w:tr w:rsidR="00DF4E40" w:rsidRPr="00304864" w:rsidTr="0091308C">
        <w:trPr>
          <w:trHeight w:val="564"/>
        </w:trPr>
        <w:tc>
          <w:tcPr>
            <w:tcW w:w="194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Priority axis</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Fund</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eastAsia="es-ES"/>
              </w:rPr>
            </w:pPr>
            <w:r w:rsidRPr="00A30AEC">
              <w:rPr>
                <w:rFonts w:ascii="Arial" w:hAnsi="Arial" w:cs="Arial"/>
                <w:color w:val="000000"/>
                <w:sz w:val="20"/>
                <w:lang w:eastAsia="es-ES"/>
              </w:rPr>
              <w:t>Basis for the calculation of the Union support</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Union support (a)</w:t>
            </w:r>
          </w:p>
        </w:tc>
        <w:tc>
          <w:tcPr>
            <w:tcW w:w="1242" w:type="dxa"/>
            <w:tcBorders>
              <w:top w:val="single" w:sz="8" w:space="0" w:color="auto"/>
              <w:left w:val="nil"/>
              <w:bottom w:val="nil"/>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National counterpart</w:t>
            </w:r>
          </w:p>
        </w:tc>
        <w:tc>
          <w:tcPr>
            <w:tcW w:w="2482" w:type="dxa"/>
            <w:gridSpan w:val="2"/>
            <w:tcBorders>
              <w:top w:val="single" w:sz="8" w:space="0" w:color="auto"/>
              <w:left w:val="nil"/>
              <w:bottom w:val="single" w:sz="8" w:space="0" w:color="auto"/>
              <w:right w:val="single" w:sz="8" w:space="0" w:color="000000"/>
            </w:tcBorders>
            <w:shd w:val="clear" w:color="000000" w:fill="C6D9F1"/>
            <w:vAlign w:val="center"/>
          </w:tcPr>
          <w:p w:rsidR="00DF4E40" w:rsidRPr="00A30AEC" w:rsidRDefault="00DF4E40" w:rsidP="00A30AEC">
            <w:pPr>
              <w:jc w:val="left"/>
              <w:rPr>
                <w:rFonts w:ascii="Arial" w:hAnsi="Arial" w:cs="Arial"/>
                <w:color w:val="000000"/>
                <w:sz w:val="20"/>
                <w:lang w:eastAsia="es-ES"/>
              </w:rPr>
            </w:pPr>
            <w:r w:rsidRPr="00A30AEC">
              <w:rPr>
                <w:rFonts w:ascii="Arial" w:hAnsi="Arial" w:cs="Arial"/>
                <w:color w:val="000000"/>
                <w:sz w:val="20"/>
                <w:lang w:eastAsia="es-ES"/>
              </w:rPr>
              <w:t>Indicative breakdown of the national counterpart</w:t>
            </w:r>
          </w:p>
        </w:tc>
        <w:tc>
          <w:tcPr>
            <w:tcW w:w="1364" w:type="dxa"/>
            <w:tcBorders>
              <w:top w:val="single" w:sz="8" w:space="0" w:color="auto"/>
              <w:left w:val="nil"/>
              <w:bottom w:val="nil"/>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Total funding</w:t>
            </w:r>
          </w:p>
        </w:tc>
        <w:tc>
          <w:tcPr>
            <w:tcW w:w="1344" w:type="dxa"/>
            <w:tcBorders>
              <w:top w:val="single" w:sz="8" w:space="0" w:color="auto"/>
              <w:left w:val="nil"/>
              <w:bottom w:val="nil"/>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Co-financing rate</w:t>
            </w:r>
          </w:p>
        </w:tc>
        <w:tc>
          <w:tcPr>
            <w:tcW w:w="2693" w:type="dxa"/>
            <w:gridSpan w:val="3"/>
            <w:tcBorders>
              <w:top w:val="single" w:sz="8" w:space="0" w:color="auto"/>
              <w:left w:val="nil"/>
              <w:bottom w:val="single" w:sz="8" w:space="0" w:color="auto"/>
              <w:right w:val="single" w:sz="8" w:space="0" w:color="000000"/>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For information</w:t>
            </w:r>
          </w:p>
        </w:tc>
      </w:tr>
      <w:tr w:rsidR="00DF4E40" w:rsidRPr="00304864" w:rsidTr="0091308C">
        <w:trPr>
          <w:trHeight w:val="1116"/>
        </w:trPr>
        <w:tc>
          <w:tcPr>
            <w:tcW w:w="1940" w:type="dxa"/>
            <w:vMerge/>
            <w:tcBorders>
              <w:top w:val="single" w:sz="8" w:space="0" w:color="auto"/>
              <w:left w:val="single" w:sz="8" w:space="0" w:color="auto"/>
              <w:bottom w:val="single" w:sz="8" w:space="0" w:color="000000"/>
              <w:right w:val="single" w:sz="8" w:space="0" w:color="auto"/>
            </w:tcBorders>
            <w:vAlign w:val="center"/>
          </w:tcPr>
          <w:p w:rsidR="00DF4E40" w:rsidRPr="00A30AEC" w:rsidRDefault="00DF4E40" w:rsidP="00A30AEC">
            <w:pPr>
              <w:jc w:val="left"/>
              <w:rPr>
                <w:rFonts w:ascii="Arial" w:hAnsi="Arial" w:cs="Arial"/>
                <w:color w:val="000000"/>
                <w:sz w:val="20"/>
                <w:lang w:val="es-ES" w:eastAsia="es-ES"/>
              </w:rPr>
            </w:pPr>
          </w:p>
        </w:tc>
        <w:tc>
          <w:tcPr>
            <w:tcW w:w="1240" w:type="dxa"/>
            <w:vMerge/>
            <w:tcBorders>
              <w:top w:val="single" w:sz="8" w:space="0" w:color="auto"/>
              <w:left w:val="single" w:sz="8" w:space="0" w:color="auto"/>
              <w:bottom w:val="single" w:sz="8" w:space="0" w:color="000000"/>
              <w:right w:val="single" w:sz="8" w:space="0" w:color="auto"/>
            </w:tcBorders>
            <w:vAlign w:val="center"/>
          </w:tcPr>
          <w:p w:rsidR="00DF4E40" w:rsidRPr="00A30AEC" w:rsidRDefault="00DF4E40" w:rsidP="00A30AEC">
            <w:pPr>
              <w:jc w:val="left"/>
              <w:rPr>
                <w:rFonts w:ascii="Arial" w:hAnsi="Arial" w:cs="Arial"/>
                <w:color w:val="000000"/>
                <w:sz w:val="20"/>
                <w:lang w:val="es-ES" w:eastAsia="es-ES"/>
              </w:rPr>
            </w:pPr>
          </w:p>
        </w:tc>
        <w:tc>
          <w:tcPr>
            <w:tcW w:w="1240" w:type="dxa"/>
            <w:vMerge/>
            <w:tcBorders>
              <w:top w:val="single" w:sz="8" w:space="0" w:color="auto"/>
              <w:left w:val="single" w:sz="8" w:space="0" w:color="auto"/>
              <w:bottom w:val="single" w:sz="8" w:space="0" w:color="000000"/>
              <w:right w:val="single" w:sz="8" w:space="0" w:color="auto"/>
            </w:tcBorders>
            <w:vAlign w:val="center"/>
          </w:tcPr>
          <w:p w:rsidR="00DF4E40" w:rsidRPr="00A30AEC" w:rsidRDefault="00DF4E40" w:rsidP="00A30AEC">
            <w:pPr>
              <w:jc w:val="left"/>
              <w:rPr>
                <w:rFonts w:ascii="Arial" w:hAnsi="Arial" w:cs="Arial"/>
                <w:color w:val="000000"/>
                <w:sz w:val="20"/>
                <w:lang w:val="es-ES" w:eastAsia="es-ES"/>
              </w:rPr>
            </w:pPr>
          </w:p>
        </w:tc>
        <w:tc>
          <w:tcPr>
            <w:tcW w:w="1340" w:type="dxa"/>
            <w:vMerge/>
            <w:tcBorders>
              <w:top w:val="single" w:sz="8" w:space="0" w:color="auto"/>
              <w:left w:val="single" w:sz="8" w:space="0" w:color="auto"/>
              <w:bottom w:val="single" w:sz="8" w:space="0" w:color="000000"/>
              <w:right w:val="single" w:sz="8" w:space="0" w:color="auto"/>
            </w:tcBorders>
            <w:vAlign w:val="center"/>
          </w:tcPr>
          <w:p w:rsidR="00DF4E40" w:rsidRPr="00A30AEC" w:rsidRDefault="00DF4E40" w:rsidP="00A30AEC">
            <w:pPr>
              <w:jc w:val="left"/>
              <w:rPr>
                <w:rFonts w:ascii="Arial" w:hAnsi="Arial" w:cs="Arial"/>
                <w:color w:val="000000"/>
                <w:sz w:val="20"/>
                <w:lang w:val="es-ES" w:eastAsia="es-ES"/>
              </w:rPr>
            </w:pPr>
          </w:p>
        </w:tc>
        <w:tc>
          <w:tcPr>
            <w:tcW w:w="1242" w:type="dxa"/>
            <w:tcBorders>
              <w:top w:val="nil"/>
              <w:left w:val="nil"/>
              <w:bottom w:val="single" w:sz="8" w:space="0" w:color="auto"/>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(b) = (c) + (d))</w:t>
            </w:r>
          </w:p>
        </w:tc>
        <w:tc>
          <w:tcPr>
            <w:tcW w:w="1242" w:type="dxa"/>
            <w:tcBorders>
              <w:top w:val="nil"/>
              <w:left w:val="nil"/>
              <w:bottom w:val="single" w:sz="8" w:space="0" w:color="auto"/>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National Public funding (c)</w:t>
            </w:r>
          </w:p>
        </w:tc>
        <w:tc>
          <w:tcPr>
            <w:tcW w:w="1240" w:type="dxa"/>
            <w:tcBorders>
              <w:top w:val="nil"/>
              <w:left w:val="nil"/>
              <w:bottom w:val="single" w:sz="8" w:space="0" w:color="auto"/>
              <w:right w:val="single" w:sz="8" w:space="0" w:color="auto"/>
            </w:tcBorders>
            <w:shd w:val="clear" w:color="000000" w:fill="C6D9F1"/>
            <w:vAlign w:val="center"/>
          </w:tcPr>
          <w:p w:rsidR="00DF4E40" w:rsidRPr="00A30AEC" w:rsidRDefault="00365F12" w:rsidP="00A30AEC">
            <w:pPr>
              <w:jc w:val="left"/>
              <w:rPr>
                <w:rFonts w:ascii="Arial" w:hAnsi="Arial" w:cs="Arial"/>
                <w:color w:val="000000"/>
                <w:sz w:val="20"/>
                <w:lang w:val="es-ES" w:eastAsia="es-ES"/>
              </w:rPr>
            </w:pPr>
            <w:hyperlink r:id="rId18" w:anchor="E0078#E0078" w:history="1">
              <w:r w:rsidR="00DF4E40" w:rsidRPr="00A30AEC">
                <w:rPr>
                  <w:rFonts w:ascii="Arial" w:hAnsi="Arial" w:cs="Arial"/>
                  <w:color w:val="000000"/>
                  <w:sz w:val="20"/>
                  <w:lang w:val="es-ES" w:eastAsia="es-ES"/>
                </w:rPr>
                <w:t>National private funding (1) (d)</w:t>
              </w:r>
            </w:hyperlink>
          </w:p>
        </w:tc>
        <w:tc>
          <w:tcPr>
            <w:tcW w:w="1364" w:type="dxa"/>
            <w:tcBorders>
              <w:top w:val="nil"/>
              <w:left w:val="nil"/>
              <w:bottom w:val="single" w:sz="8" w:space="0" w:color="auto"/>
              <w:right w:val="single" w:sz="8" w:space="0" w:color="auto"/>
            </w:tcBorders>
            <w:shd w:val="clear" w:color="000000" w:fill="C6D9F1"/>
            <w:vAlign w:val="center"/>
          </w:tcPr>
          <w:p w:rsidR="00DF4E40" w:rsidRPr="00A30AEC" w:rsidRDefault="00365F12" w:rsidP="00A30AEC">
            <w:pPr>
              <w:jc w:val="left"/>
              <w:rPr>
                <w:rFonts w:ascii="Arial" w:hAnsi="Arial" w:cs="Arial"/>
                <w:color w:val="000000"/>
                <w:sz w:val="20"/>
                <w:lang w:val="es-ES" w:eastAsia="es-ES"/>
              </w:rPr>
            </w:pPr>
            <w:hyperlink r:id="rId19" w:anchor="E0079#E0079" w:history="1">
              <w:r w:rsidR="00DF4E40" w:rsidRPr="00A30AEC">
                <w:rPr>
                  <w:rFonts w:ascii="Arial" w:hAnsi="Arial" w:cs="Arial"/>
                  <w:color w:val="000000"/>
                  <w:sz w:val="20"/>
                  <w:lang w:val="es-ES" w:eastAsia="es-ES"/>
                </w:rPr>
                <w:t>(e) = (a) + (b) (2)</w:t>
              </w:r>
            </w:hyperlink>
          </w:p>
        </w:tc>
        <w:tc>
          <w:tcPr>
            <w:tcW w:w="1344" w:type="dxa"/>
            <w:tcBorders>
              <w:top w:val="nil"/>
              <w:left w:val="nil"/>
              <w:bottom w:val="single" w:sz="8" w:space="0" w:color="auto"/>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(f)  = (a)/(e)</w:t>
            </w:r>
          </w:p>
        </w:tc>
        <w:tc>
          <w:tcPr>
            <w:tcW w:w="1351" w:type="dxa"/>
            <w:tcBorders>
              <w:top w:val="nil"/>
              <w:left w:val="nil"/>
              <w:bottom w:val="single" w:sz="8" w:space="0" w:color="auto"/>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Contributions from third countries</w:t>
            </w:r>
          </w:p>
        </w:tc>
        <w:tc>
          <w:tcPr>
            <w:tcW w:w="1342" w:type="dxa"/>
            <w:gridSpan w:val="2"/>
            <w:tcBorders>
              <w:top w:val="nil"/>
              <w:left w:val="nil"/>
              <w:bottom w:val="single" w:sz="8" w:space="0" w:color="auto"/>
              <w:right w:val="single" w:sz="8" w:space="0" w:color="auto"/>
            </w:tcBorders>
            <w:shd w:val="clear" w:color="000000" w:fill="C6D9F1"/>
            <w:vAlign w:val="center"/>
          </w:tcPr>
          <w:p w:rsidR="00DF4E40" w:rsidRPr="00A30AEC" w:rsidRDefault="00DF4E40" w:rsidP="00A30AEC">
            <w:pPr>
              <w:jc w:val="left"/>
              <w:rPr>
                <w:rFonts w:ascii="Arial" w:hAnsi="Arial" w:cs="Arial"/>
                <w:color w:val="000000"/>
                <w:sz w:val="20"/>
                <w:lang w:val="es-ES" w:eastAsia="es-ES"/>
              </w:rPr>
            </w:pPr>
            <w:r w:rsidRPr="00A30AEC">
              <w:rPr>
                <w:rFonts w:ascii="Arial" w:hAnsi="Arial" w:cs="Arial"/>
                <w:color w:val="000000"/>
                <w:sz w:val="20"/>
                <w:lang w:val="es-ES" w:eastAsia="es-ES"/>
              </w:rPr>
              <w:t>EIB contributions</w:t>
            </w:r>
          </w:p>
        </w:tc>
      </w:tr>
      <w:tr w:rsidR="00415612" w:rsidRPr="00304864" w:rsidTr="0091308C">
        <w:trPr>
          <w:trHeight w:val="300"/>
        </w:trPr>
        <w:tc>
          <w:tcPr>
            <w:tcW w:w="1940" w:type="dxa"/>
            <w:vMerge w:val="restart"/>
            <w:tcBorders>
              <w:top w:val="nil"/>
              <w:left w:val="single" w:sz="8" w:space="0" w:color="auto"/>
              <w:bottom w:val="nil"/>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xml:space="preserve">Priority axis 1 </w:t>
            </w: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ERDF</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16.693.547</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2.946.736</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2.356.736</w:t>
            </w:r>
          </w:p>
        </w:tc>
        <w:tc>
          <w:tcPr>
            <w:tcW w:w="1240"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590.000</w:t>
            </w:r>
          </w:p>
        </w:tc>
        <w:tc>
          <w:tcPr>
            <w:tcW w:w="136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19.640.283</w:t>
            </w:r>
          </w:p>
        </w:tc>
        <w:tc>
          <w:tcPr>
            <w:tcW w:w="134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85,00%</w:t>
            </w:r>
          </w:p>
        </w:tc>
        <w:tc>
          <w:tcPr>
            <w:tcW w:w="1351" w:type="dxa"/>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2" w:type="dxa"/>
            <w:gridSpan w:val="2"/>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r>
      <w:tr w:rsidR="00415612" w:rsidRPr="00304864" w:rsidTr="0091308C">
        <w:trPr>
          <w:trHeight w:val="300"/>
        </w:trPr>
        <w:tc>
          <w:tcPr>
            <w:tcW w:w="1940"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IPA</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2.998.111</w:t>
            </w:r>
          </w:p>
        </w:tc>
        <w:tc>
          <w:tcPr>
            <w:tcW w:w="1242"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sz w:val="20"/>
                <w:lang w:val="es-ES" w:eastAsia="es-ES"/>
              </w:rPr>
            </w:pPr>
            <w:r w:rsidRPr="002E0F24">
              <w:rPr>
                <w:rFonts w:ascii="Arial" w:hAnsi="Arial" w:cs="Arial"/>
                <w:color w:val="000000"/>
                <w:sz w:val="20"/>
              </w:rPr>
              <w:t>529.079</w:t>
            </w:r>
          </w:p>
        </w:tc>
        <w:tc>
          <w:tcPr>
            <w:tcW w:w="1242"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423.263</w:t>
            </w:r>
          </w:p>
        </w:tc>
        <w:tc>
          <w:tcPr>
            <w:tcW w:w="1240"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105.816</w:t>
            </w:r>
          </w:p>
        </w:tc>
        <w:tc>
          <w:tcPr>
            <w:tcW w:w="1364"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3.527.190</w:t>
            </w:r>
          </w:p>
        </w:tc>
        <w:tc>
          <w:tcPr>
            <w:tcW w:w="1344"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85,00</w:t>
            </w:r>
            <w:r w:rsidR="00415612" w:rsidRPr="002E0F24">
              <w:rPr>
                <w:rFonts w:ascii="Arial" w:hAnsi="Arial" w:cs="Arial"/>
                <w:color w:val="000000"/>
                <w:sz w:val="20"/>
              </w:rPr>
              <w:t>%</w:t>
            </w:r>
          </w:p>
        </w:tc>
        <w:tc>
          <w:tcPr>
            <w:tcW w:w="1351"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2" w:type="dxa"/>
            <w:gridSpan w:val="2"/>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r>
      <w:tr w:rsidR="00415612" w:rsidRPr="00304864" w:rsidTr="0091308C">
        <w:trPr>
          <w:trHeight w:val="300"/>
        </w:trPr>
        <w:tc>
          <w:tcPr>
            <w:tcW w:w="1940" w:type="dxa"/>
            <w:vMerge w:val="restart"/>
            <w:tcBorders>
              <w:top w:val="nil"/>
              <w:left w:val="single" w:sz="8" w:space="0" w:color="auto"/>
              <w:bottom w:val="nil"/>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Priority axis 2</w:t>
            </w: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365F12" w:rsidP="00A30AEC">
            <w:pPr>
              <w:jc w:val="left"/>
              <w:rPr>
                <w:rFonts w:ascii="Arial" w:hAnsi="Arial" w:cs="Arial"/>
                <w:color w:val="000000"/>
                <w:sz w:val="20"/>
                <w:lang w:val="es-ES" w:eastAsia="es-ES"/>
              </w:rPr>
            </w:pPr>
            <w:hyperlink r:id="rId20" w:anchor="RANGE!D39" w:history="1">
              <w:r w:rsidR="00415612" w:rsidRPr="00A30AEC">
                <w:rPr>
                  <w:rFonts w:ascii="Arial" w:hAnsi="Arial" w:cs="Arial"/>
                  <w:color w:val="000000"/>
                  <w:sz w:val="20"/>
                  <w:lang w:val="es-ES" w:eastAsia="es-ES"/>
                </w:rPr>
                <w:t xml:space="preserve">ERDF </w:t>
              </w:r>
            </w:hyperlink>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38.395.155</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sz w:val="20"/>
                <w:lang w:val="es-ES" w:eastAsia="es-ES"/>
              </w:rPr>
            </w:pPr>
            <w:r w:rsidRPr="002E0F24">
              <w:rPr>
                <w:rFonts w:ascii="Arial" w:hAnsi="Arial" w:cs="Arial"/>
                <w:color w:val="000000"/>
                <w:sz w:val="20"/>
              </w:rPr>
              <w:t>6.775.616</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6.098.054</w:t>
            </w:r>
          </w:p>
        </w:tc>
        <w:tc>
          <w:tcPr>
            <w:tcW w:w="1240"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677.562</w:t>
            </w:r>
          </w:p>
        </w:tc>
        <w:tc>
          <w:tcPr>
            <w:tcW w:w="136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45.170.771</w:t>
            </w:r>
          </w:p>
        </w:tc>
        <w:tc>
          <w:tcPr>
            <w:tcW w:w="134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85,00%</w:t>
            </w:r>
          </w:p>
        </w:tc>
        <w:tc>
          <w:tcPr>
            <w:tcW w:w="1351" w:type="dxa"/>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2" w:type="dxa"/>
            <w:gridSpan w:val="2"/>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r>
      <w:tr w:rsidR="00415612" w:rsidRPr="00304864" w:rsidTr="0091308C">
        <w:trPr>
          <w:trHeight w:val="300"/>
        </w:trPr>
        <w:tc>
          <w:tcPr>
            <w:tcW w:w="1940"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IPA</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7.077.221</w:t>
            </w:r>
          </w:p>
        </w:tc>
        <w:tc>
          <w:tcPr>
            <w:tcW w:w="1242"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sz w:val="20"/>
                <w:lang w:val="es-ES" w:eastAsia="es-ES"/>
              </w:rPr>
            </w:pPr>
            <w:r w:rsidRPr="002E0F24">
              <w:rPr>
                <w:rFonts w:ascii="Arial" w:hAnsi="Arial" w:cs="Arial"/>
                <w:color w:val="000000"/>
                <w:sz w:val="20"/>
              </w:rPr>
              <w:t>1.248.921</w:t>
            </w:r>
          </w:p>
        </w:tc>
        <w:tc>
          <w:tcPr>
            <w:tcW w:w="1242"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1.123.121</w:t>
            </w:r>
          </w:p>
        </w:tc>
        <w:tc>
          <w:tcPr>
            <w:tcW w:w="1240"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125.800</w:t>
            </w:r>
          </w:p>
        </w:tc>
        <w:tc>
          <w:tcPr>
            <w:tcW w:w="1364" w:type="dxa"/>
            <w:tcBorders>
              <w:top w:val="nil"/>
              <w:left w:val="nil"/>
              <w:bottom w:val="single" w:sz="8" w:space="0" w:color="auto"/>
              <w:right w:val="single" w:sz="8" w:space="0" w:color="auto"/>
            </w:tcBorders>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8.326.142</w:t>
            </w:r>
          </w:p>
        </w:tc>
        <w:tc>
          <w:tcPr>
            <w:tcW w:w="1344" w:type="dxa"/>
            <w:tcBorders>
              <w:top w:val="nil"/>
              <w:left w:val="nil"/>
              <w:bottom w:val="single" w:sz="8" w:space="0" w:color="auto"/>
              <w:right w:val="single" w:sz="8" w:space="0" w:color="auto"/>
            </w:tcBorders>
            <w:vAlign w:val="center"/>
          </w:tcPr>
          <w:p w:rsidR="00415612" w:rsidRPr="00693E73" w:rsidRDefault="00367929" w:rsidP="002E0F24">
            <w:pPr>
              <w:jc w:val="center"/>
              <w:rPr>
                <w:rFonts w:ascii="Arial" w:hAnsi="Arial" w:cs="Arial"/>
                <w:color w:val="000000"/>
                <w:sz w:val="20"/>
                <w:lang w:val="es-ES" w:eastAsia="es-ES"/>
              </w:rPr>
            </w:pPr>
            <w:r w:rsidRPr="00367929">
              <w:rPr>
                <w:rFonts w:ascii="Arial" w:hAnsi="Arial" w:cs="Arial"/>
                <w:color w:val="000000"/>
                <w:sz w:val="20"/>
              </w:rPr>
              <w:t>8</w:t>
            </w:r>
            <w:r>
              <w:rPr>
                <w:rFonts w:ascii="Arial" w:hAnsi="Arial" w:cs="Arial"/>
                <w:color w:val="000000"/>
                <w:sz w:val="20"/>
              </w:rPr>
              <w:t>5</w:t>
            </w:r>
            <w:r w:rsidRPr="00367929">
              <w:rPr>
                <w:rFonts w:ascii="Arial" w:hAnsi="Arial" w:cs="Arial"/>
                <w:color w:val="000000"/>
                <w:sz w:val="20"/>
              </w:rPr>
              <w:t>,</w:t>
            </w:r>
            <w:r>
              <w:rPr>
                <w:rFonts w:ascii="Arial" w:hAnsi="Arial" w:cs="Arial"/>
                <w:color w:val="000000"/>
                <w:sz w:val="20"/>
              </w:rPr>
              <w:t>00</w:t>
            </w:r>
            <w:r w:rsidR="00415612" w:rsidRPr="002E0F24">
              <w:rPr>
                <w:rFonts w:ascii="Arial" w:hAnsi="Arial" w:cs="Arial"/>
                <w:color w:val="000000"/>
                <w:sz w:val="20"/>
              </w:rPr>
              <w:t>%</w:t>
            </w:r>
          </w:p>
        </w:tc>
        <w:tc>
          <w:tcPr>
            <w:tcW w:w="1351"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2" w:type="dxa"/>
            <w:gridSpan w:val="2"/>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r>
      <w:tr w:rsidR="00415612" w:rsidRPr="00304864" w:rsidTr="0091308C">
        <w:trPr>
          <w:trHeight w:val="300"/>
        </w:trPr>
        <w:tc>
          <w:tcPr>
            <w:tcW w:w="1940" w:type="dxa"/>
            <w:vMerge w:val="restart"/>
            <w:tcBorders>
              <w:top w:val="nil"/>
              <w:left w:val="single" w:sz="8" w:space="0" w:color="auto"/>
              <w:bottom w:val="nil"/>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Priority axis 3</w:t>
            </w: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365F12" w:rsidP="00A30AEC">
            <w:pPr>
              <w:jc w:val="left"/>
              <w:rPr>
                <w:rFonts w:ascii="Arial" w:hAnsi="Arial" w:cs="Arial"/>
                <w:color w:val="000000"/>
                <w:sz w:val="20"/>
                <w:lang w:val="es-ES" w:eastAsia="es-ES"/>
              </w:rPr>
            </w:pPr>
            <w:hyperlink r:id="rId21" w:anchor="RANGE!D40" w:history="1">
              <w:r w:rsidR="00415612" w:rsidRPr="00A30AEC">
                <w:rPr>
                  <w:rFonts w:ascii="Arial" w:hAnsi="Arial" w:cs="Arial"/>
                  <w:color w:val="000000"/>
                  <w:sz w:val="20"/>
                  <w:lang w:val="es-ES" w:eastAsia="es-ES"/>
                </w:rPr>
                <w:t xml:space="preserve">ERDF </w:t>
              </w:r>
            </w:hyperlink>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15.024.191</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sz w:val="20"/>
                <w:lang w:val="es-ES" w:eastAsia="es-ES"/>
              </w:rPr>
            </w:pPr>
            <w:r w:rsidRPr="002E0F24">
              <w:rPr>
                <w:rFonts w:ascii="Arial" w:hAnsi="Arial" w:cs="Arial"/>
                <w:color w:val="000000"/>
                <w:sz w:val="20"/>
              </w:rPr>
              <w:t>2.651.328</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2.121.062</w:t>
            </w:r>
          </w:p>
        </w:tc>
        <w:tc>
          <w:tcPr>
            <w:tcW w:w="1240"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530.266</w:t>
            </w:r>
          </w:p>
        </w:tc>
        <w:tc>
          <w:tcPr>
            <w:tcW w:w="136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17.675.520</w:t>
            </w:r>
          </w:p>
        </w:tc>
        <w:tc>
          <w:tcPr>
            <w:tcW w:w="1344"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85,00%</w:t>
            </w:r>
          </w:p>
        </w:tc>
        <w:tc>
          <w:tcPr>
            <w:tcW w:w="1351" w:type="dxa"/>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2" w:type="dxa"/>
            <w:gridSpan w:val="2"/>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r>
      <w:tr w:rsidR="00415612" w:rsidRPr="00304864" w:rsidTr="0091308C">
        <w:trPr>
          <w:trHeight w:val="300"/>
        </w:trPr>
        <w:tc>
          <w:tcPr>
            <w:tcW w:w="1940"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IPA</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2.684.333</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sz w:val="20"/>
                <w:lang w:val="es-ES" w:eastAsia="es-ES"/>
              </w:rPr>
            </w:pPr>
            <w:r w:rsidRPr="002E0F24">
              <w:rPr>
                <w:rFonts w:ascii="Arial" w:hAnsi="Arial" w:cs="Arial"/>
                <w:color w:val="000000"/>
                <w:sz w:val="20"/>
              </w:rPr>
              <w:t>473.706</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378.965</w:t>
            </w:r>
          </w:p>
        </w:tc>
        <w:tc>
          <w:tcPr>
            <w:tcW w:w="1240"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94.741</w:t>
            </w:r>
          </w:p>
        </w:tc>
        <w:tc>
          <w:tcPr>
            <w:tcW w:w="136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3.158.039</w:t>
            </w:r>
          </w:p>
        </w:tc>
        <w:tc>
          <w:tcPr>
            <w:tcW w:w="1344"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85,00%</w:t>
            </w:r>
          </w:p>
        </w:tc>
        <w:tc>
          <w:tcPr>
            <w:tcW w:w="1351"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2" w:type="dxa"/>
            <w:gridSpan w:val="2"/>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r>
      <w:tr w:rsidR="00415612" w:rsidRPr="00304864" w:rsidTr="0091308C">
        <w:trPr>
          <w:trHeight w:val="300"/>
        </w:trPr>
        <w:tc>
          <w:tcPr>
            <w:tcW w:w="1940" w:type="dxa"/>
            <w:vMerge w:val="restart"/>
            <w:tcBorders>
              <w:top w:val="nil"/>
              <w:left w:val="single" w:sz="8" w:space="0" w:color="auto"/>
              <w:bottom w:val="nil"/>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Priority axis 4</w:t>
            </w: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365F12" w:rsidP="00A30AEC">
            <w:pPr>
              <w:jc w:val="left"/>
              <w:rPr>
                <w:rFonts w:ascii="Arial" w:hAnsi="Arial" w:cs="Arial"/>
                <w:color w:val="000000"/>
                <w:sz w:val="20"/>
                <w:lang w:val="es-ES" w:eastAsia="es-ES"/>
              </w:rPr>
            </w:pPr>
            <w:hyperlink r:id="rId22" w:anchor="RANGE!D41" w:history="1">
              <w:r w:rsidR="00415612" w:rsidRPr="00A30AEC">
                <w:rPr>
                  <w:rFonts w:ascii="Arial" w:hAnsi="Arial" w:cs="Arial"/>
                  <w:color w:val="000000"/>
                  <w:sz w:val="20"/>
                  <w:lang w:val="es-ES" w:eastAsia="es-ES"/>
                </w:rPr>
                <w:t xml:space="preserve">ERDF </w:t>
              </w:r>
            </w:hyperlink>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8.346.773</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sz w:val="20"/>
                <w:lang w:val="es-ES" w:eastAsia="es-ES"/>
              </w:rPr>
            </w:pPr>
            <w:r w:rsidRPr="002E0F24">
              <w:rPr>
                <w:rFonts w:ascii="Arial" w:hAnsi="Arial" w:cs="Arial"/>
                <w:color w:val="000000"/>
                <w:sz w:val="20"/>
              </w:rPr>
              <w:t>1.472.960</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1.472.960</w:t>
            </w:r>
          </w:p>
        </w:tc>
        <w:tc>
          <w:tcPr>
            <w:tcW w:w="1240"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p>
        </w:tc>
        <w:tc>
          <w:tcPr>
            <w:tcW w:w="136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9.819.733</w:t>
            </w:r>
          </w:p>
        </w:tc>
        <w:tc>
          <w:tcPr>
            <w:tcW w:w="1344"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85,00%</w:t>
            </w:r>
          </w:p>
        </w:tc>
        <w:tc>
          <w:tcPr>
            <w:tcW w:w="1351" w:type="dxa"/>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2" w:type="dxa"/>
            <w:gridSpan w:val="2"/>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r>
      <w:tr w:rsidR="00415612" w:rsidRPr="00304864" w:rsidTr="0091308C">
        <w:trPr>
          <w:trHeight w:val="300"/>
        </w:trPr>
        <w:tc>
          <w:tcPr>
            <w:tcW w:w="1940"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IPA</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1.429.222</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sz w:val="20"/>
                <w:lang w:val="es-ES" w:eastAsia="es-ES"/>
              </w:rPr>
            </w:pPr>
            <w:r w:rsidRPr="002E0F24">
              <w:rPr>
                <w:rFonts w:ascii="Arial" w:hAnsi="Arial" w:cs="Arial"/>
                <w:color w:val="000000"/>
                <w:sz w:val="20"/>
              </w:rPr>
              <w:t>252.216</w:t>
            </w:r>
          </w:p>
        </w:tc>
        <w:tc>
          <w:tcPr>
            <w:tcW w:w="1242"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252.216</w:t>
            </w:r>
          </w:p>
        </w:tc>
        <w:tc>
          <w:tcPr>
            <w:tcW w:w="1240"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p>
        </w:tc>
        <w:tc>
          <w:tcPr>
            <w:tcW w:w="1364" w:type="dxa"/>
            <w:tcBorders>
              <w:top w:val="nil"/>
              <w:left w:val="nil"/>
              <w:bottom w:val="single" w:sz="8" w:space="0" w:color="auto"/>
              <w:right w:val="single" w:sz="8" w:space="0" w:color="auto"/>
            </w:tcBorders>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1.681.438</w:t>
            </w:r>
          </w:p>
        </w:tc>
        <w:tc>
          <w:tcPr>
            <w:tcW w:w="1344"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85,00%</w:t>
            </w:r>
          </w:p>
        </w:tc>
        <w:tc>
          <w:tcPr>
            <w:tcW w:w="1351"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2" w:type="dxa"/>
            <w:gridSpan w:val="2"/>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r>
      <w:tr w:rsidR="00415612" w:rsidRPr="00304864" w:rsidTr="0091308C">
        <w:trPr>
          <w:trHeight w:val="360"/>
        </w:trPr>
        <w:tc>
          <w:tcPr>
            <w:tcW w:w="1940" w:type="dxa"/>
            <w:vMerge w:val="restart"/>
            <w:tcBorders>
              <w:top w:val="nil"/>
              <w:left w:val="single" w:sz="8" w:space="0" w:color="auto"/>
              <w:bottom w:val="nil"/>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Priority axis 5</w:t>
            </w:r>
          </w:p>
        </w:tc>
        <w:tc>
          <w:tcPr>
            <w:tcW w:w="1240" w:type="dxa"/>
            <w:tcBorders>
              <w:top w:val="nil"/>
              <w:left w:val="nil"/>
              <w:bottom w:val="nil"/>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xml:space="preserve">ERDF </w:t>
            </w:r>
          </w:p>
        </w:tc>
        <w:tc>
          <w:tcPr>
            <w:tcW w:w="1240" w:type="dxa"/>
            <w:tcBorders>
              <w:top w:val="nil"/>
              <w:left w:val="nil"/>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5.008.063</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sz w:val="20"/>
                <w:lang w:val="es-ES" w:eastAsia="es-ES"/>
              </w:rPr>
            </w:pPr>
            <w:r w:rsidRPr="002E0F24">
              <w:rPr>
                <w:rFonts w:ascii="Arial" w:hAnsi="Arial" w:cs="Arial"/>
                <w:color w:val="000000"/>
                <w:sz w:val="20"/>
              </w:rPr>
              <w:t>2.146.313</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2.146.313</w:t>
            </w:r>
          </w:p>
        </w:tc>
        <w:tc>
          <w:tcPr>
            <w:tcW w:w="1240"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p>
        </w:tc>
        <w:tc>
          <w:tcPr>
            <w:tcW w:w="1364" w:type="dxa"/>
            <w:tcBorders>
              <w:top w:val="nil"/>
              <w:left w:val="nil"/>
              <w:bottom w:val="nil"/>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7.154.376</w:t>
            </w:r>
          </w:p>
        </w:tc>
        <w:tc>
          <w:tcPr>
            <w:tcW w:w="1344" w:type="dxa"/>
            <w:tcBorders>
              <w:top w:val="nil"/>
              <w:left w:val="nil"/>
              <w:bottom w:val="nil"/>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70,00%</w:t>
            </w:r>
          </w:p>
        </w:tc>
        <w:tc>
          <w:tcPr>
            <w:tcW w:w="1351" w:type="dxa"/>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2" w:type="dxa"/>
            <w:gridSpan w:val="2"/>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r>
      <w:tr w:rsidR="00415612" w:rsidRPr="00304864" w:rsidTr="0091308C">
        <w:trPr>
          <w:trHeight w:val="432"/>
        </w:trPr>
        <w:tc>
          <w:tcPr>
            <w:tcW w:w="1940"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240" w:type="dxa"/>
            <w:tcBorders>
              <w:top w:val="single" w:sz="4" w:space="0" w:color="auto"/>
              <w:left w:val="single" w:sz="4" w:space="0" w:color="auto"/>
              <w:bottom w:val="single" w:sz="4"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xml:space="preserve">IPA </w:t>
            </w:r>
          </w:p>
        </w:tc>
        <w:tc>
          <w:tcPr>
            <w:tcW w:w="1240" w:type="dxa"/>
            <w:tcBorders>
              <w:top w:val="nil"/>
              <w:left w:val="nil"/>
              <w:bottom w:val="single" w:sz="4"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4" w:space="0" w:color="auto"/>
              <w:right w:val="single" w:sz="8" w:space="0" w:color="auto"/>
            </w:tcBorders>
            <w:shd w:val="clear" w:color="000000" w:fill="FFFFFF"/>
            <w:vAlign w:val="center"/>
          </w:tcPr>
          <w:p w:rsidR="00415612" w:rsidRPr="00693E73" w:rsidRDefault="00415612" w:rsidP="002E0F24">
            <w:pPr>
              <w:jc w:val="center"/>
              <w:rPr>
                <w:rFonts w:ascii="Arial" w:hAnsi="Arial" w:cs="Arial"/>
                <w:sz w:val="20"/>
                <w:lang w:val="es-ES" w:eastAsia="es-ES"/>
              </w:rPr>
            </w:pPr>
            <w:r w:rsidRPr="002E0F24">
              <w:rPr>
                <w:rFonts w:ascii="Arial" w:hAnsi="Arial" w:cs="Arial"/>
                <w:color w:val="000000"/>
                <w:sz w:val="20"/>
              </w:rPr>
              <w:t>1.500.000</w:t>
            </w:r>
          </w:p>
        </w:tc>
        <w:tc>
          <w:tcPr>
            <w:tcW w:w="1242" w:type="dxa"/>
            <w:tcBorders>
              <w:top w:val="single" w:sz="4" w:space="0" w:color="auto"/>
              <w:left w:val="nil"/>
              <w:bottom w:val="single" w:sz="4" w:space="0" w:color="auto"/>
              <w:right w:val="single" w:sz="8" w:space="0" w:color="auto"/>
            </w:tcBorders>
            <w:shd w:val="clear" w:color="000000" w:fill="FFFFFF"/>
            <w:vAlign w:val="center"/>
          </w:tcPr>
          <w:p w:rsidR="00415612" w:rsidRPr="002E0F24" w:rsidRDefault="00415612" w:rsidP="002E0F24">
            <w:pPr>
              <w:jc w:val="center"/>
              <w:rPr>
                <w:rFonts w:ascii="Arial" w:hAnsi="Arial" w:cs="Arial"/>
                <w:sz w:val="20"/>
                <w:lang w:val="es-ES" w:eastAsia="es-ES"/>
              </w:rPr>
            </w:pPr>
            <w:r w:rsidRPr="002E0F24">
              <w:rPr>
                <w:rFonts w:ascii="Arial" w:hAnsi="Arial" w:cs="Arial"/>
                <w:color w:val="000000"/>
                <w:sz w:val="20"/>
              </w:rPr>
              <w:t>264.706</w:t>
            </w:r>
          </w:p>
        </w:tc>
        <w:tc>
          <w:tcPr>
            <w:tcW w:w="1242" w:type="dxa"/>
            <w:tcBorders>
              <w:top w:val="single" w:sz="4" w:space="0" w:color="auto"/>
              <w:left w:val="nil"/>
              <w:bottom w:val="single" w:sz="4"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264.706</w:t>
            </w:r>
          </w:p>
        </w:tc>
        <w:tc>
          <w:tcPr>
            <w:tcW w:w="1240" w:type="dxa"/>
            <w:tcBorders>
              <w:top w:val="single" w:sz="4" w:space="0" w:color="auto"/>
              <w:left w:val="nil"/>
              <w:bottom w:val="single" w:sz="4"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p>
        </w:tc>
        <w:tc>
          <w:tcPr>
            <w:tcW w:w="1364" w:type="dxa"/>
            <w:tcBorders>
              <w:top w:val="nil"/>
              <w:left w:val="nil"/>
              <w:bottom w:val="single" w:sz="4"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1.764.706</w:t>
            </w:r>
          </w:p>
        </w:tc>
        <w:tc>
          <w:tcPr>
            <w:tcW w:w="1344" w:type="dxa"/>
            <w:tcBorders>
              <w:top w:val="nil"/>
              <w:left w:val="nil"/>
              <w:bottom w:val="single" w:sz="4" w:space="0" w:color="auto"/>
              <w:right w:val="single" w:sz="4"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85,00%</w:t>
            </w:r>
          </w:p>
        </w:tc>
        <w:tc>
          <w:tcPr>
            <w:tcW w:w="1351"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2" w:type="dxa"/>
            <w:gridSpan w:val="2"/>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r>
      <w:tr w:rsidR="00415612" w:rsidRPr="00304864" w:rsidTr="0091308C">
        <w:trPr>
          <w:trHeight w:val="300"/>
        </w:trPr>
        <w:tc>
          <w:tcPr>
            <w:tcW w:w="1940" w:type="dxa"/>
            <w:vMerge w:val="restart"/>
            <w:tcBorders>
              <w:top w:val="nil"/>
              <w:left w:val="single" w:sz="8" w:space="0" w:color="auto"/>
              <w:bottom w:val="nil"/>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Total</w:t>
            </w: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ERDF</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0" w:type="dxa"/>
            <w:tcBorders>
              <w:top w:val="nil"/>
              <w:left w:val="nil"/>
              <w:bottom w:val="single" w:sz="8" w:space="0" w:color="auto"/>
              <w:right w:val="single" w:sz="8" w:space="0" w:color="auto"/>
            </w:tcBorders>
            <w:shd w:val="clear" w:color="000000" w:fill="FFFFFF"/>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83.467.729</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15.992.953</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14.195.125</w:t>
            </w:r>
          </w:p>
        </w:tc>
        <w:tc>
          <w:tcPr>
            <w:tcW w:w="1240"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1.797.828</w:t>
            </w:r>
          </w:p>
        </w:tc>
        <w:tc>
          <w:tcPr>
            <w:tcW w:w="1364"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99.460.682</w:t>
            </w:r>
          </w:p>
        </w:tc>
        <w:tc>
          <w:tcPr>
            <w:tcW w:w="1344"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83,92%</w:t>
            </w:r>
          </w:p>
        </w:tc>
        <w:tc>
          <w:tcPr>
            <w:tcW w:w="1351" w:type="dxa"/>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2" w:type="dxa"/>
            <w:gridSpan w:val="2"/>
            <w:vMerge w:val="restart"/>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r>
      <w:tr w:rsidR="00415612" w:rsidRPr="00304864" w:rsidTr="0091308C">
        <w:trPr>
          <w:trHeight w:val="300"/>
        </w:trPr>
        <w:tc>
          <w:tcPr>
            <w:tcW w:w="1940"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IPA</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0" w:type="dxa"/>
            <w:tcBorders>
              <w:top w:val="nil"/>
              <w:left w:val="nil"/>
              <w:bottom w:val="single" w:sz="8" w:space="0" w:color="auto"/>
              <w:right w:val="single" w:sz="8" w:space="0" w:color="auto"/>
            </w:tcBorders>
            <w:shd w:val="clear" w:color="000000" w:fill="FFFFFF"/>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15.688.887</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2.7</w:t>
            </w:r>
            <w:r w:rsidR="00367929" w:rsidRPr="002E0F24">
              <w:rPr>
                <w:rFonts w:ascii="Arial" w:hAnsi="Arial" w:cs="Arial"/>
                <w:color w:val="000000"/>
                <w:sz w:val="20"/>
              </w:rPr>
              <w:t>68.628</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2.442.271</w:t>
            </w:r>
          </w:p>
        </w:tc>
        <w:tc>
          <w:tcPr>
            <w:tcW w:w="1240" w:type="dxa"/>
            <w:tcBorders>
              <w:top w:val="nil"/>
              <w:left w:val="nil"/>
              <w:bottom w:val="single" w:sz="8" w:space="0" w:color="auto"/>
              <w:right w:val="single" w:sz="8" w:space="0" w:color="auto"/>
            </w:tcBorders>
            <w:shd w:val="clear" w:color="000000" w:fill="FFFFFF"/>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326.357</w:t>
            </w:r>
          </w:p>
        </w:tc>
        <w:tc>
          <w:tcPr>
            <w:tcW w:w="1364" w:type="dxa"/>
            <w:tcBorders>
              <w:top w:val="nil"/>
              <w:left w:val="nil"/>
              <w:bottom w:val="single" w:sz="8" w:space="0" w:color="auto"/>
              <w:right w:val="single" w:sz="8" w:space="0" w:color="auto"/>
            </w:tcBorders>
            <w:shd w:val="clear" w:color="000000" w:fill="FFFFFF"/>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18.457.515</w:t>
            </w:r>
          </w:p>
        </w:tc>
        <w:tc>
          <w:tcPr>
            <w:tcW w:w="1344" w:type="dxa"/>
            <w:tcBorders>
              <w:top w:val="nil"/>
              <w:left w:val="nil"/>
              <w:bottom w:val="single" w:sz="8" w:space="0" w:color="auto"/>
              <w:right w:val="single" w:sz="8" w:space="0" w:color="auto"/>
            </w:tcBorders>
            <w:vAlign w:val="center"/>
          </w:tcPr>
          <w:p w:rsidR="00415612" w:rsidRPr="00693E73" w:rsidRDefault="00367929" w:rsidP="002E0F24">
            <w:pPr>
              <w:jc w:val="center"/>
              <w:rPr>
                <w:rFonts w:ascii="Arial" w:hAnsi="Arial" w:cs="Arial"/>
                <w:color w:val="000000"/>
                <w:sz w:val="20"/>
                <w:lang w:val="es-ES" w:eastAsia="es-ES"/>
              </w:rPr>
            </w:pPr>
            <w:r w:rsidRPr="00367929">
              <w:rPr>
                <w:rFonts w:ascii="Arial" w:hAnsi="Arial" w:cs="Arial"/>
                <w:color w:val="000000"/>
                <w:sz w:val="20"/>
              </w:rPr>
              <w:t>8</w:t>
            </w:r>
            <w:r>
              <w:rPr>
                <w:rFonts w:ascii="Arial" w:hAnsi="Arial" w:cs="Arial"/>
                <w:color w:val="000000"/>
                <w:sz w:val="20"/>
              </w:rPr>
              <w:t>5</w:t>
            </w:r>
            <w:r w:rsidRPr="00367929">
              <w:rPr>
                <w:rFonts w:ascii="Arial" w:hAnsi="Arial" w:cs="Arial"/>
                <w:color w:val="000000"/>
                <w:sz w:val="20"/>
              </w:rPr>
              <w:t>,</w:t>
            </w:r>
            <w:r>
              <w:rPr>
                <w:rFonts w:ascii="Arial" w:hAnsi="Arial" w:cs="Arial"/>
                <w:color w:val="000000"/>
                <w:sz w:val="20"/>
              </w:rPr>
              <w:t>00</w:t>
            </w:r>
            <w:r w:rsidR="00415612" w:rsidRPr="002E0F24">
              <w:rPr>
                <w:rFonts w:ascii="Arial" w:hAnsi="Arial" w:cs="Arial"/>
                <w:color w:val="000000"/>
                <w:sz w:val="20"/>
              </w:rPr>
              <w:t>%</w:t>
            </w:r>
          </w:p>
        </w:tc>
        <w:tc>
          <w:tcPr>
            <w:tcW w:w="1351" w:type="dxa"/>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c>
          <w:tcPr>
            <w:tcW w:w="1342" w:type="dxa"/>
            <w:gridSpan w:val="2"/>
            <w:vMerge/>
            <w:tcBorders>
              <w:top w:val="nil"/>
              <w:left w:val="single" w:sz="8" w:space="0" w:color="auto"/>
              <w:bottom w:val="nil"/>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p>
        </w:tc>
      </w:tr>
      <w:tr w:rsidR="00415612" w:rsidRPr="00304864" w:rsidTr="0091308C">
        <w:trPr>
          <w:trHeight w:val="564"/>
        </w:trPr>
        <w:tc>
          <w:tcPr>
            <w:tcW w:w="1940" w:type="dxa"/>
            <w:tcBorders>
              <w:top w:val="nil"/>
              <w:left w:val="single" w:sz="8" w:space="0" w:color="auto"/>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Total</w:t>
            </w:r>
          </w:p>
        </w:tc>
        <w:tc>
          <w:tcPr>
            <w:tcW w:w="1240" w:type="dxa"/>
            <w:tcBorders>
              <w:top w:val="nil"/>
              <w:left w:val="nil"/>
              <w:bottom w:val="single" w:sz="8" w:space="0" w:color="auto"/>
              <w:right w:val="single" w:sz="8" w:space="0" w:color="auto"/>
            </w:tcBorders>
            <w:shd w:val="clear" w:color="000000" w:fill="C6D9F1"/>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Total all Funds</w:t>
            </w:r>
          </w:p>
        </w:tc>
        <w:tc>
          <w:tcPr>
            <w:tcW w:w="1240"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0" w:type="dxa"/>
            <w:tcBorders>
              <w:top w:val="nil"/>
              <w:left w:val="nil"/>
              <w:bottom w:val="single" w:sz="8" w:space="0" w:color="auto"/>
              <w:right w:val="single" w:sz="8" w:space="0" w:color="auto"/>
            </w:tcBorders>
            <w:shd w:val="clear" w:color="000000" w:fill="FFFFFF"/>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99.156.616</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18.761.581</w:t>
            </w:r>
          </w:p>
        </w:tc>
        <w:tc>
          <w:tcPr>
            <w:tcW w:w="1242" w:type="dxa"/>
            <w:tcBorders>
              <w:top w:val="nil"/>
              <w:left w:val="nil"/>
              <w:bottom w:val="single" w:sz="8" w:space="0" w:color="auto"/>
              <w:right w:val="single" w:sz="8" w:space="0" w:color="auto"/>
            </w:tcBorders>
            <w:shd w:val="clear" w:color="000000" w:fill="FFFFFF"/>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16.637.396</w:t>
            </w:r>
          </w:p>
        </w:tc>
        <w:tc>
          <w:tcPr>
            <w:tcW w:w="1240" w:type="dxa"/>
            <w:tcBorders>
              <w:top w:val="nil"/>
              <w:left w:val="nil"/>
              <w:bottom w:val="single" w:sz="8" w:space="0" w:color="auto"/>
              <w:right w:val="single" w:sz="8" w:space="0" w:color="auto"/>
            </w:tcBorders>
            <w:shd w:val="clear" w:color="000000" w:fill="FFFFFF"/>
            <w:vAlign w:val="center"/>
          </w:tcPr>
          <w:p w:rsidR="00415612" w:rsidRPr="002E0F24" w:rsidRDefault="00367929" w:rsidP="002E0F24">
            <w:pPr>
              <w:jc w:val="center"/>
              <w:rPr>
                <w:rFonts w:ascii="Arial" w:hAnsi="Arial" w:cs="Arial"/>
                <w:color w:val="000000"/>
                <w:sz w:val="20"/>
                <w:lang w:val="es-ES" w:eastAsia="es-ES"/>
              </w:rPr>
            </w:pPr>
            <w:r w:rsidRPr="002E0F24">
              <w:rPr>
                <w:rFonts w:ascii="Arial" w:hAnsi="Arial" w:cs="Arial"/>
                <w:color w:val="000000"/>
                <w:sz w:val="20"/>
              </w:rPr>
              <w:t>2.124.185</w:t>
            </w:r>
          </w:p>
        </w:tc>
        <w:tc>
          <w:tcPr>
            <w:tcW w:w="1364" w:type="dxa"/>
            <w:tcBorders>
              <w:top w:val="nil"/>
              <w:left w:val="nil"/>
              <w:bottom w:val="single" w:sz="8" w:space="0" w:color="auto"/>
              <w:right w:val="single" w:sz="8" w:space="0" w:color="auto"/>
            </w:tcBorders>
            <w:shd w:val="clear" w:color="000000" w:fill="FFFFFF"/>
            <w:vAlign w:val="center"/>
          </w:tcPr>
          <w:p w:rsidR="00415612" w:rsidRPr="002E0F24" w:rsidRDefault="00415612" w:rsidP="002E0F24">
            <w:pPr>
              <w:jc w:val="center"/>
              <w:rPr>
                <w:rFonts w:ascii="Arial" w:hAnsi="Arial" w:cs="Arial"/>
                <w:color w:val="000000"/>
                <w:sz w:val="20"/>
                <w:lang w:val="es-ES" w:eastAsia="es-ES"/>
              </w:rPr>
            </w:pPr>
            <w:r w:rsidRPr="002E0F24">
              <w:rPr>
                <w:rFonts w:ascii="Arial" w:hAnsi="Arial" w:cs="Arial"/>
                <w:color w:val="000000"/>
                <w:sz w:val="20"/>
              </w:rPr>
              <w:t>117.9</w:t>
            </w:r>
            <w:r w:rsidR="00367929" w:rsidRPr="002E0F24">
              <w:rPr>
                <w:rFonts w:ascii="Arial" w:hAnsi="Arial" w:cs="Arial"/>
                <w:color w:val="000000"/>
                <w:sz w:val="20"/>
              </w:rPr>
              <w:t>18.197</w:t>
            </w:r>
          </w:p>
        </w:tc>
        <w:tc>
          <w:tcPr>
            <w:tcW w:w="1344" w:type="dxa"/>
            <w:tcBorders>
              <w:top w:val="nil"/>
              <w:left w:val="nil"/>
              <w:bottom w:val="single" w:sz="8" w:space="0" w:color="auto"/>
              <w:right w:val="single" w:sz="8" w:space="0" w:color="auto"/>
            </w:tcBorders>
            <w:vAlign w:val="center"/>
          </w:tcPr>
          <w:p w:rsidR="00415612" w:rsidRPr="00693E73" w:rsidRDefault="00415612" w:rsidP="002E0F24">
            <w:pPr>
              <w:jc w:val="center"/>
              <w:rPr>
                <w:rFonts w:ascii="Arial" w:hAnsi="Arial" w:cs="Arial"/>
                <w:color w:val="000000"/>
                <w:sz w:val="20"/>
                <w:lang w:val="es-ES" w:eastAsia="es-ES"/>
              </w:rPr>
            </w:pPr>
            <w:r w:rsidRPr="002E0F24">
              <w:rPr>
                <w:rFonts w:ascii="Arial" w:hAnsi="Arial" w:cs="Arial"/>
                <w:color w:val="000000"/>
                <w:sz w:val="20"/>
              </w:rPr>
              <w:t>84,09%</w:t>
            </w:r>
          </w:p>
        </w:tc>
        <w:tc>
          <w:tcPr>
            <w:tcW w:w="1351" w:type="dxa"/>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c>
          <w:tcPr>
            <w:tcW w:w="1342" w:type="dxa"/>
            <w:gridSpan w:val="2"/>
            <w:tcBorders>
              <w:top w:val="nil"/>
              <w:left w:val="nil"/>
              <w:bottom w:val="single" w:sz="8" w:space="0" w:color="auto"/>
              <w:right w:val="single" w:sz="8" w:space="0" w:color="auto"/>
            </w:tcBorders>
            <w:vAlign w:val="center"/>
          </w:tcPr>
          <w:p w:rsidR="00415612" w:rsidRPr="00A30AEC" w:rsidRDefault="00415612" w:rsidP="00A30AEC">
            <w:pPr>
              <w:jc w:val="left"/>
              <w:rPr>
                <w:rFonts w:ascii="Arial" w:hAnsi="Arial" w:cs="Arial"/>
                <w:color w:val="000000"/>
                <w:sz w:val="20"/>
                <w:lang w:val="es-ES" w:eastAsia="es-ES"/>
              </w:rPr>
            </w:pPr>
            <w:r w:rsidRPr="00A30AEC">
              <w:rPr>
                <w:rFonts w:ascii="Arial" w:hAnsi="Arial" w:cs="Arial"/>
                <w:color w:val="000000"/>
                <w:sz w:val="20"/>
                <w:lang w:val="es-ES" w:eastAsia="es-ES"/>
              </w:rPr>
              <w:t> </w:t>
            </w:r>
          </w:p>
        </w:tc>
      </w:tr>
    </w:tbl>
    <w:p w:rsidR="00DF4E40" w:rsidRDefault="00DF4E40">
      <w:pPr>
        <w:rPr>
          <w:rFonts w:ascii="Arial" w:hAnsi="Arial" w:cs="Arial"/>
          <w:sz w:val="22"/>
          <w:szCs w:val="22"/>
        </w:rPr>
      </w:pPr>
    </w:p>
    <w:p w:rsidR="007142EE" w:rsidRPr="00304864" w:rsidRDefault="007142EE">
      <w:pPr>
        <w:rPr>
          <w:rFonts w:ascii="Arial" w:hAnsi="Arial" w:cs="Arial"/>
          <w:sz w:val="22"/>
          <w:szCs w:val="22"/>
        </w:rPr>
      </w:pPr>
      <w:r>
        <w:rPr>
          <w:rFonts w:ascii="Arial" w:hAnsi="Arial" w:cs="Arial"/>
          <w:sz w:val="22"/>
          <w:szCs w:val="22"/>
        </w:rPr>
        <w:br w:type="page"/>
      </w:r>
    </w:p>
    <w:p w:rsidR="00DF4E40" w:rsidRPr="00304864" w:rsidRDefault="00DF4E40">
      <w:pPr>
        <w:pStyle w:val="Heading3"/>
        <w:spacing w:before="0" w:after="120"/>
        <w:ind w:left="0"/>
        <w:rPr>
          <w:rFonts w:ascii="Arial" w:hAnsi="Arial" w:cs="Arial"/>
          <w:noProof w:val="0"/>
          <w:color w:val="002060"/>
          <w:sz w:val="22"/>
          <w:szCs w:val="22"/>
        </w:rPr>
      </w:pPr>
      <w:bookmarkStart w:id="273" w:name="_Toc420652561"/>
      <w:bookmarkStart w:id="274" w:name="_Toc421076913"/>
      <w:r w:rsidRPr="00304864">
        <w:rPr>
          <w:rFonts w:ascii="Arial" w:hAnsi="Arial" w:cs="Arial"/>
          <w:noProof w:val="0"/>
          <w:color w:val="002060"/>
          <w:sz w:val="22"/>
          <w:szCs w:val="22"/>
        </w:rPr>
        <w:t>3.2.B.Breakdown by priority axis and thematic objective</w:t>
      </w:r>
      <w:bookmarkEnd w:id="273"/>
      <w:bookmarkEnd w:id="274"/>
    </w:p>
    <w:p w:rsidR="00DF4E40" w:rsidRPr="00A30AEC" w:rsidRDefault="00DF4E40">
      <w:pPr>
        <w:pStyle w:val="Text3"/>
        <w:ind w:left="0"/>
        <w:rPr>
          <w:rFonts w:ascii="Arial" w:hAnsi="Arial" w:cs="Arial"/>
          <w:sz w:val="22"/>
          <w:szCs w:val="22"/>
          <w:lang w:eastAsia="fr-BE"/>
        </w:rPr>
      </w:pPr>
      <w:r w:rsidRPr="00A30AEC">
        <w:rPr>
          <w:rFonts w:ascii="Arial" w:hAnsi="Arial" w:cs="Arial"/>
          <w:sz w:val="22"/>
          <w:szCs w:val="22"/>
        </w:rPr>
        <w:t>(Reference: point (d)(ii) of Article 8(2) of Regulation (EU) No 1299/2013)</w:t>
      </w:r>
    </w:p>
    <w:p w:rsidR="007142EE" w:rsidRPr="00304864" w:rsidRDefault="007142EE">
      <w:pPr>
        <w:rPr>
          <w:rFonts w:ascii="Arial" w:hAnsi="Arial" w:cs="Arial"/>
          <w:b/>
          <w:sz w:val="22"/>
          <w:szCs w:val="22"/>
        </w:rPr>
      </w:pPr>
    </w:p>
    <w:p w:rsidR="00AC6DF1" w:rsidRPr="00304864" w:rsidRDefault="00DF4E40">
      <w:pPr>
        <w:rPr>
          <w:rFonts w:ascii="Arial" w:hAnsi="Arial" w:cs="Arial"/>
          <w:b/>
          <w:sz w:val="22"/>
          <w:szCs w:val="22"/>
        </w:rPr>
      </w:pPr>
      <w:r w:rsidRPr="00304864">
        <w:rPr>
          <w:rFonts w:ascii="Arial" w:hAnsi="Arial" w:cs="Arial"/>
          <w:b/>
          <w:sz w:val="22"/>
          <w:szCs w:val="22"/>
        </w:rPr>
        <w:t>Table 17</w:t>
      </w:r>
    </w:p>
    <w:tbl>
      <w:tblPr>
        <w:tblW w:w="11497" w:type="dxa"/>
        <w:jc w:val="center"/>
        <w:tblCellMar>
          <w:left w:w="70" w:type="dxa"/>
          <w:right w:w="70" w:type="dxa"/>
        </w:tblCellMar>
        <w:tblLook w:val="00A0"/>
      </w:tblPr>
      <w:tblGrid>
        <w:gridCol w:w="1858"/>
        <w:gridCol w:w="2410"/>
        <w:gridCol w:w="1843"/>
        <w:gridCol w:w="2835"/>
        <w:gridCol w:w="2551"/>
      </w:tblGrid>
      <w:tr w:rsidR="00DF4E40" w:rsidRPr="00304864" w:rsidTr="00A30AEC">
        <w:trPr>
          <w:trHeight w:val="672"/>
          <w:jc w:val="center"/>
        </w:trPr>
        <w:tc>
          <w:tcPr>
            <w:tcW w:w="1858" w:type="dxa"/>
            <w:tcBorders>
              <w:top w:val="single" w:sz="8" w:space="0" w:color="auto"/>
              <w:left w:val="single" w:sz="8" w:space="0" w:color="auto"/>
              <w:bottom w:val="single" w:sz="8" w:space="0" w:color="auto"/>
              <w:right w:val="single" w:sz="8" w:space="0" w:color="auto"/>
            </w:tcBorders>
            <w:shd w:val="clear" w:color="auto" w:fill="C6D9F1"/>
            <w:vAlign w:val="center"/>
          </w:tcPr>
          <w:p w:rsidR="00DF4E40" w:rsidRPr="00A30AEC" w:rsidRDefault="00DF4E40" w:rsidP="00A30AEC">
            <w:pPr>
              <w:jc w:val="left"/>
              <w:rPr>
                <w:rFonts w:ascii="Arial" w:hAnsi="Arial" w:cs="Arial"/>
                <w:b/>
                <w:sz w:val="20"/>
                <w:lang w:eastAsia="es-ES"/>
              </w:rPr>
            </w:pPr>
            <w:r w:rsidRPr="00A30AEC">
              <w:rPr>
                <w:rFonts w:ascii="Arial" w:hAnsi="Arial" w:cs="Arial"/>
                <w:b/>
                <w:sz w:val="20"/>
                <w:lang w:eastAsia="es-ES"/>
              </w:rPr>
              <w:t>Priority axis</w:t>
            </w:r>
          </w:p>
        </w:tc>
        <w:tc>
          <w:tcPr>
            <w:tcW w:w="2410" w:type="dxa"/>
            <w:tcBorders>
              <w:top w:val="single" w:sz="8" w:space="0" w:color="auto"/>
              <w:left w:val="nil"/>
              <w:bottom w:val="single" w:sz="8" w:space="0" w:color="auto"/>
              <w:right w:val="single" w:sz="8" w:space="0" w:color="auto"/>
            </w:tcBorders>
            <w:shd w:val="clear" w:color="auto" w:fill="C6D9F1"/>
            <w:vAlign w:val="center"/>
          </w:tcPr>
          <w:p w:rsidR="00DF4E40" w:rsidRPr="00A30AEC" w:rsidRDefault="00DF4E40" w:rsidP="00A30AEC">
            <w:pPr>
              <w:jc w:val="left"/>
              <w:rPr>
                <w:rFonts w:ascii="Arial" w:hAnsi="Arial" w:cs="Arial"/>
                <w:b/>
                <w:sz w:val="20"/>
                <w:lang w:eastAsia="es-ES"/>
              </w:rPr>
            </w:pPr>
            <w:r w:rsidRPr="00A30AEC">
              <w:rPr>
                <w:rFonts w:ascii="Arial" w:hAnsi="Arial" w:cs="Arial"/>
                <w:b/>
                <w:sz w:val="20"/>
                <w:lang w:eastAsia="es-ES"/>
              </w:rPr>
              <w:t>Thematic objective</w:t>
            </w:r>
          </w:p>
        </w:tc>
        <w:tc>
          <w:tcPr>
            <w:tcW w:w="1843" w:type="dxa"/>
            <w:tcBorders>
              <w:top w:val="single" w:sz="8" w:space="0" w:color="auto"/>
              <w:left w:val="nil"/>
              <w:bottom w:val="single" w:sz="8" w:space="0" w:color="auto"/>
              <w:right w:val="single" w:sz="8" w:space="0" w:color="auto"/>
            </w:tcBorders>
            <w:shd w:val="clear" w:color="auto" w:fill="C6D9F1"/>
            <w:vAlign w:val="center"/>
          </w:tcPr>
          <w:p w:rsidR="00DF4E40" w:rsidRPr="00A30AEC" w:rsidRDefault="00DF4E40" w:rsidP="00A30AEC">
            <w:pPr>
              <w:jc w:val="left"/>
              <w:rPr>
                <w:rFonts w:ascii="Arial" w:hAnsi="Arial" w:cs="Arial"/>
                <w:b/>
                <w:sz w:val="20"/>
                <w:lang w:eastAsia="es-ES"/>
              </w:rPr>
            </w:pPr>
            <w:r w:rsidRPr="00A30AEC">
              <w:rPr>
                <w:rFonts w:ascii="Arial" w:hAnsi="Arial" w:cs="Arial"/>
                <w:b/>
                <w:sz w:val="20"/>
                <w:lang w:eastAsia="es-ES"/>
              </w:rPr>
              <w:t>Union support</w:t>
            </w:r>
          </w:p>
        </w:tc>
        <w:tc>
          <w:tcPr>
            <w:tcW w:w="2835" w:type="dxa"/>
            <w:tcBorders>
              <w:top w:val="single" w:sz="8" w:space="0" w:color="auto"/>
              <w:left w:val="nil"/>
              <w:bottom w:val="single" w:sz="8" w:space="0" w:color="auto"/>
              <w:right w:val="single" w:sz="8" w:space="0" w:color="auto"/>
            </w:tcBorders>
            <w:shd w:val="clear" w:color="auto" w:fill="C6D9F1"/>
            <w:vAlign w:val="center"/>
          </w:tcPr>
          <w:p w:rsidR="00DF4E40" w:rsidRPr="00A30AEC" w:rsidRDefault="00DF4E40" w:rsidP="00A30AEC">
            <w:pPr>
              <w:jc w:val="left"/>
              <w:rPr>
                <w:rFonts w:ascii="Arial" w:hAnsi="Arial" w:cs="Arial"/>
                <w:b/>
                <w:sz w:val="20"/>
                <w:lang w:eastAsia="es-ES"/>
              </w:rPr>
            </w:pPr>
            <w:r w:rsidRPr="00A30AEC">
              <w:rPr>
                <w:rFonts w:ascii="Arial" w:hAnsi="Arial" w:cs="Arial"/>
                <w:b/>
                <w:sz w:val="20"/>
                <w:lang w:eastAsia="es-ES"/>
              </w:rPr>
              <w:t>National counterpart</w:t>
            </w:r>
          </w:p>
        </w:tc>
        <w:tc>
          <w:tcPr>
            <w:tcW w:w="2551" w:type="dxa"/>
            <w:tcBorders>
              <w:top w:val="single" w:sz="8" w:space="0" w:color="auto"/>
              <w:left w:val="nil"/>
              <w:bottom w:val="single" w:sz="8" w:space="0" w:color="auto"/>
              <w:right w:val="single" w:sz="8" w:space="0" w:color="auto"/>
            </w:tcBorders>
            <w:shd w:val="clear" w:color="auto" w:fill="C6D9F1"/>
            <w:vAlign w:val="center"/>
          </w:tcPr>
          <w:p w:rsidR="00DF4E40" w:rsidRPr="00A30AEC" w:rsidRDefault="00DF4E40" w:rsidP="00A30AEC">
            <w:pPr>
              <w:jc w:val="left"/>
              <w:rPr>
                <w:rFonts w:ascii="Arial" w:hAnsi="Arial" w:cs="Arial"/>
                <w:b/>
                <w:sz w:val="20"/>
                <w:lang w:eastAsia="es-ES"/>
              </w:rPr>
            </w:pPr>
            <w:r w:rsidRPr="00A30AEC">
              <w:rPr>
                <w:rFonts w:ascii="Arial" w:hAnsi="Arial" w:cs="Arial"/>
                <w:b/>
                <w:sz w:val="20"/>
                <w:lang w:eastAsia="es-ES"/>
              </w:rPr>
              <w:t>Total funding</w:t>
            </w:r>
          </w:p>
        </w:tc>
      </w:tr>
      <w:tr w:rsidR="00622C7C" w:rsidRPr="00304864" w:rsidTr="002E0F24">
        <w:trPr>
          <w:trHeight w:val="672"/>
          <w:jc w:val="center"/>
        </w:trPr>
        <w:tc>
          <w:tcPr>
            <w:tcW w:w="1858" w:type="dxa"/>
            <w:tcBorders>
              <w:top w:val="single" w:sz="8" w:space="0" w:color="auto"/>
              <w:left w:val="single" w:sz="8" w:space="0" w:color="auto"/>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Priority axis 1</w:t>
            </w:r>
          </w:p>
        </w:tc>
        <w:tc>
          <w:tcPr>
            <w:tcW w:w="2410" w:type="dxa"/>
            <w:tcBorders>
              <w:top w:val="single" w:sz="8" w:space="0" w:color="auto"/>
              <w:left w:val="nil"/>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Thematic Objective 1</w:t>
            </w:r>
          </w:p>
        </w:tc>
        <w:tc>
          <w:tcPr>
            <w:tcW w:w="1843" w:type="dxa"/>
            <w:tcBorders>
              <w:top w:val="single" w:sz="8" w:space="0" w:color="auto"/>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19.691.658</w:t>
            </w:r>
          </w:p>
        </w:tc>
        <w:tc>
          <w:tcPr>
            <w:tcW w:w="2835" w:type="dxa"/>
            <w:tcBorders>
              <w:top w:val="single" w:sz="8" w:space="0" w:color="auto"/>
              <w:left w:val="nil"/>
              <w:bottom w:val="single" w:sz="8" w:space="0" w:color="auto"/>
              <w:right w:val="single" w:sz="8" w:space="0" w:color="auto"/>
            </w:tcBorders>
            <w:vAlign w:val="center"/>
          </w:tcPr>
          <w:p w:rsidR="00622C7C" w:rsidRPr="002E0F24" w:rsidRDefault="00FA7AB6" w:rsidP="00A30AEC">
            <w:pPr>
              <w:jc w:val="left"/>
              <w:rPr>
                <w:rFonts w:ascii="Arial" w:hAnsi="Arial" w:cs="Arial"/>
                <w:sz w:val="20"/>
              </w:rPr>
            </w:pPr>
            <w:r w:rsidRPr="002E0F24">
              <w:rPr>
                <w:rFonts w:ascii="Arial" w:hAnsi="Arial" w:cs="Arial"/>
                <w:sz w:val="20"/>
              </w:rPr>
              <w:t>3.475.815</w:t>
            </w:r>
          </w:p>
        </w:tc>
        <w:tc>
          <w:tcPr>
            <w:tcW w:w="2551" w:type="dxa"/>
            <w:tcBorders>
              <w:top w:val="single" w:sz="8" w:space="0" w:color="auto"/>
              <w:left w:val="nil"/>
              <w:bottom w:val="single" w:sz="8" w:space="0" w:color="auto"/>
              <w:right w:val="single" w:sz="8" w:space="0" w:color="auto"/>
            </w:tcBorders>
            <w:vAlign w:val="center"/>
          </w:tcPr>
          <w:p w:rsidR="00622C7C" w:rsidRPr="002E0F24" w:rsidRDefault="00FA7AB6" w:rsidP="00A30AEC">
            <w:pPr>
              <w:jc w:val="left"/>
              <w:rPr>
                <w:rFonts w:ascii="Arial" w:hAnsi="Arial" w:cs="Arial"/>
                <w:sz w:val="20"/>
              </w:rPr>
            </w:pPr>
            <w:r w:rsidRPr="002E0F24">
              <w:rPr>
                <w:rFonts w:ascii="Arial" w:hAnsi="Arial" w:cs="Arial"/>
                <w:sz w:val="20"/>
              </w:rPr>
              <w:t>23.167.473</w:t>
            </w:r>
          </w:p>
        </w:tc>
      </w:tr>
      <w:tr w:rsidR="00622C7C" w:rsidRPr="00304864" w:rsidTr="002E0F24">
        <w:trPr>
          <w:trHeight w:val="672"/>
          <w:jc w:val="center"/>
        </w:trPr>
        <w:tc>
          <w:tcPr>
            <w:tcW w:w="1858" w:type="dxa"/>
            <w:tcBorders>
              <w:top w:val="nil"/>
              <w:left w:val="single" w:sz="8" w:space="0" w:color="auto"/>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Priority axis 2</w:t>
            </w:r>
          </w:p>
        </w:tc>
        <w:tc>
          <w:tcPr>
            <w:tcW w:w="2410" w:type="dxa"/>
            <w:tcBorders>
              <w:top w:val="nil"/>
              <w:left w:val="nil"/>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 xml:space="preserve">Thematic Objective6 </w:t>
            </w:r>
          </w:p>
        </w:tc>
        <w:tc>
          <w:tcPr>
            <w:tcW w:w="1843"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45.472.376</w:t>
            </w:r>
          </w:p>
        </w:tc>
        <w:tc>
          <w:tcPr>
            <w:tcW w:w="2835" w:type="dxa"/>
            <w:tcBorders>
              <w:top w:val="nil"/>
              <w:left w:val="nil"/>
              <w:bottom w:val="single" w:sz="8" w:space="0" w:color="auto"/>
              <w:right w:val="single" w:sz="8" w:space="0" w:color="auto"/>
            </w:tcBorders>
            <w:vAlign w:val="center"/>
          </w:tcPr>
          <w:p w:rsidR="00622C7C" w:rsidRPr="002E0F24" w:rsidRDefault="00FA7AB6" w:rsidP="00A30AEC">
            <w:pPr>
              <w:jc w:val="left"/>
              <w:rPr>
                <w:rFonts w:ascii="Arial" w:hAnsi="Arial" w:cs="Arial"/>
                <w:sz w:val="20"/>
              </w:rPr>
            </w:pPr>
            <w:r w:rsidRPr="002E0F24">
              <w:rPr>
                <w:rFonts w:ascii="Arial" w:hAnsi="Arial" w:cs="Arial"/>
                <w:sz w:val="20"/>
              </w:rPr>
              <w:t>8.024.537</w:t>
            </w:r>
          </w:p>
        </w:tc>
        <w:tc>
          <w:tcPr>
            <w:tcW w:w="2551" w:type="dxa"/>
            <w:tcBorders>
              <w:top w:val="nil"/>
              <w:left w:val="nil"/>
              <w:bottom w:val="single" w:sz="8" w:space="0" w:color="auto"/>
              <w:right w:val="single" w:sz="8" w:space="0" w:color="auto"/>
            </w:tcBorders>
            <w:vAlign w:val="center"/>
          </w:tcPr>
          <w:p w:rsidR="00622C7C" w:rsidRPr="002E0F24" w:rsidRDefault="00FA7AB6" w:rsidP="00A30AEC">
            <w:pPr>
              <w:jc w:val="left"/>
              <w:rPr>
                <w:rFonts w:ascii="Arial" w:hAnsi="Arial" w:cs="Arial"/>
                <w:sz w:val="20"/>
              </w:rPr>
            </w:pPr>
            <w:r w:rsidRPr="002E0F24">
              <w:rPr>
                <w:rFonts w:ascii="Arial" w:hAnsi="Arial" w:cs="Arial"/>
                <w:sz w:val="20"/>
              </w:rPr>
              <w:t>53.496.913</w:t>
            </w:r>
          </w:p>
        </w:tc>
      </w:tr>
      <w:tr w:rsidR="00622C7C" w:rsidRPr="00304864" w:rsidTr="002E0F24">
        <w:trPr>
          <w:trHeight w:val="672"/>
          <w:jc w:val="center"/>
        </w:trPr>
        <w:tc>
          <w:tcPr>
            <w:tcW w:w="1858" w:type="dxa"/>
            <w:tcBorders>
              <w:top w:val="nil"/>
              <w:left w:val="single" w:sz="8" w:space="0" w:color="auto"/>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Priority axis 3</w:t>
            </w:r>
          </w:p>
        </w:tc>
        <w:tc>
          <w:tcPr>
            <w:tcW w:w="2410" w:type="dxa"/>
            <w:tcBorders>
              <w:top w:val="nil"/>
              <w:left w:val="nil"/>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 xml:space="preserve">Thematic Objective7 </w:t>
            </w:r>
          </w:p>
        </w:tc>
        <w:tc>
          <w:tcPr>
            <w:tcW w:w="1843"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17.708.524</w:t>
            </w:r>
          </w:p>
        </w:tc>
        <w:tc>
          <w:tcPr>
            <w:tcW w:w="2835"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3.125.034</w:t>
            </w:r>
          </w:p>
        </w:tc>
        <w:tc>
          <w:tcPr>
            <w:tcW w:w="2551"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20.833.558</w:t>
            </w:r>
          </w:p>
        </w:tc>
      </w:tr>
      <w:tr w:rsidR="00622C7C" w:rsidRPr="00304864" w:rsidTr="002E0F24">
        <w:trPr>
          <w:trHeight w:val="1002"/>
          <w:jc w:val="center"/>
        </w:trPr>
        <w:tc>
          <w:tcPr>
            <w:tcW w:w="1858" w:type="dxa"/>
            <w:tcBorders>
              <w:top w:val="nil"/>
              <w:left w:val="single" w:sz="8" w:space="0" w:color="auto"/>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Priority axis 4</w:t>
            </w:r>
          </w:p>
        </w:tc>
        <w:tc>
          <w:tcPr>
            <w:tcW w:w="2410" w:type="dxa"/>
            <w:tcBorders>
              <w:top w:val="nil"/>
              <w:left w:val="nil"/>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Thematic Objective 11</w:t>
            </w:r>
          </w:p>
        </w:tc>
        <w:tc>
          <w:tcPr>
            <w:tcW w:w="1843"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9.775.995</w:t>
            </w:r>
          </w:p>
        </w:tc>
        <w:tc>
          <w:tcPr>
            <w:tcW w:w="2835"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1.725.176</w:t>
            </w:r>
          </w:p>
        </w:tc>
        <w:tc>
          <w:tcPr>
            <w:tcW w:w="2551"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11.501.171</w:t>
            </w:r>
          </w:p>
        </w:tc>
      </w:tr>
      <w:tr w:rsidR="00622C7C" w:rsidRPr="00304864" w:rsidTr="002E0F24">
        <w:trPr>
          <w:trHeight w:val="672"/>
          <w:jc w:val="center"/>
        </w:trPr>
        <w:tc>
          <w:tcPr>
            <w:tcW w:w="1858" w:type="dxa"/>
            <w:tcBorders>
              <w:top w:val="nil"/>
              <w:left w:val="single" w:sz="8" w:space="0" w:color="auto"/>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Priority axis 5*</w:t>
            </w:r>
          </w:p>
        </w:tc>
        <w:tc>
          <w:tcPr>
            <w:tcW w:w="2410" w:type="dxa"/>
            <w:tcBorders>
              <w:top w:val="nil"/>
              <w:left w:val="nil"/>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Technical assistance</w:t>
            </w:r>
          </w:p>
        </w:tc>
        <w:tc>
          <w:tcPr>
            <w:tcW w:w="1843"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6.508.063</w:t>
            </w:r>
          </w:p>
        </w:tc>
        <w:tc>
          <w:tcPr>
            <w:tcW w:w="2835"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2.411.019</w:t>
            </w:r>
          </w:p>
        </w:tc>
        <w:tc>
          <w:tcPr>
            <w:tcW w:w="2551"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sz w:val="20"/>
              </w:rPr>
            </w:pPr>
            <w:r w:rsidRPr="002E0F24">
              <w:rPr>
                <w:rFonts w:ascii="Arial" w:hAnsi="Arial" w:cs="Arial"/>
                <w:sz w:val="20"/>
              </w:rPr>
              <w:t>8.919.082</w:t>
            </w:r>
          </w:p>
        </w:tc>
      </w:tr>
      <w:tr w:rsidR="00622C7C" w:rsidRPr="00304864" w:rsidTr="002E0F24">
        <w:trPr>
          <w:trHeight w:val="343"/>
          <w:jc w:val="center"/>
        </w:trPr>
        <w:tc>
          <w:tcPr>
            <w:tcW w:w="1858" w:type="dxa"/>
            <w:tcBorders>
              <w:top w:val="nil"/>
              <w:left w:val="single" w:sz="8" w:space="0" w:color="auto"/>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TOTAL</w:t>
            </w:r>
          </w:p>
        </w:tc>
        <w:tc>
          <w:tcPr>
            <w:tcW w:w="2410" w:type="dxa"/>
            <w:tcBorders>
              <w:top w:val="nil"/>
              <w:left w:val="nil"/>
              <w:bottom w:val="single" w:sz="8" w:space="0" w:color="auto"/>
              <w:right w:val="single" w:sz="8" w:space="0" w:color="auto"/>
            </w:tcBorders>
            <w:shd w:val="clear" w:color="auto" w:fill="C5D9F1"/>
            <w:vAlign w:val="center"/>
          </w:tcPr>
          <w:p w:rsidR="00622C7C" w:rsidRPr="00304864" w:rsidRDefault="00622C7C" w:rsidP="00A30AEC">
            <w:pPr>
              <w:jc w:val="left"/>
              <w:rPr>
                <w:rFonts w:ascii="Arial" w:hAnsi="Arial" w:cs="Arial"/>
                <w:sz w:val="20"/>
                <w:lang w:eastAsia="es-ES"/>
              </w:rPr>
            </w:pPr>
            <w:r w:rsidRPr="00304864">
              <w:rPr>
                <w:rFonts w:ascii="Arial" w:hAnsi="Arial" w:cs="Arial"/>
                <w:sz w:val="20"/>
                <w:lang w:eastAsia="es-ES"/>
              </w:rPr>
              <w:t> </w:t>
            </w:r>
          </w:p>
        </w:tc>
        <w:tc>
          <w:tcPr>
            <w:tcW w:w="1843" w:type="dxa"/>
            <w:tcBorders>
              <w:top w:val="nil"/>
              <w:left w:val="nil"/>
              <w:bottom w:val="single" w:sz="8" w:space="0" w:color="auto"/>
              <w:right w:val="single" w:sz="8" w:space="0" w:color="auto"/>
            </w:tcBorders>
            <w:vAlign w:val="center"/>
          </w:tcPr>
          <w:p w:rsidR="00622C7C" w:rsidRPr="002E0F24" w:rsidRDefault="00622C7C" w:rsidP="00A30AEC">
            <w:pPr>
              <w:jc w:val="left"/>
              <w:rPr>
                <w:rFonts w:ascii="Arial" w:hAnsi="Arial" w:cs="Arial"/>
                <w:b/>
                <w:bCs/>
                <w:color w:val="000000"/>
                <w:sz w:val="20"/>
              </w:rPr>
            </w:pPr>
            <w:r w:rsidRPr="002E0F24">
              <w:rPr>
                <w:rFonts w:ascii="Arial" w:hAnsi="Arial" w:cs="Arial"/>
                <w:sz w:val="20"/>
              </w:rPr>
              <w:t>99.156.616</w:t>
            </w:r>
          </w:p>
        </w:tc>
        <w:tc>
          <w:tcPr>
            <w:tcW w:w="2835" w:type="dxa"/>
            <w:tcBorders>
              <w:top w:val="nil"/>
              <w:left w:val="nil"/>
              <w:bottom w:val="single" w:sz="8" w:space="0" w:color="auto"/>
              <w:right w:val="single" w:sz="8" w:space="0" w:color="auto"/>
            </w:tcBorders>
            <w:vAlign w:val="center"/>
          </w:tcPr>
          <w:p w:rsidR="00622C7C" w:rsidRPr="002E0F24" w:rsidRDefault="00FA7AB6" w:rsidP="00A30AEC">
            <w:pPr>
              <w:jc w:val="left"/>
              <w:rPr>
                <w:rFonts w:ascii="Arial" w:hAnsi="Arial" w:cs="Arial"/>
                <w:b/>
                <w:bCs/>
                <w:color w:val="000000"/>
                <w:sz w:val="20"/>
              </w:rPr>
            </w:pPr>
            <w:r w:rsidRPr="002E0F24">
              <w:rPr>
                <w:rFonts w:ascii="Arial" w:hAnsi="Arial" w:cs="Arial"/>
                <w:sz w:val="20"/>
              </w:rPr>
              <w:t>18.761.581</w:t>
            </w:r>
          </w:p>
        </w:tc>
        <w:tc>
          <w:tcPr>
            <w:tcW w:w="2551" w:type="dxa"/>
            <w:tcBorders>
              <w:top w:val="nil"/>
              <w:left w:val="nil"/>
              <w:bottom w:val="single" w:sz="8" w:space="0" w:color="auto"/>
              <w:right w:val="single" w:sz="8" w:space="0" w:color="auto"/>
            </w:tcBorders>
            <w:vAlign w:val="center"/>
          </w:tcPr>
          <w:p w:rsidR="00622C7C" w:rsidRPr="002E0F24" w:rsidRDefault="00FA7AB6" w:rsidP="00A30AEC">
            <w:pPr>
              <w:jc w:val="left"/>
              <w:rPr>
                <w:rFonts w:ascii="Arial" w:hAnsi="Arial" w:cs="Arial"/>
                <w:b/>
                <w:bCs/>
                <w:color w:val="000000"/>
                <w:sz w:val="20"/>
              </w:rPr>
            </w:pPr>
            <w:r w:rsidRPr="002E0F24">
              <w:rPr>
                <w:rFonts w:ascii="Arial" w:hAnsi="Arial" w:cs="Arial"/>
                <w:sz w:val="20"/>
              </w:rPr>
              <w:t>117.918.197</w:t>
            </w:r>
          </w:p>
        </w:tc>
      </w:tr>
    </w:tbl>
    <w:p w:rsidR="00DF4E40" w:rsidRPr="00304864" w:rsidRDefault="00DF4E40">
      <w:pPr>
        <w:ind w:left="1701"/>
        <w:rPr>
          <w:rFonts w:ascii="Arial" w:hAnsi="Arial" w:cs="Arial"/>
          <w:b/>
          <w:sz w:val="22"/>
          <w:szCs w:val="22"/>
        </w:rPr>
      </w:pPr>
      <w:r w:rsidRPr="00304864">
        <w:rPr>
          <w:rFonts w:ascii="Arial" w:hAnsi="Arial" w:cs="Arial"/>
          <w:sz w:val="22"/>
          <w:szCs w:val="22"/>
          <w:lang w:val="en-US"/>
        </w:rPr>
        <w:t xml:space="preserve">* </w:t>
      </w:r>
      <w:r w:rsidRPr="00304864">
        <w:rPr>
          <w:rFonts w:ascii="Arial" w:hAnsi="Arial" w:cs="Arial"/>
          <w:i/>
          <w:sz w:val="18"/>
          <w:szCs w:val="18"/>
          <w:lang w:val="en-US"/>
        </w:rPr>
        <w:t xml:space="preserve">Increased IPA </w:t>
      </w:r>
      <w:r w:rsidR="00BD24B7">
        <w:rPr>
          <w:rFonts w:ascii="Arial" w:hAnsi="Arial" w:cs="Arial"/>
          <w:i/>
          <w:sz w:val="18"/>
          <w:szCs w:val="18"/>
          <w:lang w:val="en-US"/>
        </w:rPr>
        <w:t>Partner States</w:t>
      </w:r>
      <w:r w:rsidRPr="00304864">
        <w:rPr>
          <w:rFonts w:ascii="Arial" w:hAnsi="Arial" w:cs="Arial"/>
          <w:i/>
          <w:sz w:val="18"/>
          <w:szCs w:val="18"/>
          <w:lang w:val="en-US"/>
        </w:rPr>
        <w:t xml:space="preserve"> according to art. 17 of ETC Regulation.</w:t>
      </w:r>
    </w:p>
    <w:p w:rsidR="00DF4E40" w:rsidRPr="00304864" w:rsidRDefault="007142EE">
      <w:pPr>
        <w:rPr>
          <w:rFonts w:ascii="Arial" w:hAnsi="Arial" w:cs="Arial"/>
          <w:b/>
          <w:sz w:val="22"/>
          <w:szCs w:val="22"/>
        </w:rPr>
      </w:pPr>
      <w:r>
        <w:rPr>
          <w:rFonts w:ascii="Arial" w:hAnsi="Arial" w:cs="Arial"/>
          <w:b/>
          <w:sz w:val="22"/>
          <w:szCs w:val="22"/>
        </w:rPr>
        <w:br w:type="page"/>
      </w:r>
    </w:p>
    <w:p w:rsidR="00DF4E40" w:rsidRPr="00304864" w:rsidRDefault="00DF4E40">
      <w:pPr>
        <w:rPr>
          <w:rFonts w:ascii="Arial" w:hAnsi="Arial" w:cs="Arial"/>
          <w:b/>
          <w:sz w:val="22"/>
          <w:szCs w:val="22"/>
        </w:rPr>
      </w:pPr>
      <w:r w:rsidRPr="00304864">
        <w:rPr>
          <w:rFonts w:ascii="Arial" w:hAnsi="Arial" w:cs="Arial"/>
          <w:b/>
          <w:sz w:val="22"/>
          <w:szCs w:val="22"/>
        </w:rPr>
        <w:t>Table 18: The indicative amount of support to be used for climate change objectives</w:t>
      </w:r>
    </w:p>
    <w:p w:rsidR="00DF4E40" w:rsidRPr="00A30AEC" w:rsidRDefault="00DF4E40">
      <w:pPr>
        <w:rPr>
          <w:rFonts w:ascii="Arial" w:hAnsi="Arial" w:cs="Arial"/>
          <w:b/>
          <w:sz w:val="22"/>
          <w:szCs w:val="22"/>
        </w:rPr>
      </w:pPr>
      <w:r w:rsidRPr="00A30AEC">
        <w:rPr>
          <w:rFonts w:ascii="Arial" w:hAnsi="Arial" w:cs="Arial"/>
          <w:sz w:val="22"/>
          <w:szCs w:val="22"/>
        </w:rPr>
        <w:t>(Reference: Article 27(6) of Regulation (EU) No 1303/2013)</w:t>
      </w:r>
      <w:r w:rsidRPr="00C71BD4">
        <w:rPr>
          <w:rStyle w:val="FootnoteReference"/>
          <w:rFonts w:ascii="Arial" w:hAnsi="Arial" w:cs="Arial"/>
          <w:sz w:val="22"/>
          <w:szCs w:val="22"/>
        </w:rPr>
        <w:footnoteReference w:id="1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969"/>
        <w:gridCol w:w="3969"/>
      </w:tblGrid>
      <w:tr w:rsidR="00DF4E40" w:rsidRPr="00304864" w:rsidTr="00A961B0">
        <w:trPr>
          <w:jc w:val="center"/>
        </w:trPr>
        <w:tc>
          <w:tcPr>
            <w:tcW w:w="2943" w:type="dxa"/>
            <w:shd w:val="clear" w:color="auto" w:fill="C6D9F1"/>
            <w:vAlign w:val="center"/>
          </w:tcPr>
          <w:p w:rsidR="00DF4E40" w:rsidRPr="00304864" w:rsidRDefault="00DF4E40">
            <w:pPr>
              <w:jc w:val="left"/>
              <w:rPr>
                <w:rFonts w:ascii="Arial" w:hAnsi="Arial" w:cs="Arial"/>
                <w:b/>
                <w:sz w:val="20"/>
              </w:rPr>
            </w:pPr>
            <w:r w:rsidRPr="00304864">
              <w:rPr>
                <w:rFonts w:ascii="Arial" w:hAnsi="Arial" w:cs="Arial"/>
                <w:b/>
                <w:sz w:val="20"/>
              </w:rPr>
              <w:t>Priority axis</w:t>
            </w:r>
          </w:p>
        </w:tc>
        <w:tc>
          <w:tcPr>
            <w:tcW w:w="3969" w:type="dxa"/>
            <w:shd w:val="clear" w:color="auto" w:fill="C6D9F1"/>
            <w:vAlign w:val="center"/>
          </w:tcPr>
          <w:p w:rsidR="00DF4E40" w:rsidRPr="00304864" w:rsidRDefault="00DF4E40">
            <w:pPr>
              <w:jc w:val="left"/>
              <w:rPr>
                <w:rFonts w:ascii="Arial" w:hAnsi="Arial" w:cs="Arial"/>
                <w:b/>
                <w:sz w:val="20"/>
              </w:rPr>
            </w:pPr>
            <w:r w:rsidRPr="00304864">
              <w:rPr>
                <w:rFonts w:ascii="Arial" w:hAnsi="Arial" w:cs="Arial"/>
                <w:b/>
                <w:sz w:val="20"/>
              </w:rPr>
              <w:t>Indicative amount of support to be used for climate change objectives (EUR)</w:t>
            </w:r>
          </w:p>
        </w:tc>
        <w:tc>
          <w:tcPr>
            <w:tcW w:w="3969" w:type="dxa"/>
            <w:shd w:val="clear" w:color="auto" w:fill="C6D9F1"/>
            <w:vAlign w:val="center"/>
          </w:tcPr>
          <w:p w:rsidR="00DF4E40" w:rsidRPr="00304864" w:rsidRDefault="00DF4E40">
            <w:pPr>
              <w:jc w:val="left"/>
              <w:rPr>
                <w:rFonts w:ascii="Arial" w:hAnsi="Arial" w:cs="Arial"/>
                <w:b/>
                <w:sz w:val="20"/>
              </w:rPr>
            </w:pPr>
            <w:r w:rsidRPr="00304864">
              <w:rPr>
                <w:rFonts w:ascii="Arial" w:hAnsi="Arial" w:cs="Arial"/>
                <w:b/>
                <w:sz w:val="20"/>
              </w:rPr>
              <w:t>Proportion of the total allocation to the programme (%)</w:t>
            </w:r>
          </w:p>
        </w:tc>
      </w:tr>
      <w:tr w:rsidR="00415612" w:rsidRPr="00304864" w:rsidTr="00A961B0">
        <w:trPr>
          <w:jc w:val="center"/>
        </w:trPr>
        <w:tc>
          <w:tcPr>
            <w:tcW w:w="2943" w:type="dxa"/>
            <w:vAlign w:val="center"/>
          </w:tcPr>
          <w:p w:rsidR="00415612" w:rsidRPr="00304864" w:rsidRDefault="00415612" w:rsidP="00A30AEC">
            <w:pPr>
              <w:jc w:val="left"/>
              <w:rPr>
                <w:rFonts w:ascii="Arial" w:hAnsi="Arial" w:cs="Arial"/>
                <w:sz w:val="20"/>
              </w:rPr>
            </w:pPr>
            <w:r w:rsidRPr="00304864">
              <w:rPr>
                <w:rFonts w:ascii="Arial" w:hAnsi="Arial" w:cs="Arial"/>
                <w:sz w:val="20"/>
              </w:rPr>
              <w:t>Priority axis 1</w:t>
            </w:r>
          </w:p>
        </w:tc>
        <w:tc>
          <w:tcPr>
            <w:tcW w:w="3969" w:type="dxa"/>
            <w:vAlign w:val="center"/>
          </w:tcPr>
          <w:p w:rsidR="00415612" w:rsidRPr="005F54EE" w:rsidRDefault="00415612" w:rsidP="00A30AEC">
            <w:pPr>
              <w:jc w:val="left"/>
              <w:rPr>
                <w:rFonts w:ascii="Arial" w:hAnsi="Arial" w:cs="Arial"/>
                <w:sz w:val="20"/>
              </w:rPr>
            </w:pPr>
            <w:r w:rsidRPr="005F54EE">
              <w:rPr>
                <w:rFonts w:ascii="Arial" w:hAnsi="Arial" w:cs="Arial"/>
                <w:sz w:val="20"/>
              </w:rPr>
              <w:t>1.969.166</w:t>
            </w:r>
          </w:p>
        </w:tc>
        <w:tc>
          <w:tcPr>
            <w:tcW w:w="3969" w:type="dxa"/>
            <w:vAlign w:val="center"/>
          </w:tcPr>
          <w:p w:rsidR="00415612" w:rsidRPr="005F54EE" w:rsidRDefault="00415612" w:rsidP="00A30AEC">
            <w:pPr>
              <w:jc w:val="left"/>
              <w:rPr>
                <w:rFonts w:ascii="Arial" w:hAnsi="Arial" w:cs="Arial"/>
                <w:sz w:val="20"/>
              </w:rPr>
            </w:pPr>
            <w:r w:rsidRPr="005F54EE">
              <w:rPr>
                <w:rFonts w:ascii="Arial" w:hAnsi="Arial" w:cs="Arial"/>
                <w:sz w:val="20"/>
              </w:rPr>
              <w:t>1,99%</w:t>
            </w:r>
          </w:p>
        </w:tc>
      </w:tr>
      <w:tr w:rsidR="00415612" w:rsidRPr="00304864" w:rsidTr="00A961B0">
        <w:trPr>
          <w:jc w:val="center"/>
        </w:trPr>
        <w:tc>
          <w:tcPr>
            <w:tcW w:w="2943" w:type="dxa"/>
            <w:vAlign w:val="center"/>
          </w:tcPr>
          <w:p w:rsidR="00415612" w:rsidRPr="00304864" w:rsidRDefault="00415612" w:rsidP="00A30AEC">
            <w:pPr>
              <w:jc w:val="left"/>
              <w:rPr>
                <w:rFonts w:ascii="Arial" w:hAnsi="Arial" w:cs="Arial"/>
                <w:sz w:val="20"/>
              </w:rPr>
            </w:pPr>
            <w:r w:rsidRPr="00304864">
              <w:rPr>
                <w:rFonts w:ascii="Arial" w:hAnsi="Arial" w:cs="Arial"/>
                <w:sz w:val="20"/>
              </w:rPr>
              <w:t>Priority axis 2</w:t>
            </w:r>
          </w:p>
        </w:tc>
        <w:tc>
          <w:tcPr>
            <w:tcW w:w="3969" w:type="dxa"/>
            <w:vAlign w:val="center"/>
          </w:tcPr>
          <w:p w:rsidR="00415612" w:rsidRPr="005F54EE" w:rsidRDefault="00415612" w:rsidP="00A30AEC">
            <w:pPr>
              <w:jc w:val="left"/>
              <w:rPr>
                <w:rFonts w:ascii="Arial" w:hAnsi="Arial" w:cs="Arial"/>
                <w:sz w:val="20"/>
              </w:rPr>
            </w:pPr>
            <w:r w:rsidRPr="005F54EE">
              <w:rPr>
                <w:rFonts w:ascii="Arial" w:hAnsi="Arial" w:cs="Arial"/>
                <w:sz w:val="20"/>
              </w:rPr>
              <w:t>14.551.160</w:t>
            </w:r>
          </w:p>
        </w:tc>
        <w:tc>
          <w:tcPr>
            <w:tcW w:w="3969" w:type="dxa"/>
            <w:vAlign w:val="center"/>
          </w:tcPr>
          <w:p w:rsidR="00415612" w:rsidRPr="005F54EE" w:rsidRDefault="00415612" w:rsidP="00605675">
            <w:pPr>
              <w:jc w:val="left"/>
              <w:rPr>
                <w:rFonts w:ascii="Arial" w:hAnsi="Arial" w:cs="Arial"/>
                <w:sz w:val="20"/>
              </w:rPr>
            </w:pPr>
            <w:r w:rsidRPr="005F54EE">
              <w:rPr>
                <w:rFonts w:ascii="Arial" w:hAnsi="Arial" w:cs="Arial"/>
                <w:sz w:val="20"/>
              </w:rPr>
              <w:t>14,67%</w:t>
            </w:r>
          </w:p>
        </w:tc>
      </w:tr>
      <w:tr w:rsidR="00415612" w:rsidRPr="00304864" w:rsidTr="00A961B0">
        <w:trPr>
          <w:jc w:val="center"/>
        </w:trPr>
        <w:tc>
          <w:tcPr>
            <w:tcW w:w="2943" w:type="dxa"/>
            <w:vAlign w:val="center"/>
          </w:tcPr>
          <w:p w:rsidR="00415612" w:rsidRPr="00304864" w:rsidRDefault="00415612" w:rsidP="00A30AEC">
            <w:pPr>
              <w:jc w:val="left"/>
              <w:rPr>
                <w:rFonts w:ascii="Arial" w:hAnsi="Arial" w:cs="Arial"/>
                <w:sz w:val="20"/>
              </w:rPr>
            </w:pPr>
            <w:r w:rsidRPr="00304864">
              <w:rPr>
                <w:rFonts w:ascii="Arial" w:hAnsi="Arial" w:cs="Arial"/>
                <w:sz w:val="20"/>
              </w:rPr>
              <w:t>Priority axis 3</w:t>
            </w:r>
          </w:p>
        </w:tc>
        <w:tc>
          <w:tcPr>
            <w:tcW w:w="3969" w:type="dxa"/>
            <w:vAlign w:val="center"/>
          </w:tcPr>
          <w:p w:rsidR="00415612" w:rsidRPr="005F54EE" w:rsidRDefault="00415612" w:rsidP="00A30AEC">
            <w:pPr>
              <w:jc w:val="left"/>
              <w:rPr>
                <w:rFonts w:ascii="Arial" w:hAnsi="Arial" w:cs="Arial"/>
                <w:sz w:val="20"/>
              </w:rPr>
            </w:pPr>
            <w:r w:rsidRPr="005F54EE">
              <w:rPr>
                <w:rFonts w:ascii="Arial" w:hAnsi="Arial" w:cs="Arial"/>
                <w:sz w:val="20"/>
              </w:rPr>
              <w:t>7.083.410</w:t>
            </w:r>
          </w:p>
        </w:tc>
        <w:tc>
          <w:tcPr>
            <w:tcW w:w="3969" w:type="dxa"/>
            <w:vAlign w:val="center"/>
          </w:tcPr>
          <w:p w:rsidR="00415612" w:rsidRPr="005F54EE" w:rsidRDefault="00415612" w:rsidP="00605675">
            <w:pPr>
              <w:jc w:val="left"/>
              <w:rPr>
                <w:rFonts w:ascii="Arial" w:hAnsi="Arial" w:cs="Arial"/>
                <w:sz w:val="20"/>
              </w:rPr>
            </w:pPr>
            <w:r w:rsidRPr="005F54EE">
              <w:rPr>
                <w:rFonts w:ascii="Arial" w:hAnsi="Arial" w:cs="Arial"/>
                <w:sz w:val="20"/>
              </w:rPr>
              <w:t>7,14 %</w:t>
            </w:r>
          </w:p>
        </w:tc>
      </w:tr>
      <w:tr w:rsidR="00415612" w:rsidRPr="00304864" w:rsidTr="00A961B0">
        <w:trPr>
          <w:jc w:val="center"/>
        </w:trPr>
        <w:tc>
          <w:tcPr>
            <w:tcW w:w="2943" w:type="dxa"/>
            <w:vAlign w:val="center"/>
          </w:tcPr>
          <w:p w:rsidR="00415612" w:rsidRPr="00304864" w:rsidRDefault="00415612" w:rsidP="00A30AEC">
            <w:pPr>
              <w:jc w:val="left"/>
              <w:rPr>
                <w:rFonts w:ascii="Arial" w:hAnsi="Arial" w:cs="Arial"/>
                <w:sz w:val="20"/>
              </w:rPr>
            </w:pPr>
            <w:r w:rsidRPr="00304864">
              <w:rPr>
                <w:rFonts w:ascii="Arial" w:hAnsi="Arial" w:cs="Arial"/>
                <w:sz w:val="20"/>
              </w:rPr>
              <w:t>Total</w:t>
            </w:r>
          </w:p>
        </w:tc>
        <w:tc>
          <w:tcPr>
            <w:tcW w:w="3969" w:type="dxa"/>
            <w:vAlign w:val="center"/>
          </w:tcPr>
          <w:p w:rsidR="00415612" w:rsidRPr="005F54EE" w:rsidRDefault="00415612" w:rsidP="00A30AEC">
            <w:pPr>
              <w:jc w:val="left"/>
              <w:rPr>
                <w:rFonts w:ascii="Arial" w:hAnsi="Arial" w:cs="Arial"/>
                <w:sz w:val="20"/>
              </w:rPr>
            </w:pPr>
            <w:r w:rsidRPr="005F54EE">
              <w:rPr>
                <w:rFonts w:ascii="Arial" w:hAnsi="Arial" w:cs="Arial"/>
                <w:sz w:val="20"/>
              </w:rPr>
              <w:t>23.603.736</w:t>
            </w:r>
          </w:p>
        </w:tc>
        <w:tc>
          <w:tcPr>
            <w:tcW w:w="3969" w:type="dxa"/>
            <w:vAlign w:val="center"/>
          </w:tcPr>
          <w:p w:rsidR="00415612" w:rsidRPr="005F54EE" w:rsidRDefault="00415612" w:rsidP="00605675">
            <w:pPr>
              <w:jc w:val="left"/>
              <w:rPr>
                <w:rFonts w:ascii="Arial" w:hAnsi="Arial" w:cs="Arial"/>
                <w:sz w:val="20"/>
              </w:rPr>
            </w:pPr>
            <w:r w:rsidRPr="005F54EE">
              <w:rPr>
                <w:rFonts w:ascii="Arial" w:hAnsi="Arial" w:cs="Arial"/>
                <w:sz w:val="20"/>
              </w:rPr>
              <w:t>23,80%</w:t>
            </w:r>
          </w:p>
        </w:tc>
      </w:tr>
    </w:tbl>
    <w:p w:rsidR="00DF4E40" w:rsidRPr="00304864" w:rsidRDefault="00DF4E40">
      <w:pPr>
        <w:rPr>
          <w:rFonts w:ascii="Arial" w:hAnsi="Arial" w:cs="Arial"/>
          <w:sz w:val="22"/>
          <w:szCs w:val="22"/>
        </w:rPr>
      </w:pPr>
    </w:p>
    <w:p w:rsidR="00F92654" w:rsidRDefault="00F92654">
      <w:pPr>
        <w:rPr>
          <w:rFonts w:ascii="Arial" w:hAnsi="Arial" w:cs="Arial"/>
          <w:sz w:val="22"/>
          <w:szCs w:val="22"/>
        </w:rPr>
      </w:pPr>
    </w:p>
    <w:p w:rsidR="00605675" w:rsidRDefault="00605675">
      <w:pPr>
        <w:rPr>
          <w:rFonts w:ascii="Arial" w:hAnsi="Arial" w:cs="Arial"/>
          <w:sz w:val="22"/>
          <w:szCs w:val="22"/>
        </w:rPr>
        <w:sectPr w:rsidR="00605675" w:rsidSect="00A961B0">
          <w:pgSz w:w="16838" w:h="11906" w:orient="landscape" w:code="9"/>
          <w:pgMar w:top="1417" w:right="1134" w:bottom="1134" w:left="1134" w:header="601" w:footer="1077" w:gutter="0"/>
          <w:cols w:space="720"/>
          <w:docGrid w:linePitch="326"/>
        </w:sectPr>
      </w:pPr>
    </w:p>
    <w:p w:rsidR="00DF4E40" w:rsidRPr="00304864" w:rsidRDefault="00DF4E40">
      <w:pPr>
        <w:pStyle w:val="Heading1"/>
      </w:pPr>
      <w:bookmarkStart w:id="275" w:name="_Toc365660143"/>
      <w:bookmarkStart w:id="276" w:name="_Toc366097051"/>
      <w:bookmarkStart w:id="277" w:name="_Toc377402581"/>
      <w:bookmarkStart w:id="278" w:name="_Toc420652562"/>
      <w:bookmarkStart w:id="279" w:name="_Toc421076914"/>
      <w:r w:rsidRPr="00304864">
        <w:t>Section 4. Integrated approach to territorial development</w:t>
      </w:r>
      <w:bookmarkEnd w:id="275"/>
      <w:bookmarkEnd w:id="276"/>
      <w:bookmarkEnd w:id="277"/>
      <w:bookmarkEnd w:id="278"/>
      <w:bookmarkEnd w:id="279"/>
    </w:p>
    <w:p w:rsidR="00DF4E40" w:rsidRPr="00A30AEC" w:rsidRDefault="00DF4E40">
      <w:pPr>
        <w:pStyle w:val="Text1"/>
        <w:ind w:left="0"/>
        <w:rPr>
          <w:rFonts w:ascii="Arial" w:hAnsi="Arial" w:cs="Arial"/>
          <w:sz w:val="22"/>
          <w:szCs w:val="22"/>
        </w:rPr>
      </w:pPr>
      <w:r w:rsidRPr="00A30AEC">
        <w:rPr>
          <w:rFonts w:ascii="Arial" w:hAnsi="Arial" w:cs="Arial"/>
          <w:sz w:val="22"/>
          <w:szCs w:val="22"/>
        </w:rPr>
        <w:t>(Reference: Article 8(3) of Regulation (EU) No 1299/2013)</w:t>
      </w:r>
    </w:p>
    <w:p w:rsidR="00DF4E40" w:rsidRPr="00304864" w:rsidRDefault="00DF4E40">
      <w:pPr>
        <w:rPr>
          <w:rFonts w:ascii="Arial" w:hAnsi="Arial" w:cs="Arial"/>
          <w:sz w:val="22"/>
          <w:szCs w:val="22"/>
        </w:rPr>
      </w:pPr>
      <w:r w:rsidRPr="00304864">
        <w:rPr>
          <w:rFonts w:ascii="Arial" w:hAnsi="Arial" w:cs="Arial"/>
          <w:sz w:val="22"/>
          <w:szCs w:val="22"/>
        </w:rPr>
        <w:t>The Programme strategy addresses territorial challenges shared across the cooperation area and leverages its development potentials, reflecting the needs and potentials that can be effectively tackled. The consistency and complementarity of the strategy with national Partnership Agreements</w:t>
      </w:r>
      <w:r w:rsidR="00FC11FB">
        <w:rPr>
          <w:rFonts w:ascii="Arial" w:hAnsi="Arial" w:cs="Arial"/>
          <w:sz w:val="22"/>
          <w:szCs w:val="22"/>
        </w:rPr>
        <w:t xml:space="preserve"> of the ERDF Partner States</w:t>
      </w:r>
      <w:r w:rsidRPr="00304864">
        <w:rPr>
          <w:rFonts w:ascii="Arial" w:hAnsi="Arial" w:cs="Arial"/>
          <w:sz w:val="22"/>
          <w:szCs w:val="22"/>
        </w:rPr>
        <w:t xml:space="preserve"> and the Strategy Country papers of </w:t>
      </w:r>
      <w:r w:rsidR="003D2DCB">
        <w:rPr>
          <w:rFonts w:ascii="Arial" w:hAnsi="Arial" w:cs="Arial"/>
          <w:sz w:val="22"/>
          <w:szCs w:val="22"/>
          <w:lang w:eastAsia="fr-BE"/>
        </w:rPr>
        <w:t xml:space="preserve">the IPA </w:t>
      </w:r>
      <w:r w:rsidR="009E59B0">
        <w:rPr>
          <w:rFonts w:ascii="Arial" w:hAnsi="Arial" w:cs="Arial"/>
          <w:sz w:val="22"/>
          <w:szCs w:val="22"/>
          <w:lang w:eastAsia="fr-BE"/>
        </w:rPr>
        <w:t>Partner States</w:t>
      </w:r>
      <w:r w:rsidRPr="00304864">
        <w:rPr>
          <w:rFonts w:ascii="Arial" w:hAnsi="Arial" w:cs="Arial"/>
          <w:sz w:val="22"/>
          <w:szCs w:val="22"/>
        </w:rPr>
        <w:t xml:space="preserve"> has been verified, aiming for coordination with programmes of the “Investment for Growth and Jobs” goal. The national </w:t>
      </w:r>
      <w:r w:rsidR="00FC11FB" w:rsidRPr="00304864">
        <w:rPr>
          <w:rFonts w:ascii="Arial" w:hAnsi="Arial" w:cs="Arial"/>
          <w:sz w:val="22"/>
          <w:szCs w:val="22"/>
        </w:rPr>
        <w:t>Partnership Agreements</w:t>
      </w:r>
      <w:r w:rsidRPr="00304864">
        <w:rPr>
          <w:rFonts w:ascii="Arial" w:hAnsi="Arial" w:cs="Arial"/>
          <w:sz w:val="22"/>
          <w:szCs w:val="22"/>
        </w:rPr>
        <w:t>recognise the three TOs selected for the ADRION Programme as highly relevant, putting specific emphasis on the role of ETC in these thematic fields. The Programme strategy promotes smart, sustainable and inclusive growth through an integrated approach combining thematic and territorial dimensions in the design of the PAs, as summarised below. Consequently, supported operations will have to reflect this integrated territorial approach:</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Priority 1 (TO 1): Economic strength is unevenly distributed in the area, with R&amp;D investments concentrated in few growth poles (mostly capital regions and agglomerations) and peripheral areas/regions with low competitiveness and brain drain. In particular, the latter regions face weak linkages between actors of the innovation systems. The priority tackles the regional disparities by strengthening these linkages within and between regions by supporting the innovation networks and clusters and by counteracting brain drain and social exclusion. </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Priority 2 (TO 6): Natural and cultural heritage are regional development factors that are at risk of deterioration (e.g. through fragmentation of habitats, biodiversity loss, pollution) and unsustainable use. Land use conflicts, the decline of urban environment and urban sprawl are also observed. The priority tackles these issues by improving capacities for integrated management approaches, thereby fostering the sustainable use of natural and cultural heritage and resources as well as an improved quality of the urban environment. </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Priority 3 (TO 7):The area is characterised by highly accessible core regions and peripheral regions with limited connections. Disparities in the quality of public transport services can be observed and have also negative environmental and social impacts. The priority tackles these issues by improving coordination of passenger transport systems within regions and across borders by better connecting peripheral regions to national and European transport networks and by improving coordination among freight transport stakeholders for multimodal environmentally-friendly freight solutions.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Priority Axis 4 (TO11): This </w:t>
      </w:r>
      <w:r w:rsidR="004A0CC2">
        <w:rPr>
          <w:rFonts w:cs="Arial"/>
          <w:lang w:val="en-GB"/>
        </w:rPr>
        <w:t>PA</w:t>
      </w:r>
      <w:r w:rsidRPr="00A30AEC">
        <w:rPr>
          <w:rFonts w:cs="Arial"/>
          <w:lang w:val="en-GB"/>
        </w:rPr>
        <w:t xml:space="preserve"> will act only at governance level to facilitate the EUSAIR implementation and it is consequently not related to a specific territorial challenge. Nevertheless, the support will be provided to the key implementers of the strategy and will benefit the involved territories by improving their institutional capacity to tackle territorial issues.</w:t>
      </w:r>
    </w:p>
    <w:p w:rsidR="00DF4E40" w:rsidRPr="00304864" w:rsidRDefault="00DF4E40">
      <w:pPr>
        <w:pStyle w:val="Text1"/>
        <w:ind w:left="0"/>
        <w:rPr>
          <w:rFonts w:ascii="Arial" w:hAnsi="Arial" w:cs="Arial"/>
          <w:i/>
          <w:sz w:val="22"/>
          <w:szCs w:val="22"/>
          <w:lang w:eastAsia="sv-SE"/>
        </w:rPr>
      </w:pPr>
    </w:p>
    <w:p w:rsidR="00DF4E40" w:rsidRPr="00304864" w:rsidRDefault="00DF4E40">
      <w:pPr>
        <w:pStyle w:val="Text1"/>
        <w:ind w:left="0"/>
        <w:rPr>
          <w:rFonts w:ascii="Arial" w:hAnsi="Arial" w:cs="Arial"/>
          <w:i/>
          <w:sz w:val="22"/>
          <w:szCs w:val="22"/>
          <w:lang w:eastAsia="sv-SE"/>
        </w:rPr>
      </w:pPr>
    </w:p>
    <w:p w:rsidR="00DF4E40" w:rsidRPr="00304864" w:rsidRDefault="00AC6DF1" w:rsidP="00A30AEC">
      <w:pPr>
        <w:pStyle w:val="Heading2"/>
        <w:spacing w:after="120"/>
      </w:pPr>
      <w:bookmarkStart w:id="280" w:name="_Toc420652563"/>
      <w:bookmarkStart w:id="281" w:name="_Toc421076915"/>
      <w:r>
        <w:t xml:space="preserve">4.1 </w:t>
      </w:r>
      <w:r w:rsidR="00DF4E40" w:rsidRPr="00304864">
        <w:t>Community-led local development</w:t>
      </w:r>
      <w:bookmarkEnd w:id="280"/>
      <w:bookmarkEnd w:id="281"/>
    </w:p>
    <w:p w:rsidR="00AC6DF1" w:rsidRPr="00C71BD4" w:rsidRDefault="00AC6DF1">
      <w:pPr>
        <w:pStyle w:val="Text1"/>
        <w:ind w:left="0"/>
        <w:rPr>
          <w:rFonts w:ascii="Arial" w:hAnsi="Arial" w:cs="Arial"/>
          <w:sz w:val="22"/>
          <w:szCs w:val="22"/>
        </w:rPr>
      </w:pPr>
      <w:r w:rsidRPr="00A30AEC">
        <w:rPr>
          <w:rFonts w:ascii="Arial" w:hAnsi="Arial" w:cs="Arial"/>
          <w:sz w:val="22"/>
          <w:szCs w:val="22"/>
        </w:rPr>
        <w:t>(Reference: point (a) of Article 8(3) of the ETC Regulation)</w:t>
      </w:r>
    </w:p>
    <w:p w:rsidR="00DF4E40" w:rsidRPr="00A30AEC" w:rsidRDefault="00DF4E40">
      <w:pPr>
        <w:pStyle w:val="Text1"/>
        <w:ind w:left="0"/>
        <w:rPr>
          <w:rFonts w:ascii="Arial" w:hAnsi="Arial" w:cs="Arial"/>
          <w:sz w:val="22"/>
          <w:szCs w:val="22"/>
        </w:rPr>
      </w:pPr>
      <w:r w:rsidRPr="00A30AEC">
        <w:rPr>
          <w:rFonts w:ascii="Arial" w:hAnsi="Arial" w:cs="Arial"/>
          <w:sz w:val="22"/>
          <w:szCs w:val="22"/>
        </w:rPr>
        <w:t xml:space="preserve">Not </w:t>
      </w:r>
      <w:r w:rsidR="00FC11FB">
        <w:rPr>
          <w:rFonts w:ascii="Arial" w:hAnsi="Arial" w:cs="Arial"/>
          <w:sz w:val="22"/>
          <w:szCs w:val="22"/>
        </w:rPr>
        <w:t>applicable.</w:t>
      </w:r>
    </w:p>
    <w:p w:rsidR="00DF4E40" w:rsidRPr="00304864" w:rsidRDefault="00DF4E40">
      <w:pPr>
        <w:pStyle w:val="Text1"/>
        <w:ind w:left="0"/>
        <w:rPr>
          <w:rFonts w:ascii="Arial" w:hAnsi="Arial" w:cs="Arial"/>
          <w:i/>
          <w:sz w:val="22"/>
          <w:szCs w:val="22"/>
          <w:lang w:eastAsia="sv-SE"/>
        </w:rPr>
      </w:pPr>
    </w:p>
    <w:p w:rsidR="00A30AEC" w:rsidRDefault="00A30AEC">
      <w:pPr>
        <w:spacing w:after="0"/>
        <w:jc w:val="left"/>
        <w:rPr>
          <w:rFonts w:ascii="Arial" w:hAnsi="Arial" w:cs="Arial"/>
          <w:i/>
          <w:sz w:val="22"/>
          <w:szCs w:val="22"/>
          <w:lang w:eastAsia="sv-SE"/>
        </w:rPr>
      </w:pPr>
      <w:r>
        <w:rPr>
          <w:rFonts w:ascii="Arial" w:hAnsi="Arial" w:cs="Arial"/>
          <w:i/>
          <w:sz w:val="22"/>
          <w:szCs w:val="22"/>
          <w:lang w:eastAsia="sv-SE"/>
        </w:rPr>
        <w:br w:type="page"/>
      </w:r>
    </w:p>
    <w:p w:rsidR="00DF4E40" w:rsidRPr="00304864" w:rsidRDefault="00DF4E40">
      <w:pPr>
        <w:pStyle w:val="Text1"/>
        <w:ind w:left="0"/>
        <w:rPr>
          <w:rFonts w:ascii="Arial" w:hAnsi="Arial" w:cs="Arial"/>
          <w:i/>
          <w:sz w:val="22"/>
          <w:szCs w:val="22"/>
          <w:lang w:eastAsia="sv-SE"/>
        </w:rPr>
      </w:pPr>
    </w:p>
    <w:p w:rsidR="00DF4E40" w:rsidRPr="00304864" w:rsidRDefault="00AC6DF1" w:rsidP="00A30AEC">
      <w:pPr>
        <w:pStyle w:val="Heading2"/>
        <w:spacing w:after="120"/>
      </w:pPr>
      <w:bookmarkStart w:id="282" w:name="_Toc377402582"/>
      <w:bookmarkStart w:id="283" w:name="_Toc420652564"/>
      <w:bookmarkStart w:id="284" w:name="_Toc421076916"/>
      <w:bookmarkStart w:id="285" w:name="_Toc365660144"/>
      <w:bookmarkStart w:id="286" w:name="_Toc366097052"/>
      <w:r>
        <w:t xml:space="preserve">4.2 </w:t>
      </w:r>
      <w:r w:rsidR="00DF4E40" w:rsidRPr="00304864">
        <w:t>Integrated actions for sustainable urban development</w:t>
      </w:r>
      <w:bookmarkEnd w:id="282"/>
      <w:bookmarkEnd w:id="283"/>
      <w:bookmarkEnd w:id="284"/>
    </w:p>
    <w:p w:rsidR="00DF4E40" w:rsidRPr="00A30AEC" w:rsidRDefault="00DF4E40">
      <w:pPr>
        <w:pStyle w:val="Text2"/>
        <w:ind w:left="0"/>
        <w:rPr>
          <w:rFonts w:ascii="Arial" w:hAnsi="Arial" w:cs="Arial"/>
          <w:sz w:val="22"/>
          <w:szCs w:val="22"/>
          <w:lang w:eastAsia="sv-SE"/>
        </w:rPr>
      </w:pPr>
      <w:r w:rsidRPr="00A30AEC">
        <w:rPr>
          <w:rFonts w:ascii="Arial" w:hAnsi="Arial" w:cs="Arial"/>
          <w:sz w:val="22"/>
          <w:szCs w:val="22"/>
        </w:rPr>
        <w:t>(Reference: point (b) of Article 8(3) of Regulation (EU) No 1299/2013)</w:t>
      </w:r>
    </w:p>
    <w:p w:rsidR="00DF4E40" w:rsidRPr="00304864" w:rsidRDefault="00DF4E40">
      <w:pPr>
        <w:rPr>
          <w:rFonts w:ascii="Arial" w:hAnsi="Arial" w:cs="Arial"/>
          <w:sz w:val="22"/>
          <w:szCs w:val="22"/>
        </w:rPr>
      </w:pPr>
      <w:bookmarkStart w:id="287" w:name="_Toc377402583"/>
      <w:bookmarkStart w:id="288" w:name="_Toc365660145"/>
      <w:bookmarkStart w:id="289" w:name="_Toc366097053"/>
      <w:bookmarkEnd w:id="285"/>
      <w:bookmarkEnd w:id="286"/>
      <w:r w:rsidRPr="00304864">
        <w:rPr>
          <w:rFonts w:ascii="Arial" w:hAnsi="Arial" w:cs="Arial"/>
          <w:sz w:val="22"/>
          <w:szCs w:val="22"/>
        </w:rPr>
        <w:t>No specific urban areas have been identified to implement sustainable urban development. Partners of all urban areas located in regions eligible to the ADRION Programme can participate to ADRION projects following the recommendations provided in the different priority axes and in the calls for projects</w:t>
      </w:r>
      <w:r w:rsidRPr="00304864">
        <w:rPr>
          <w:rFonts w:ascii="Arial" w:hAnsi="Arial" w:cs="Arial"/>
          <w:i/>
          <w:sz w:val="22"/>
          <w:szCs w:val="22"/>
        </w:rPr>
        <w:t>.</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rsidP="00A30AEC">
      <w:pPr>
        <w:pStyle w:val="Heading2"/>
        <w:numPr>
          <w:ilvl w:val="1"/>
          <w:numId w:val="157"/>
        </w:numPr>
        <w:spacing w:after="120"/>
      </w:pPr>
      <w:bookmarkStart w:id="290" w:name="_Toc420652565"/>
      <w:bookmarkStart w:id="291" w:name="_Toc421076917"/>
      <w:r w:rsidRPr="00304864">
        <w:t>Integrated Territorial Investment (ITI)</w:t>
      </w:r>
      <w:bookmarkEnd w:id="287"/>
      <w:bookmarkEnd w:id="290"/>
      <w:bookmarkEnd w:id="291"/>
    </w:p>
    <w:p w:rsidR="00DF4E40" w:rsidRPr="00A30AEC" w:rsidRDefault="00DF4E40">
      <w:pPr>
        <w:pStyle w:val="ListDash2"/>
        <w:numPr>
          <w:ilvl w:val="0"/>
          <w:numId w:val="0"/>
        </w:numPr>
        <w:rPr>
          <w:rFonts w:ascii="Arial" w:hAnsi="Arial" w:cs="Arial"/>
          <w:sz w:val="22"/>
          <w:szCs w:val="22"/>
        </w:rPr>
      </w:pPr>
      <w:r w:rsidRPr="00A30AEC">
        <w:rPr>
          <w:rFonts w:ascii="Arial" w:hAnsi="Arial" w:cs="Arial"/>
          <w:sz w:val="22"/>
          <w:szCs w:val="22"/>
        </w:rPr>
        <w:t>Reference: point (c) of Article 8(3) of Regulation (EU) No 1299/2013)</w:t>
      </w:r>
    </w:p>
    <w:p w:rsidR="00DF4E40" w:rsidRPr="00304864" w:rsidRDefault="00DF4E40">
      <w:pPr>
        <w:rPr>
          <w:rFonts w:ascii="Arial" w:hAnsi="Arial" w:cs="Arial"/>
          <w:sz w:val="22"/>
          <w:szCs w:val="22"/>
        </w:rPr>
      </w:pPr>
      <w:r w:rsidRPr="00304864">
        <w:rPr>
          <w:rFonts w:ascii="Arial" w:hAnsi="Arial" w:cs="Arial"/>
          <w:sz w:val="22"/>
          <w:szCs w:val="22"/>
        </w:rPr>
        <w:t>Though the focus on urban areas or other specific areas is considered as important by the Partner States, the system of Integrated Territorial Investment (ITI) is not fully appropriate for transnational cooperation for the following reasons:</w:t>
      </w:r>
    </w:p>
    <w:p w:rsidR="00DF4E40" w:rsidRPr="00A30AEC" w:rsidRDefault="00DF4E40" w:rsidP="00A30AEC">
      <w:pPr>
        <w:pStyle w:val="mStandard"/>
        <w:numPr>
          <w:ilvl w:val="0"/>
          <w:numId w:val="120"/>
        </w:numPr>
        <w:spacing w:before="0" w:after="120" w:line="240" w:lineRule="auto"/>
        <w:ind w:left="709" w:hanging="283"/>
        <w:rPr>
          <w:rFonts w:cs="Arial"/>
          <w:lang w:val="en-US"/>
        </w:rPr>
      </w:pPr>
      <w:r w:rsidRPr="00A30AEC">
        <w:rPr>
          <w:rFonts w:cs="Arial"/>
          <w:lang w:val="en-GB"/>
        </w:rPr>
        <w:t>The ADRION Programme is not investment-oriented even if it could support the preparation of large investments;</w:t>
      </w:r>
    </w:p>
    <w:p w:rsidR="00DF4E40" w:rsidRPr="00A30AEC" w:rsidRDefault="00DF4E40" w:rsidP="00A30AEC">
      <w:pPr>
        <w:pStyle w:val="mStandard"/>
        <w:numPr>
          <w:ilvl w:val="0"/>
          <w:numId w:val="120"/>
        </w:numPr>
        <w:spacing w:before="0" w:after="120" w:line="240" w:lineRule="auto"/>
        <w:ind w:left="709" w:hanging="283"/>
        <w:rPr>
          <w:rFonts w:cs="Arial"/>
          <w:lang w:val="en-US"/>
        </w:rPr>
      </w:pPr>
      <w:r w:rsidRPr="00A30AEC">
        <w:rPr>
          <w:rFonts w:cs="Arial"/>
          <w:lang w:val="en-GB"/>
        </w:rPr>
        <w:t>It would necessitate the identification of specific intervention areas in the overall ADRION area, too complex and time consuming for the preparation of a transnational cooperation programme;</w:t>
      </w:r>
    </w:p>
    <w:p w:rsidR="00DF4E40" w:rsidRPr="00A30AEC" w:rsidRDefault="00DF4E40" w:rsidP="00A30AEC">
      <w:pPr>
        <w:pStyle w:val="mStandard"/>
        <w:numPr>
          <w:ilvl w:val="0"/>
          <w:numId w:val="120"/>
        </w:numPr>
        <w:spacing w:before="0" w:after="120" w:line="240" w:lineRule="auto"/>
        <w:ind w:left="709" w:hanging="283"/>
        <w:rPr>
          <w:rFonts w:cs="Arial"/>
          <w:lang w:val="en-US"/>
        </w:rPr>
      </w:pPr>
      <w:r w:rsidRPr="00A30AEC">
        <w:rPr>
          <w:rFonts w:cs="Arial"/>
          <w:lang w:val="en-GB"/>
        </w:rPr>
        <w:t>Selected areas would cover only part of eligible regions or eligible countries;</w:t>
      </w:r>
    </w:p>
    <w:p w:rsidR="00DF4E40" w:rsidRPr="00A30AEC" w:rsidRDefault="00DF4E40" w:rsidP="00A30AEC">
      <w:pPr>
        <w:pStyle w:val="mStandard"/>
        <w:numPr>
          <w:ilvl w:val="0"/>
          <w:numId w:val="120"/>
        </w:numPr>
        <w:spacing w:before="0" w:after="120" w:line="240" w:lineRule="auto"/>
        <w:ind w:left="709" w:hanging="283"/>
        <w:rPr>
          <w:rFonts w:cs="Arial"/>
          <w:lang w:val="en-US"/>
        </w:rPr>
      </w:pPr>
      <w:r w:rsidRPr="00A30AEC">
        <w:rPr>
          <w:rFonts w:cs="Arial"/>
          <w:lang w:val="en-GB"/>
        </w:rPr>
        <w:t>ITI must be implemented by bodies supported by at least two different countries. The setting up of such bodies would be quite challenging at transnational level, especially because the average transnational partnership is composed of 10-12 partners coming from several different countries.</w:t>
      </w:r>
    </w:p>
    <w:p w:rsidR="00DF4E40" w:rsidRPr="00304864" w:rsidRDefault="00DF4E40">
      <w:pPr>
        <w:rPr>
          <w:rFonts w:ascii="Arial" w:hAnsi="Arial" w:cs="Arial"/>
          <w:sz w:val="22"/>
          <w:szCs w:val="22"/>
        </w:rPr>
      </w:pPr>
      <w:r w:rsidRPr="00304864">
        <w:rPr>
          <w:rFonts w:ascii="Arial" w:hAnsi="Arial" w:cs="Arial"/>
          <w:sz w:val="22"/>
          <w:szCs w:val="22"/>
        </w:rPr>
        <w:t>For these reasons, and taking into account the fact that integrated territorial development is considered in a cross-cutting way in each PA, the Programme will not implement ITI.</w:t>
      </w:r>
    </w:p>
    <w:bookmarkEnd w:id="288"/>
    <w:bookmarkEnd w:id="289"/>
    <w:p w:rsidR="00DF4E40" w:rsidRPr="00304864" w:rsidRDefault="00DF4E40">
      <w:pPr>
        <w:rPr>
          <w:rFonts w:ascii="Arial" w:hAnsi="Arial" w:cs="Arial"/>
          <w:sz w:val="22"/>
          <w:szCs w:val="22"/>
        </w:rPr>
      </w:pPr>
      <w:r w:rsidRPr="00304864">
        <w:rPr>
          <w:rFonts w:ascii="Arial" w:hAnsi="Arial" w:cs="Arial"/>
          <w:sz w:val="22"/>
          <w:szCs w:val="22"/>
        </w:rPr>
        <w:br w:type="page"/>
      </w:r>
    </w:p>
    <w:p w:rsidR="00AC6DF1" w:rsidRPr="00AC6DF1" w:rsidRDefault="00224361" w:rsidP="00A30AEC">
      <w:pPr>
        <w:pStyle w:val="Heading2"/>
        <w:spacing w:after="120"/>
      </w:pPr>
      <w:bookmarkStart w:id="292" w:name="_Toc420652566"/>
      <w:bookmarkStart w:id="293" w:name="_Toc421076918"/>
      <w:bookmarkStart w:id="294" w:name="_Toc377402584"/>
      <w:bookmarkStart w:id="295" w:name="_Toc365660146"/>
      <w:bookmarkStart w:id="296" w:name="_Toc366097054"/>
      <w:r>
        <w:t xml:space="preserve">4.4 </w:t>
      </w:r>
      <w:r w:rsidR="00DF4E40" w:rsidRPr="00304864">
        <w:t>Contribution of planned interventions towards macro-regional and sea basin strategies</w:t>
      </w:r>
      <w:bookmarkEnd w:id="292"/>
      <w:r w:rsidR="00AC6DF1" w:rsidRPr="00A30AEC">
        <w:t>subject to the needs of the programme area as identified by the relevant Member States and taking into account, where applicable, strategically important projects identified in those strategies</w:t>
      </w:r>
      <w:bookmarkEnd w:id="293"/>
    </w:p>
    <w:p w:rsidR="00DF4E40" w:rsidRPr="00A30AEC" w:rsidRDefault="00DF4E40">
      <w:pPr>
        <w:pStyle w:val="Text2"/>
        <w:ind w:left="0"/>
        <w:rPr>
          <w:rFonts w:ascii="Arial" w:hAnsi="Arial" w:cs="Arial"/>
          <w:sz w:val="22"/>
          <w:szCs w:val="22"/>
        </w:rPr>
      </w:pPr>
      <w:r w:rsidRPr="00A30AEC">
        <w:rPr>
          <w:rFonts w:ascii="Arial" w:hAnsi="Arial" w:cs="Arial"/>
          <w:sz w:val="22"/>
          <w:szCs w:val="22"/>
        </w:rPr>
        <w:t>(Reference: point (d) of Article 8(3) of Regulation (EU) No 1299/2013)</w:t>
      </w:r>
      <w:bookmarkStart w:id="297" w:name="_Toc365660147"/>
      <w:bookmarkStart w:id="298" w:name="_Toc366097055"/>
      <w:bookmarkEnd w:id="294"/>
      <w:bookmarkEnd w:id="295"/>
      <w:bookmarkEnd w:id="296"/>
    </w:p>
    <w:p w:rsidR="00DF4E40" w:rsidRPr="00304864" w:rsidRDefault="00DF4E40">
      <w:pPr>
        <w:rPr>
          <w:rFonts w:ascii="Arial" w:hAnsi="Arial" w:cs="Arial"/>
          <w:sz w:val="22"/>
          <w:szCs w:val="22"/>
        </w:rPr>
      </w:pPr>
      <w:r w:rsidRPr="00304864">
        <w:rPr>
          <w:rFonts w:ascii="Arial" w:hAnsi="Arial" w:cs="Arial"/>
          <w:sz w:val="22"/>
          <w:szCs w:val="22"/>
        </w:rPr>
        <w:t xml:space="preserve">The Programme strategy addresses territorial challenges shared across the regions of the cooperation area and leverages their development potentials. </w:t>
      </w:r>
    </w:p>
    <w:p w:rsidR="00DF4E40" w:rsidRPr="00304864" w:rsidRDefault="00DF4E40">
      <w:pPr>
        <w:rPr>
          <w:rFonts w:ascii="Arial" w:hAnsi="Arial" w:cs="Arial"/>
          <w:sz w:val="22"/>
          <w:szCs w:val="22"/>
        </w:rPr>
      </w:pPr>
      <w:r w:rsidRPr="00304864">
        <w:rPr>
          <w:rFonts w:ascii="Arial" w:hAnsi="Arial" w:cs="Arial"/>
          <w:sz w:val="22"/>
          <w:szCs w:val="22"/>
        </w:rPr>
        <w:t xml:space="preserve">It has been developed with the contribution of stakeholders, experts’ research and the preparatory work for the definition of the EUSAIR Action Plan. Needs and challenges identified have been filtered having regard to the real capacity and available funds of the ADRION Programme. </w:t>
      </w:r>
    </w:p>
    <w:p w:rsidR="00DF4E40" w:rsidRPr="00304864" w:rsidRDefault="00DF4E40">
      <w:pPr>
        <w:rPr>
          <w:rFonts w:ascii="Arial" w:hAnsi="Arial" w:cs="Arial"/>
          <w:sz w:val="22"/>
          <w:szCs w:val="22"/>
        </w:rPr>
      </w:pPr>
      <w:r w:rsidRPr="00304864">
        <w:rPr>
          <w:rFonts w:ascii="Arial" w:hAnsi="Arial" w:cs="Arial"/>
          <w:sz w:val="22"/>
          <w:szCs w:val="22"/>
        </w:rPr>
        <w:t xml:space="preserve">Coherence with the Partnership Agreements and the Enlargement Strategy of </w:t>
      </w:r>
      <w:r w:rsidR="00FC11FB">
        <w:rPr>
          <w:rFonts w:ascii="Arial" w:hAnsi="Arial" w:cs="Arial"/>
          <w:sz w:val="22"/>
          <w:szCs w:val="22"/>
        </w:rPr>
        <w:t>ERDF</w:t>
      </w:r>
      <w:r w:rsidR="00260BF4" w:rsidRPr="00A30AEC">
        <w:rPr>
          <w:rFonts w:ascii="Arial" w:hAnsi="Arial" w:cs="Arial"/>
          <w:sz w:val="22"/>
          <w:szCs w:val="22"/>
        </w:rPr>
        <w:t xml:space="preserve"> Partner States</w:t>
      </w:r>
      <w:r w:rsidRPr="00304864">
        <w:rPr>
          <w:rFonts w:ascii="Arial" w:hAnsi="Arial" w:cs="Arial"/>
          <w:sz w:val="22"/>
          <w:szCs w:val="22"/>
        </w:rPr>
        <w:t xml:space="preserve">and </w:t>
      </w:r>
      <w:r w:rsidR="003D2DCB">
        <w:rPr>
          <w:rFonts w:ascii="Arial" w:hAnsi="Arial" w:cs="Arial"/>
          <w:sz w:val="22"/>
          <w:szCs w:val="22"/>
        </w:rPr>
        <w:t xml:space="preserve">IPA </w:t>
      </w:r>
      <w:r w:rsidR="00260BF4">
        <w:rPr>
          <w:rFonts w:ascii="Arial" w:hAnsi="Arial" w:cs="Arial"/>
          <w:sz w:val="22"/>
          <w:szCs w:val="22"/>
        </w:rPr>
        <w:t>Partner States</w:t>
      </w:r>
      <w:r w:rsidRPr="00304864">
        <w:rPr>
          <w:rFonts w:ascii="Arial" w:hAnsi="Arial" w:cs="Arial"/>
          <w:sz w:val="22"/>
          <w:szCs w:val="22"/>
        </w:rPr>
        <w:t xml:space="preserve"> respectively has been verified aiming at the coordination with all the ESIF and IPA II interventions; the thematic orientation of the ADRION reflects the overall consensus on Thematic Priorities in the Partner States, namely innovation, environment, accessibility and, last but not least, governance. </w:t>
      </w:r>
    </w:p>
    <w:p w:rsidR="00DF4E40" w:rsidRPr="00304864" w:rsidRDefault="00DF4E40">
      <w:pPr>
        <w:rPr>
          <w:rFonts w:ascii="Arial" w:hAnsi="Arial" w:cs="Arial"/>
          <w:sz w:val="22"/>
          <w:szCs w:val="22"/>
        </w:rPr>
      </w:pPr>
      <w:r w:rsidRPr="00304864">
        <w:rPr>
          <w:rFonts w:ascii="Arial" w:hAnsi="Arial" w:cs="Arial"/>
          <w:sz w:val="22"/>
          <w:szCs w:val="22"/>
        </w:rPr>
        <w:t xml:space="preserve">The ADRION strategy is aligned with EU2020 promoting smart, sustainable and inclusive growth through an integrated approach combining thematic and territorial dimensions in the three thematic Priority Axes (PA1, PA2 and PA3). PA4 supports the governance of the EUSAIR based on an integrated territorial development strategy. </w:t>
      </w:r>
    </w:p>
    <w:p w:rsidR="00DF4E40" w:rsidRPr="00304864" w:rsidRDefault="00DF4E40">
      <w:pPr>
        <w:rPr>
          <w:rFonts w:ascii="Arial" w:hAnsi="Arial" w:cs="Arial"/>
          <w:sz w:val="22"/>
          <w:szCs w:val="22"/>
        </w:rPr>
      </w:pPr>
      <w:r w:rsidRPr="00304864">
        <w:rPr>
          <w:rFonts w:ascii="Arial" w:hAnsi="Arial" w:cs="Arial"/>
          <w:sz w:val="22"/>
          <w:szCs w:val="22"/>
        </w:rPr>
        <w:t>Projects implemented with the support of the ADRION cooperation programme have to adhere to integrated territorial development too.</w:t>
      </w:r>
    </w:p>
    <w:p w:rsidR="00DF4E40" w:rsidRPr="00304864" w:rsidRDefault="00DF4E40">
      <w:pPr>
        <w:rPr>
          <w:rFonts w:ascii="Arial" w:hAnsi="Arial" w:cs="Arial"/>
          <w:sz w:val="22"/>
          <w:szCs w:val="22"/>
        </w:rPr>
      </w:pPr>
      <w:r w:rsidRPr="00304864">
        <w:rPr>
          <w:rFonts w:ascii="Arial" w:hAnsi="Arial" w:cs="Arial"/>
          <w:sz w:val="22"/>
          <w:szCs w:val="22"/>
        </w:rPr>
        <w:t xml:space="preserve">PA1(TO1) focuses on innovation and aims at promoting the unique competitive advantages of the Programme area in order to enhance competitiveness and boost the creation of new jobs. As the territorial analysis demonstrated, the ADRION area is struggling toward building up efficient research and innovation systems, despite the existence of innovation poles in its periphery (Italy, Greece and Slovenia). R&amp;D intensity is overall growing (about 0,75% in Croatia, 2,47% in Slovenia, 1,25% in Italy, 0,60% in Greece and an average of 0,3% in the Partner States) but efforts are still needed. For this reason, this Axis shall grant specific attention to Blue Growth and all the activities having strong links with the sea (such as marine and environmental industries, energy, tourism, culture connectivity). </w:t>
      </w:r>
    </w:p>
    <w:p w:rsidR="00DF4E40" w:rsidRPr="00304864" w:rsidRDefault="00DF4E40">
      <w:pPr>
        <w:rPr>
          <w:rFonts w:ascii="Arial" w:hAnsi="Arial" w:cs="Arial"/>
          <w:sz w:val="22"/>
          <w:szCs w:val="22"/>
        </w:rPr>
      </w:pPr>
      <w:r w:rsidRPr="00304864">
        <w:rPr>
          <w:rFonts w:ascii="Arial" w:hAnsi="Arial" w:cs="Arial"/>
          <w:sz w:val="22"/>
          <w:szCs w:val="22"/>
        </w:rPr>
        <w:t xml:space="preserve">PA2 (TO6) is acknowledging the rich natural and cultural heritage of the ADRION area both as a growth asset for tourism but also as a value </w:t>
      </w:r>
      <w:r w:rsidRPr="00304864">
        <w:rPr>
          <w:rFonts w:ascii="Arial" w:hAnsi="Arial" w:cs="Arial"/>
          <w:i/>
          <w:sz w:val="22"/>
          <w:szCs w:val="22"/>
        </w:rPr>
        <w:t>per se</w:t>
      </w:r>
      <w:r w:rsidRPr="00304864">
        <w:rPr>
          <w:rFonts w:ascii="Arial" w:hAnsi="Arial" w:cs="Arial"/>
          <w:sz w:val="22"/>
          <w:szCs w:val="22"/>
        </w:rPr>
        <w:t xml:space="preserve">. The ADRION Programme tries to combine the different interests of tourists, residents and economic operators, by promoting sustainable tourism, valorisation of the heritage and - last but not least - environmental protection as a condition </w:t>
      </w:r>
      <w:r w:rsidRPr="00304864">
        <w:rPr>
          <w:rFonts w:ascii="Arial" w:hAnsi="Arial" w:cs="Arial"/>
          <w:i/>
          <w:sz w:val="22"/>
          <w:szCs w:val="22"/>
        </w:rPr>
        <w:t>sine qua non</w:t>
      </w:r>
      <w:r w:rsidRPr="00304864">
        <w:rPr>
          <w:rFonts w:ascii="Arial" w:hAnsi="Arial" w:cs="Arial"/>
          <w:sz w:val="22"/>
          <w:szCs w:val="22"/>
        </w:rPr>
        <w:t xml:space="preserve"> for the sustainability of tourism and heritage utilisation. The approach directly addresses the territorial dimension both as a chance for rural and less developed areas to grow, but also as a platform for the debate on spatial uses in the congested and much sought coastal zones.</w:t>
      </w:r>
    </w:p>
    <w:p w:rsidR="00DF4E40" w:rsidRPr="00304864" w:rsidRDefault="00DF4E40">
      <w:pPr>
        <w:rPr>
          <w:rFonts w:ascii="Arial" w:hAnsi="Arial" w:cs="Arial"/>
          <w:sz w:val="22"/>
          <w:szCs w:val="22"/>
        </w:rPr>
      </w:pPr>
      <w:r w:rsidRPr="00304864">
        <w:rPr>
          <w:rFonts w:ascii="Arial" w:hAnsi="Arial" w:cs="Arial"/>
          <w:sz w:val="22"/>
          <w:szCs w:val="22"/>
        </w:rPr>
        <w:t xml:space="preserve">PA3 (TO7) is containing a territorial dimension </w:t>
      </w:r>
      <w:r w:rsidRPr="00304864">
        <w:rPr>
          <w:rFonts w:ascii="Arial" w:hAnsi="Arial" w:cs="Arial"/>
          <w:i/>
          <w:sz w:val="22"/>
          <w:szCs w:val="22"/>
        </w:rPr>
        <w:t>per se</w:t>
      </w:r>
      <w:r w:rsidRPr="00304864">
        <w:rPr>
          <w:rFonts w:ascii="Arial" w:hAnsi="Arial" w:cs="Arial"/>
          <w:sz w:val="22"/>
          <w:szCs w:val="22"/>
        </w:rPr>
        <w:t xml:space="preserve"> by addressing connectivity in the context of the spatial disparities between West and East but also across the dominating Adriatic and Ionian seas in the core of the ADRION area. The Programme is focusing on multimodality, logistics and environmental friendly and low carbon transport and mobility, contributing thus to the conciliation of the different uses and needs among regions and users.</w:t>
      </w:r>
    </w:p>
    <w:p w:rsidR="00DF4E40" w:rsidRPr="00304864" w:rsidRDefault="00DF4E40">
      <w:pPr>
        <w:pStyle w:val="Text2"/>
        <w:ind w:left="0"/>
        <w:rPr>
          <w:rFonts w:ascii="Arial" w:hAnsi="Arial" w:cs="Arial"/>
          <w:i/>
          <w:sz w:val="22"/>
          <w:szCs w:val="22"/>
        </w:rPr>
      </w:pPr>
    </w:p>
    <w:p w:rsidR="00DF4E40" w:rsidRPr="00304864" w:rsidRDefault="00DF4E40">
      <w:pPr>
        <w:rPr>
          <w:rFonts w:ascii="Arial" w:hAnsi="Arial" w:cs="Arial"/>
          <w:sz w:val="22"/>
          <w:szCs w:val="22"/>
        </w:rPr>
      </w:pPr>
      <w:r w:rsidRPr="00304864">
        <w:rPr>
          <w:rFonts w:ascii="Arial" w:hAnsi="Arial" w:cs="Arial"/>
          <w:sz w:val="22"/>
          <w:szCs w:val="22"/>
        </w:rPr>
        <w:t>The ADRION Programme is covered by a dedicated EU macro-regional Strategy, the EUSAIR and is partially overlapping with the EU Strategy for the Danube Region (EU</w:t>
      </w:r>
      <w:r w:rsidR="009E62E7">
        <w:rPr>
          <w:rFonts w:ascii="Arial" w:hAnsi="Arial" w:cs="Arial"/>
          <w:sz w:val="22"/>
          <w:szCs w:val="22"/>
        </w:rPr>
        <w:t>SRD</w:t>
      </w:r>
      <w:r w:rsidRPr="00304864">
        <w:rPr>
          <w:rFonts w:ascii="Arial" w:hAnsi="Arial" w:cs="Arial"/>
          <w:sz w:val="22"/>
          <w:szCs w:val="22"/>
        </w:rPr>
        <w:t>), which is long-established and relatively mature, and the EU Strategy for the Alpine Region (EUSALP), which is currently under development. Due to its geographical coverage, the ADRION Programme can potentially play an important role in exploiting synergies among the aforementioned macro-regions (and especially the EU</w:t>
      </w:r>
      <w:r w:rsidR="009E62E7">
        <w:rPr>
          <w:rFonts w:ascii="Arial" w:hAnsi="Arial" w:cs="Arial"/>
          <w:sz w:val="22"/>
          <w:szCs w:val="22"/>
        </w:rPr>
        <w:t>SRD</w:t>
      </w:r>
      <w:r w:rsidRPr="00304864">
        <w:rPr>
          <w:rFonts w:ascii="Arial" w:hAnsi="Arial" w:cs="Arial"/>
          <w:sz w:val="22"/>
          <w:szCs w:val="22"/>
        </w:rPr>
        <w:t xml:space="preserve"> due to the similarities in the composition of the Partner States and the opportunity to draw from lessons learnt), actively contributing to territorial integration beyond the macro-regional level.</w:t>
      </w:r>
    </w:p>
    <w:p w:rsidR="00DF4E40" w:rsidRPr="00304864" w:rsidRDefault="00DF4E40">
      <w:pPr>
        <w:rPr>
          <w:rFonts w:ascii="Arial" w:hAnsi="Arial" w:cs="Arial"/>
          <w:sz w:val="22"/>
          <w:szCs w:val="22"/>
        </w:rPr>
      </w:pPr>
      <w:r w:rsidRPr="00304864">
        <w:rPr>
          <w:rFonts w:ascii="Arial" w:hAnsi="Arial" w:cs="Arial"/>
          <w:sz w:val="22"/>
          <w:szCs w:val="22"/>
        </w:rPr>
        <w:t>The design of the ADRION strategy has been closely aligned to the pillars of the EUSAIR and in particular:</w:t>
      </w:r>
    </w:p>
    <w:p w:rsidR="00DF4E40" w:rsidRPr="00A30AEC" w:rsidRDefault="00DF4E40" w:rsidP="00A30AEC">
      <w:pPr>
        <w:pStyle w:val="mStandard"/>
        <w:numPr>
          <w:ilvl w:val="0"/>
          <w:numId w:val="120"/>
        </w:numPr>
        <w:spacing w:before="0" w:after="120" w:line="240" w:lineRule="auto"/>
        <w:ind w:left="709" w:hanging="283"/>
        <w:rPr>
          <w:rFonts w:cs="Arial"/>
          <w:lang w:val="en-GB"/>
        </w:rPr>
      </w:pPr>
      <w:r w:rsidRPr="00A30AEC">
        <w:rPr>
          <w:rFonts w:cs="Arial"/>
          <w:lang w:val="en-GB"/>
        </w:rPr>
        <w:t>PA1 on innovation addresses directly Pillar I on Blue Growth but also encompasses elements of the other three Pillars;</w:t>
      </w:r>
    </w:p>
    <w:p w:rsidR="00DF4E40" w:rsidRPr="00A30AEC" w:rsidRDefault="00DF4E40" w:rsidP="00A30AEC">
      <w:pPr>
        <w:pStyle w:val="mStandard"/>
        <w:numPr>
          <w:ilvl w:val="0"/>
          <w:numId w:val="120"/>
        </w:numPr>
        <w:spacing w:before="0" w:after="120" w:line="240" w:lineRule="auto"/>
        <w:ind w:left="709" w:hanging="283"/>
        <w:rPr>
          <w:rFonts w:cs="Arial"/>
          <w:lang w:val="en-GB"/>
        </w:rPr>
      </w:pPr>
      <w:r w:rsidRPr="00A30AEC">
        <w:rPr>
          <w:rFonts w:cs="Arial"/>
          <w:lang w:val="en-GB"/>
        </w:rPr>
        <w:t>PA2 on natural and cultural heritage and biodiversity addresses directly Pillar 4 on Sustainable Tourism through IP 6c, but also Pillar 1 on Blue Growth and 3 on Environmental Quality through IP 6d;</w:t>
      </w:r>
    </w:p>
    <w:p w:rsidR="00DF4E40" w:rsidRPr="00A30AEC" w:rsidRDefault="00DF4E40" w:rsidP="00A30AEC">
      <w:pPr>
        <w:pStyle w:val="mStandard"/>
        <w:numPr>
          <w:ilvl w:val="0"/>
          <w:numId w:val="120"/>
        </w:numPr>
        <w:spacing w:before="0" w:after="120" w:line="240" w:lineRule="auto"/>
        <w:ind w:left="709" w:hanging="283"/>
        <w:rPr>
          <w:rFonts w:cs="Arial"/>
          <w:lang w:val="en-GB"/>
        </w:rPr>
      </w:pPr>
      <w:r w:rsidRPr="00A30AEC">
        <w:rPr>
          <w:rFonts w:cs="Arial"/>
          <w:lang w:val="en-GB"/>
        </w:rPr>
        <w:t>PA3 on sustainable transport and mobility addresses directly Pillar 2 on connecting the Region and indirectly Pillar 3 through the promotion of environmental friendly low carbon transport and also Pillar 4 as a prerequisite for tourism;</w:t>
      </w:r>
    </w:p>
    <w:p w:rsidR="00DF4E40" w:rsidRPr="00A30AEC" w:rsidRDefault="00DF4E40" w:rsidP="00A30AEC">
      <w:pPr>
        <w:pStyle w:val="mStandard"/>
        <w:numPr>
          <w:ilvl w:val="0"/>
          <w:numId w:val="120"/>
        </w:numPr>
        <w:spacing w:before="0" w:after="120" w:line="240" w:lineRule="auto"/>
        <w:ind w:left="709" w:hanging="283"/>
        <w:rPr>
          <w:rFonts w:cs="Arial"/>
          <w:lang w:val="en-GB"/>
        </w:rPr>
      </w:pPr>
      <w:r w:rsidRPr="00A30AEC">
        <w:rPr>
          <w:rFonts w:cs="Arial"/>
          <w:lang w:val="en-GB"/>
        </w:rPr>
        <w:t>PA4 is focusing directly on the governance aspects of the EUSAIR, thus acting as an umbrella to all four pillars.</w:t>
      </w:r>
    </w:p>
    <w:p w:rsidR="00DF4E40" w:rsidRPr="00304864" w:rsidRDefault="00DF4E40">
      <w:pPr>
        <w:autoSpaceDE w:val="0"/>
        <w:autoSpaceDN w:val="0"/>
        <w:adjustRightInd w:val="0"/>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pStyle w:val="Text2"/>
        <w:ind w:left="0"/>
        <w:rPr>
          <w:rFonts w:ascii="Arial" w:hAnsi="Arial" w:cs="Arial"/>
          <w:i/>
          <w:sz w:val="22"/>
          <w:szCs w:val="22"/>
        </w:rPr>
      </w:pPr>
    </w:p>
    <w:p w:rsidR="00DF4E40" w:rsidRPr="00304864" w:rsidRDefault="00DF4E40">
      <w:pPr>
        <w:pStyle w:val="Text2"/>
        <w:ind w:left="0"/>
        <w:rPr>
          <w:rFonts w:ascii="Arial" w:hAnsi="Arial" w:cs="Arial"/>
          <w:i/>
          <w:sz w:val="22"/>
          <w:szCs w:val="22"/>
          <w:lang w:eastAsia="sv-SE"/>
        </w:rPr>
      </w:pPr>
    </w:p>
    <w:bookmarkEnd w:id="297"/>
    <w:bookmarkEnd w:id="298"/>
    <w:p w:rsidR="00DF4E40" w:rsidRPr="00304864" w:rsidRDefault="00DF4E40">
      <w:pPr>
        <w:pStyle w:val="Heading1"/>
      </w:pPr>
      <w:r w:rsidRPr="00304864">
        <w:rPr>
          <w:lang w:eastAsia="fr-BE"/>
        </w:rPr>
        <w:br w:type="page"/>
      </w:r>
      <w:bookmarkStart w:id="299" w:name="_Toc365660148"/>
      <w:bookmarkStart w:id="300" w:name="_Toc366097056"/>
      <w:bookmarkStart w:id="301" w:name="_Toc377402586"/>
      <w:bookmarkStart w:id="302" w:name="_Toc420652567"/>
      <w:bookmarkStart w:id="303" w:name="_Toc421076919"/>
      <w:r w:rsidRPr="00304864">
        <w:t>SECTION 5: Implementing provisions for the cooperation programm</w:t>
      </w:r>
      <w:bookmarkEnd w:id="299"/>
      <w:bookmarkEnd w:id="300"/>
      <w:bookmarkEnd w:id="301"/>
      <w:r w:rsidRPr="00304864">
        <w:t>e</w:t>
      </w:r>
      <w:bookmarkEnd w:id="302"/>
      <w:bookmarkEnd w:id="303"/>
    </w:p>
    <w:p w:rsidR="00DF4E40" w:rsidRPr="00A30AEC" w:rsidRDefault="00DF4E40">
      <w:pPr>
        <w:pStyle w:val="Text1"/>
        <w:ind w:left="0"/>
        <w:rPr>
          <w:rFonts w:ascii="Arial" w:hAnsi="Arial" w:cs="Arial"/>
          <w:sz w:val="22"/>
          <w:szCs w:val="22"/>
        </w:rPr>
      </w:pPr>
      <w:r w:rsidRPr="00A30AEC">
        <w:rPr>
          <w:rFonts w:ascii="Arial" w:hAnsi="Arial" w:cs="Arial"/>
          <w:sz w:val="22"/>
          <w:szCs w:val="22"/>
        </w:rPr>
        <w:t>(Reference: Article 8(4) of Regulation (EU) No 1299/2013)</w:t>
      </w:r>
    </w:p>
    <w:p w:rsidR="007142EE" w:rsidRDefault="007142EE">
      <w:pPr>
        <w:pStyle w:val="Text1"/>
        <w:ind w:left="0"/>
        <w:rPr>
          <w:rFonts w:ascii="Arial" w:hAnsi="Arial" w:cs="Arial"/>
          <w:i/>
          <w:sz w:val="22"/>
          <w:szCs w:val="22"/>
        </w:rPr>
      </w:pPr>
    </w:p>
    <w:p w:rsidR="007142EE" w:rsidRPr="00304864" w:rsidRDefault="007142EE">
      <w:pPr>
        <w:pStyle w:val="Text1"/>
        <w:ind w:left="0"/>
        <w:rPr>
          <w:rFonts w:ascii="Arial" w:hAnsi="Arial" w:cs="Arial"/>
          <w:i/>
          <w:sz w:val="22"/>
          <w:szCs w:val="22"/>
        </w:rPr>
      </w:pPr>
    </w:p>
    <w:p w:rsidR="00DF4E40" w:rsidRPr="00224361" w:rsidRDefault="00DF4E40" w:rsidP="00A30AEC">
      <w:pPr>
        <w:pStyle w:val="Heading2"/>
        <w:numPr>
          <w:ilvl w:val="1"/>
          <w:numId w:val="158"/>
        </w:numPr>
        <w:spacing w:after="120"/>
      </w:pPr>
      <w:bookmarkStart w:id="304" w:name="_Toc419365799"/>
      <w:bookmarkStart w:id="305" w:name="_Toc419365968"/>
      <w:bookmarkStart w:id="306" w:name="_Toc419366154"/>
      <w:bookmarkStart w:id="307" w:name="_Toc419366308"/>
      <w:bookmarkStart w:id="308" w:name="_Toc419366460"/>
      <w:bookmarkStart w:id="309" w:name="_Toc419366612"/>
      <w:bookmarkStart w:id="310" w:name="_Toc419366764"/>
      <w:bookmarkStart w:id="311" w:name="_Toc419370565"/>
      <w:bookmarkStart w:id="312" w:name="_Toc419376292"/>
      <w:bookmarkStart w:id="313" w:name="_Toc419376964"/>
      <w:bookmarkStart w:id="314" w:name="_Toc419377116"/>
      <w:bookmarkStart w:id="315" w:name="_Toc365660149"/>
      <w:bookmarkStart w:id="316" w:name="_Toc366097057"/>
      <w:bookmarkStart w:id="317" w:name="_Toc377402587"/>
      <w:bookmarkStart w:id="318" w:name="_Toc420652568"/>
      <w:bookmarkStart w:id="319" w:name="_Toc421076920"/>
      <w:bookmarkEnd w:id="304"/>
      <w:bookmarkEnd w:id="305"/>
      <w:bookmarkEnd w:id="306"/>
      <w:bookmarkEnd w:id="307"/>
      <w:bookmarkEnd w:id="308"/>
      <w:bookmarkEnd w:id="309"/>
      <w:bookmarkEnd w:id="310"/>
      <w:bookmarkEnd w:id="311"/>
      <w:bookmarkEnd w:id="312"/>
      <w:bookmarkEnd w:id="313"/>
      <w:bookmarkEnd w:id="314"/>
      <w:r w:rsidRPr="00224361">
        <w:t>Relevant authorities and bodies</w:t>
      </w:r>
      <w:bookmarkEnd w:id="315"/>
      <w:bookmarkEnd w:id="316"/>
      <w:bookmarkEnd w:id="317"/>
      <w:bookmarkEnd w:id="318"/>
      <w:bookmarkEnd w:id="319"/>
    </w:p>
    <w:p w:rsidR="00DF4E40" w:rsidRPr="00A30AEC" w:rsidRDefault="00DF4E40">
      <w:pPr>
        <w:pStyle w:val="Text2"/>
        <w:ind w:left="0"/>
        <w:rPr>
          <w:rFonts w:ascii="Arial" w:hAnsi="Arial" w:cs="Arial"/>
          <w:sz w:val="22"/>
          <w:szCs w:val="22"/>
        </w:rPr>
      </w:pPr>
      <w:r w:rsidRPr="00A30AEC">
        <w:rPr>
          <w:rFonts w:ascii="Arial" w:hAnsi="Arial" w:cs="Arial"/>
          <w:sz w:val="22"/>
          <w:szCs w:val="22"/>
        </w:rPr>
        <w:t>(Reference: Article 8(4) of Regulation (EU) No 1299/2013)</w:t>
      </w:r>
    </w:p>
    <w:p w:rsidR="00DF4E40" w:rsidRPr="00304864" w:rsidRDefault="00DF4E40">
      <w:pPr>
        <w:pStyle w:val="Text2"/>
        <w:ind w:left="0"/>
        <w:rPr>
          <w:rFonts w:ascii="Arial" w:hAnsi="Arial" w:cs="Arial"/>
          <w:i/>
          <w:sz w:val="22"/>
          <w:szCs w:val="22"/>
        </w:rPr>
      </w:pPr>
    </w:p>
    <w:p w:rsidR="00DF4E40" w:rsidRPr="00A30AEC" w:rsidRDefault="00DF4E40">
      <w:pPr>
        <w:pStyle w:val="Text2"/>
        <w:ind w:left="0"/>
        <w:rPr>
          <w:rFonts w:ascii="Arial" w:hAnsi="Arial" w:cs="Arial"/>
          <w:b/>
          <w:color w:val="0F243E"/>
          <w:sz w:val="22"/>
          <w:szCs w:val="22"/>
        </w:rPr>
      </w:pPr>
      <w:r w:rsidRPr="00A30AEC">
        <w:rPr>
          <w:rFonts w:ascii="Arial" w:hAnsi="Arial" w:cs="Arial"/>
          <w:b/>
          <w:color w:val="0F243E"/>
          <w:sz w:val="22"/>
          <w:szCs w:val="22"/>
        </w:rPr>
        <w:t>Table 21: Programme authorities</w:t>
      </w:r>
    </w:p>
    <w:p w:rsidR="00DF4E40" w:rsidRPr="00A30AEC" w:rsidRDefault="00DF4E40">
      <w:pPr>
        <w:rPr>
          <w:rFonts w:ascii="Arial" w:hAnsi="Arial" w:cs="Arial"/>
          <w:sz w:val="22"/>
          <w:szCs w:val="22"/>
        </w:rPr>
      </w:pPr>
      <w:r w:rsidRPr="00A30AEC">
        <w:rPr>
          <w:rFonts w:ascii="Arial" w:hAnsi="Arial" w:cs="Arial"/>
          <w:sz w:val="22"/>
          <w:szCs w:val="22"/>
        </w:rPr>
        <w:t>(Reference: point (a)(i) of Article 8(4) of Regulation (EU) No 1299/2013)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321"/>
        <w:gridCol w:w="2933"/>
      </w:tblGrid>
      <w:tr w:rsidR="00DF4E40" w:rsidRPr="00304864" w:rsidTr="00A961B0">
        <w:trPr>
          <w:trHeight w:val="1003"/>
          <w:jc w:val="center"/>
        </w:trPr>
        <w:tc>
          <w:tcPr>
            <w:tcW w:w="3227" w:type="dxa"/>
            <w:shd w:val="clear" w:color="auto" w:fill="DBE5F1"/>
            <w:vAlign w:val="center"/>
          </w:tcPr>
          <w:p w:rsidR="00DF4E40" w:rsidRPr="00304864" w:rsidRDefault="00DF4E40" w:rsidP="00A30AEC">
            <w:pPr>
              <w:jc w:val="left"/>
              <w:rPr>
                <w:rFonts w:ascii="Arial" w:hAnsi="Arial" w:cs="Arial"/>
                <w:b/>
                <w:sz w:val="20"/>
              </w:rPr>
            </w:pPr>
            <w:r w:rsidRPr="00304864">
              <w:rPr>
                <w:rFonts w:ascii="Arial" w:hAnsi="Arial" w:cs="Arial"/>
                <w:b/>
                <w:sz w:val="20"/>
              </w:rPr>
              <w:t>Authority/Body</w:t>
            </w:r>
          </w:p>
        </w:tc>
        <w:tc>
          <w:tcPr>
            <w:tcW w:w="2977" w:type="dxa"/>
            <w:shd w:val="clear" w:color="auto" w:fill="DBE5F1"/>
            <w:vAlign w:val="center"/>
          </w:tcPr>
          <w:p w:rsidR="00DF4E40" w:rsidRPr="00304864" w:rsidRDefault="00DF4E40" w:rsidP="00A30AEC">
            <w:pPr>
              <w:jc w:val="left"/>
              <w:rPr>
                <w:rFonts w:ascii="Arial" w:hAnsi="Arial" w:cs="Arial"/>
                <w:b/>
                <w:sz w:val="20"/>
              </w:rPr>
            </w:pPr>
            <w:r w:rsidRPr="00304864">
              <w:rPr>
                <w:rFonts w:ascii="Arial" w:hAnsi="Arial" w:cs="Arial"/>
                <w:b/>
                <w:sz w:val="20"/>
              </w:rPr>
              <w:t>Name of the Authority/Body and Department or Unit</w:t>
            </w:r>
          </w:p>
        </w:tc>
        <w:tc>
          <w:tcPr>
            <w:tcW w:w="2629" w:type="dxa"/>
            <w:shd w:val="clear" w:color="auto" w:fill="DBE5F1"/>
            <w:vAlign w:val="center"/>
          </w:tcPr>
          <w:p w:rsidR="00DF4E40" w:rsidRPr="00304864" w:rsidRDefault="00DF4E40" w:rsidP="00A30AEC">
            <w:pPr>
              <w:jc w:val="left"/>
              <w:rPr>
                <w:rFonts w:ascii="Arial" w:hAnsi="Arial" w:cs="Arial"/>
                <w:b/>
                <w:sz w:val="20"/>
              </w:rPr>
            </w:pPr>
            <w:r w:rsidRPr="00304864">
              <w:rPr>
                <w:rFonts w:ascii="Arial" w:hAnsi="Arial" w:cs="Arial"/>
                <w:b/>
                <w:sz w:val="20"/>
              </w:rPr>
              <w:t>Head of the Authority/Body</w:t>
            </w:r>
          </w:p>
        </w:tc>
      </w:tr>
      <w:tr w:rsidR="00DF4E40" w:rsidRPr="002E0F24" w:rsidTr="00A961B0">
        <w:trPr>
          <w:jc w:val="center"/>
        </w:trPr>
        <w:tc>
          <w:tcPr>
            <w:tcW w:w="3227" w:type="dxa"/>
            <w:vAlign w:val="center"/>
          </w:tcPr>
          <w:p w:rsidR="00DF4E40" w:rsidRPr="00304864" w:rsidRDefault="008772FE" w:rsidP="00A30AEC">
            <w:pPr>
              <w:jc w:val="left"/>
              <w:rPr>
                <w:rFonts w:ascii="Arial" w:hAnsi="Arial" w:cs="Arial"/>
                <w:b/>
                <w:sz w:val="20"/>
              </w:rPr>
            </w:pPr>
            <w:r>
              <w:rPr>
                <w:rFonts w:ascii="Arial" w:hAnsi="Arial" w:cs="Arial"/>
                <w:b/>
                <w:sz w:val="20"/>
              </w:rPr>
              <w:t>m</w:t>
            </w:r>
            <w:r w:rsidR="00DF4E40" w:rsidRPr="00304864">
              <w:rPr>
                <w:rFonts w:ascii="Arial" w:hAnsi="Arial" w:cs="Arial"/>
                <w:b/>
                <w:sz w:val="20"/>
              </w:rPr>
              <w:t xml:space="preserve">anaging </w:t>
            </w:r>
            <w:r>
              <w:rPr>
                <w:rFonts w:ascii="Arial" w:hAnsi="Arial" w:cs="Arial"/>
                <w:b/>
                <w:sz w:val="20"/>
              </w:rPr>
              <w:t>a</w:t>
            </w:r>
            <w:r w:rsidR="00DF4E40" w:rsidRPr="00304864">
              <w:rPr>
                <w:rFonts w:ascii="Arial" w:hAnsi="Arial" w:cs="Arial"/>
                <w:b/>
                <w:sz w:val="20"/>
              </w:rPr>
              <w:t>uthority/</w:t>
            </w:r>
            <w:r>
              <w:rPr>
                <w:rFonts w:ascii="Arial" w:hAnsi="Arial" w:cs="Arial"/>
                <w:b/>
                <w:sz w:val="20"/>
                <w:lang w:val="it-IT"/>
              </w:rPr>
              <w:t>c</w:t>
            </w:r>
            <w:r w:rsidR="00DF4E40" w:rsidRPr="00304864">
              <w:rPr>
                <w:rFonts w:ascii="Arial" w:hAnsi="Arial" w:cs="Arial"/>
                <w:b/>
                <w:sz w:val="20"/>
                <w:lang w:val="it-IT"/>
              </w:rPr>
              <w:t>ertifying</w:t>
            </w:r>
            <w:r>
              <w:rPr>
                <w:rFonts w:ascii="Arial" w:hAnsi="Arial" w:cs="Arial"/>
                <w:b/>
                <w:sz w:val="20"/>
                <w:lang w:val="it-IT"/>
              </w:rPr>
              <w:t>a</w:t>
            </w:r>
            <w:r w:rsidR="00DF4E40" w:rsidRPr="00304864">
              <w:rPr>
                <w:rFonts w:ascii="Arial" w:hAnsi="Arial" w:cs="Arial"/>
                <w:b/>
                <w:sz w:val="20"/>
                <w:lang w:val="it-IT"/>
              </w:rPr>
              <w:t>uthority</w:t>
            </w:r>
          </w:p>
        </w:tc>
        <w:tc>
          <w:tcPr>
            <w:tcW w:w="2977" w:type="dxa"/>
            <w:vAlign w:val="center"/>
          </w:tcPr>
          <w:p w:rsidR="00DF4E40" w:rsidRPr="00304864" w:rsidRDefault="00DF4E40" w:rsidP="00A30AEC">
            <w:pPr>
              <w:jc w:val="left"/>
              <w:rPr>
                <w:rFonts w:ascii="Arial" w:hAnsi="Arial" w:cs="Arial"/>
                <w:sz w:val="20"/>
                <w:lang w:val="it-IT"/>
              </w:rPr>
            </w:pPr>
            <w:r w:rsidRPr="00304864">
              <w:rPr>
                <w:rFonts w:ascii="Arial" w:hAnsi="Arial" w:cs="Arial"/>
                <w:sz w:val="20"/>
                <w:lang w:val="it-IT"/>
              </w:rPr>
              <w:t>Regione Emilia-Romagna</w:t>
            </w:r>
          </w:p>
          <w:p w:rsidR="00DF4E40" w:rsidRPr="00304864" w:rsidRDefault="00DF4E40">
            <w:pPr>
              <w:jc w:val="left"/>
              <w:rPr>
                <w:rFonts w:ascii="Arial" w:hAnsi="Arial" w:cs="Arial"/>
                <w:sz w:val="20"/>
                <w:lang w:val="it-IT"/>
              </w:rPr>
            </w:pPr>
            <w:r w:rsidRPr="00304864">
              <w:rPr>
                <w:rFonts w:ascii="Arial" w:hAnsi="Arial" w:cs="Arial"/>
                <w:sz w:val="20"/>
                <w:lang w:val="it-IT"/>
              </w:rPr>
              <w:t>Direzione Generale, Programmazione territoriale e negoziata. Intese. Relazioni internazionali ed europee</w:t>
            </w:r>
          </w:p>
          <w:p w:rsidR="00DF4E40" w:rsidRPr="00304864" w:rsidRDefault="00DF4E40">
            <w:pPr>
              <w:jc w:val="left"/>
              <w:rPr>
                <w:rFonts w:ascii="Arial" w:hAnsi="Arial" w:cs="Arial"/>
                <w:sz w:val="20"/>
              </w:rPr>
            </w:pPr>
            <w:r w:rsidRPr="00304864">
              <w:rPr>
                <w:rFonts w:ascii="Arial" w:hAnsi="Arial" w:cs="Arial"/>
                <w:i/>
                <w:sz w:val="20"/>
                <w:lang w:val="it-IT"/>
              </w:rPr>
              <w:t xml:space="preserve">(General Directorate, Territorial and negotiated planning. </w:t>
            </w:r>
            <w:r w:rsidRPr="00304864">
              <w:rPr>
                <w:rFonts w:ascii="Arial" w:hAnsi="Arial" w:cs="Arial"/>
                <w:i/>
                <w:sz w:val="20"/>
              </w:rPr>
              <w:t>Agreements. European and International Relationships)</w:t>
            </w:r>
          </w:p>
          <w:p w:rsidR="00DF4E40" w:rsidRPr="00304864" w:rsidRDefault="00DF4E40" w:rsidP="00A30AEC">
            <w:pPr>
              <w:jc w:val="left"/>
              <w:rPr>
                <w:rFonts w:ascii="Arial" w:hAnsi="Arial" w:cs="Arial"/>
                <w:sz w:val="20"/>
              </w:rPr>
            </w:pPr>
            <w:r w:rsidRPr="00304864">
              <w:rPr>
                <w:rFonts w:ascii="Arial" w:hAnsi="Arial" w:cs="Arial"/>
                <w:sz w:val="20"/>
              </w:rPr>
              <w:t xml:space="preserve">Italy </w:t>
            </w:r>
          </w:p>
        </w:tc>
        <w:tc>
          <w:tcPr>
            <w:tcW w:w="2629" w:type="dxa"/>
            <w:vAlign w:val="center"/>
          </w:tcPr>
          <w:p w:rsidR="00DF4E40" w:rsidRPr="00304864" w:rsidRDefault="00DF4E40">
            <w:pPr>
              <w:jc w:val="left"/>
              <w:rPr>
                <w:rFonts w:ascii="Arial" w:hAnsi="Arial" w:cs="Arial"/>
                <w:sz w:val="20"/>
                <w:lang w:val="it-IT" w:eastAsia="es-ES"/>
              </w:rPr>
            </w:pPr>
            <w:r w:rsidRPr="00304864">
              <w:rPr>
                <w:rFonts w:ascii="Arial" w:hAnsi="Arial" w:cs="Arial"/>
                <w:sz w:val="20"/>
                <w:lang w:val="it-IT" w:eastAsia="es-ES"/>
              </w:rPr>
              <w:t xml:space="preserve">Pro-tempore </w:t>
            </w:r>
            <w:r w:rsidRPr="00304864">
              <w:rPr>
                <w:rFonts w:ascii="Arial" w:hAnsi="Arial" w:cs="Arial"/>
                <w:sz w:val="20"/>
                <w:lang w:val="it-IT"/>
              </w:rPr>
              <w:t>General Director: Mr</w:t>
            </w:r>
            <w:r w:rsidRPr="00304864">
              <w:rPr>
                <w:rFonts w:ascii="Arial" w:hAnsi="Arial" w:cs="Arial"/>
                <w:sz w:val="20"/>
                <w:lang w:val="it-IT" w:eastAsia="es-ES"/>
              </w:rPr>
              <w:t>Enrico Cocchi</w:t>
            </w:r>
          </w:p>
        </w:tc>
      </w:tr>
      <w:tr w:rsidR="00DF4E40" w:rsidRPr="00791C49" w:rsidTr="00A961B0">
        <w:trPr>
          <w:jc w:val="center"/>
        </w:trPr>
        <w:tc>
          <w:tcPr>
            <w:tcW w:w="3227" w:type="dxa"/>
            <w:vAlign w:val="center"/>
          </w:tcPr>
          <w:p w:rsidR="00DF4E40" w:rsidRPr="00304864" w:rsidRDefault="00DF4E40" w:rsidP="00A30AEC">
            <w:pPr>
              <w:jc w:val="left"/>
              <w:rPr>
                <w:rFonts w:ascii="Arial" w:hAnsi="Arial" w:cs="Arial"/>
                <w:b/>
                <w:sz w:val="20"/>
                <w:lang w:val="it-IT"/>
              </w:rPr>
            </w:pPr>
          </w:p>
        </w:tc>
        <w:tc>
          <w:tcPr>
            <w:tcW w:w="2977" w:type="dxa"/>
            <w:vAlign w:val="center"/>
          </w:tcPr>
          <w:p w:rsidR="00DF4E40" w:rsidRPr="00304864" w:rsidRDefault="00DF4E40">
            <w:pPr>
              <w:jc w:val="left"/>
              <w:rPr>
                <w:rFonts w:ascii="Arial" w:hAnsi="Arial" w:cs="Arial"/>
                <w:sz w:val="20"/>
                <w:lang w:val="it-IT"/>
              </w:rPr>
            </w:pPr>
          </w:p>
        </w:tc>
        <w:tc>
          <w:tcPr>
            <w:tcW w:w="2629" w:type="dxa"/>
            <w:vAlign w:val="center"/>
          </w:tcPr>
          <w:p w:rsidR="00DF4E40" w:rsidRPr="00304864" w:rsidRDefault="00DF4E40" w:rsidP="00A30AEC">
            <w:pPr>
              <w:jc w:val="left"/>
              <w:rPr>
                <w:rFonts w:ascii="Arial" w:hAnsi="Arial" w:cs="Arial"/>
                <w:sz w:val="20"/>
                <w:highlight w:val="green"/>
                <w:lang w:val="it-IT"/>
              </w:rPr>
            </w:pPr>
          </w:p>
        </w:tc>
      </w:tr>
      <w:tr w:rsidR="00DF4E40" w:rsidRPr="0082241B" w:rsidTr="00A961B0">
        <w:trPr>
          <w:jc w:val="center"/>
        </w:trPr>
        <w:tc>
          <w:tcPr>
            <w:tcW w:w="3227" w:type="dxa"/>
            <w:vAlign w:val="center"/>
          </w:tcPr>
          <w:p w:rsidR="00DF4E40" w:rsidRPr="00304864" w:rsidRDefault="005121FD" w:rsidP="00A30AEC">
            <w:pPr>
              <w:jc w:val="left"/>
              <w:rPr>
                <w:rFonts w:ascii="Arial" w:hAnsi="Arial" w:cs="Arial"/>
                <w:b/>
                <w:sz w:val="20"/>
              </w:rPr>
            </w:pPr>
            <w:r>
              <w:rPr>
                <w:rFonts w:ascii="Arial" w:hAnsi="Arial" w:cs="Arial"/>
                <w:b/>
                <w:sz w:val="20"/>
              </w:rPr>
              <w:t>a</w:t>
            </w:r>
            <w:r w:rsidR="00DF4E40" w:rsidRPr="00304864">
              <w:rPr>
                <w:rFonts w:ascii="Arial" w:hAnsi="Arial" w:cs="Arial"/>
                <w:b/>
                <w:sz w:val="20"/>
              </w:rPr>
              <w:t>udit authority</w:t>
            </w:r>
          </w:p>
        </w:tc>
        <w:tc>
          <w:tcPr>
            <w:tcW w:w="2977" w:type="dxa"/>
            <w:vAlign w:val="center"/>
          </w:tcPr>
          <w:p w:rsidR="00DF4E40" w:rsidRPr="00304864" w:rsidRDefault="00DF4E40" w:rsidP="00A30AEC">
            <w:pPr>
              <w:jc w:val="left"/>
              <w:rPr>
                <w:rFonts w:ascii="Arial" w:hAnsi="Arial" w:cs="Arial"/>
                <w:sz w:val="20"/>
              </w:rPr>
            </w:pPr>
            <w:r w:rsidRPr="00304864">
              <w:rPr>
                <w:rFonts w:ascii="Arial" w:hAnsi="Arial" w:cs="Arial"/>
                <w:sz w:val="20"/>
              </w:rPr>
              <w:t>Agrea</w:t>
            </w:r>
          </w:p>
          <w:p w:rsidR="00DF4E40" w:rsidRPr="00304864" w:rsidRDefault="00DF4E40" w:rsidP="00A30AEC">
            <w:pPr>
              <w:jc w:val="left"/>
              <w:rPr>
                <w:rFonts w:ascii="Arial" w:hAnsi="Arial" w:cs="Arial"/>
                <w:i/>
                <w:sz w:val="20"/>
              </w:rPr>
            </w:pPr>
            <w:r w:rsidRPr="00304864">
              <w:rPr>
                <w:rFonts w:ascii="Arial" w:hAnsi="Arial" w:cs="Arial"/>
                <w:i/>
                <w:sz w:val="20"/>
              </w:rPr>
              <w:t>(Agency of the Emilia-Romagna Region)</w:t>
            </w:r>
          </w:p>
          <w:p w:rsidR="00DF4E40" w:rsidRPr="00304864" w:rsidRDefault="00DF4E40" w:rsidP="00A30AEC">
            <w:pPr>
              <w:jc w:val="left"/>
              <w:rPr>
                <w:rFonts w:ascii="Arial" w:hAnsi="Arial" w:cs="Arial"/>
                <w:sz w:val="20"/>
              </w:rPr>
            </w:pPr>
            <w:r w:rsidRPr="00304864">
              <w:rPr>
                <w:rFonts w:ascii="Arial" w:hAnsi="Arial" w:cs="Arial"/>
                <w:sz w:val="20"/>
              </w:rPr>
              <w:t>Italy</w:t>
            </w:r>
          </w:p>
        </w:tc>
        <w:tc>
          <w:tcPr>
            <w:tcW w:w="2629" w:type="dxa"/>
            <w:vAlign w:val="center"/>
          </w:tcPr>
          <w:p w:rsidR="004C5DFD" w:rsidRDefault="004C5DFD" w:rsidP="004C5DFD">
            <w:pPr>
              <w:jc w:val="left"/>
              <w:rPr>
                <w:rFonts w:ascii="Arial" w:hAnsi="Arial" w:cs="Arial"/>
                <w:sz w:val="20"/>
                <w:lang w:val="en-US" w:eastAsia="es-ES"/>
              </w:rPr>
            </w:pPr>
            <w:r w:rsidRPr="004C5DFD">
              <w:rPr>
                <w:rFonts w:ascii="Arial" w:hAnsi="Arial" w:cs="Arial"/>
                <w:sz w:val="20"/>
                <w:lang w:val="en-US" w:eastAsia="es-ES"/>
              </w:rPr>
              <w:t>Head of Internal Audit Unit</w:t>
            </w:r>
          </w:p>
          <w:p w:rsidR="004C5DFD" w:rsidRPr="004C5DFD" w:rsidRDefault="004C5DFD" w:rsidP="004C5DFD">
            <w:pPr>
              <w:jc w:val="left"/>
              <w:rPr>
                <w:rFonts w:ascii="Arial" w:hAnsi="Arial" w:cs="Arial"/>
                <w:sz w:val="20"/>
                <w:lang w:val="en-US" w:eastAsia="es-ES"/>
              </w:rPr>
            </w:pPr>
            <w:r w:rsidRPr="004C5DFD">
              <w:rPr>
                <w:rFonts w:ascii="Arial" w:hAnsi="Arial" w:cs="Arial"/>
                <w:sz w:val="20"/>
                <w:lang w:val="en-US"/>
              </w:rPr>
              <w:t>Mr</w:t>
            </w:r>
            <w:r w:rsidRPr="004C5DFD">
              <w:rPr>
                <w:rFonts w:ascii="Arial" w:hAnsi="Arial" w:cs="Arial"/>
                <w:sz w:val="20"/>
                <w:lang w:val="en-US" w:eastAsia="es-ES"/>
              </w:rPr>
              <w:t>Donato Metta</w:t>
            </w:r>
          </w:p>
          <w:p w:rsidR="004C5DFD" w:rsidRPr="004C5DFD" w:rsidRDefault="004C5DFD" w:rsidP="0082241B">
            <w:pPr>
              <w:jc w:val="left"/>
              <w:rPr>
                <w:rFonts w:ascii="Arial" w:hAnsi="Arial" w:cs="Arial"/>
                <w:sz w:val="20"/>
                <w:lang w:val="en-US" w:eastAsia="es-ES"/>
              </w:rPr>
            </w:pPr>
          </w:p>
        </w:tc>
      </w:tr>
    </w:tbl>
    <w:p w:rsidR="00DF4E40" w:rsidRPr="004C5DFD" w:rsidRDefault="00DF4E40">
      <w:pPr>
        <w:rPr>
          <w:rFonts w:ascii="Arial" w:hAnsi="Arial" w:cs="Arial"/>
          <w:sz w:val="22"/>
          <w:szCs w:val="22"/>
          <w:lang w:val="en-US"/>
        </w:rPr>
      </w:pPr>
    </w:p>
    <w:p w:rsidR="00DF4E40" w:rsidRPr="00304864" w:rsidRDefault="00DF4E40">
      <w:pPr>
        <w:suppressAutoHyphens/>
        <w:rPr>
          <w:rFonts w:ascii="Arial" w:hAnsi="Arial" w:cs="Arial"/>
          <w:b/>
          <w:sz w:val="22"/>
          <w:szCs w:val="22"/>
        </w:rPr>
      </w:pPr>
      <w:r w:rsidRPr="00A30AEC">
        <w:rPr>
          <w:rFonts w:ascii="Arial" w:hAnsi="Arial" w:cs="Arial"/>
          <w:b/>
          <w:i/>
          <w:color w:val="0F243E"/>
          <w:sz w:val="22"/>
          <w:szCs w:val="22"/>
        </w:rPr>
        <w:t>The body to which payments will be made by the Commission is:</w:t>
      </w:r>
    </w:p>
    <w:p w:rsidR="00DF4E40" w:rsidRPr="00A30AEC" w:rsidRDefault="00DF4E40">
      <w:pPr>
        <w:rPr>
          <w:rFonts w:ascii="Arial" w:hAnsi="Arial" w:cs="Arial"/>
          <w:sz w:val="22"/>
          <w:szCs w:val="22"/>
        </w:rPr>
      </w:pPr>
      <w:r w:rsidRPr="00A30AEC">
        <w:rPr>
          <w:rFonts w:ascii="Arial" w:hAnsi="Arial" w:cs="Arial"/>
          <w:sz w:val="22"/>
          <w:szCs w:val="22"/>
        </w:rPr>
        <w:t>(Reference: point (b) of Article 8(4) of Regulation (EU) No 1299/2013)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5606"/>
      </w:tblGrid>
      <w:tr w:rsidR="00DF4E40" w:rsidRPr="00304864" w:rsidTr="008764A7">
        <w:tc>
          <w:tcPr>
            <w:tcW w:w="3189" w:type="dxa"/>
            <w:shd w:val="clear" w:color="auto" w:fill="B8CCE4"/>
          </w:tcPr>
          <w:bookmarkStart w:id="320" w:name="Check1"/>
          <w:p w:rsidR="00DF4E40" w:rsidRPr="00304864" w:rsidRDefault="00365F12">
            <w:pPr>
              <w:suppressAutoHyphens/>
              <w:rPr>
                <w:rFonts w:ascii="Arial" w:hAnsi="Arial" w:cs="Arial"/>
                <w:szCs w:val="22"/>
              </w:rPr>
            </w:pPr>
            <w:r w:rsidRPr="00A30AEC">
              <w:rPr>
                <w:rFonts w:ascii="Arial" w:hAnsi="Arial" w:cs="Arial"/>
                <w:sz w:val="22"/>
                <w:szCs w:val="22"/>
              </w:rPr>
              <w:fldChar w:fldCharType="begin">
                <w:ffData>
                  <w:name w:val="Check1"/>
                  <w:enabled/>
                  <w:calcOnExit w:val="0"/>
                  <w:checkBox>
                    <w:sizeAuto/>
                    <w:default w:val="1"/>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managing authority</w:t>
            </w:r>
          </w:p>
        </w:tc>
        <w:tc>
          <w:tcPr>
            <w:tcW w:w="5606" w:type="dxa"/>
          </w:tcPr>
          <w:p w:rsidR="00DF4E40" w:rsidRPr="00304864" w:rsidRDefault="00DF4E40">
            <w:pPr>
              <w:suppressAutoHyphens/>
              <w:rPr>
                <w:rFonts w:ascii="Arial" w:hAnsi="Arial" w:cs="Arial"/>
                <w:szCs w:val="22"/>
              </w:rPr>
            </w:pPr>
          </w:p>
        </w:tc>
      </w:tr>
      <w:tr w:rsidR="00DF4E40" w:rsidRPr="00304864" w:rsidTr="008764A7">
        <w:tc>
          <w:tcPr>
            <w:tcW w:w="3189" w:type="dxa"/>
            <w:shd w:val="clear" w:color="auto" w:fill="B8CCE4"/>
          </w:tcPr>
          <w:p w:rsidR="00DF4E40" w:rsidRPr="00304864" w:rsidRDefault="00365F12">
            <w:pPr>
              <w:suppressAutoHyphens/>
              <w:rPr>
                <w:rFonts w:ascii="Arial" w:hAnsi="Arial" w:cs="Arial"/>
                <w:szCs w:val="22"/>
              </w:rPr>
            </w:pPr>
            <w:r w:rsidRPr="00A30AEC">
              <w:rPr>
                <w:rFonts w:ascii="Arial" w:hAnsi="Arial" w:cs="Arial"/>
                <w:sz w:val="22"/>
                <w:szCs w:val="22"/>
              </w:rPr>
              <w:fldChar w:fldCharType="begin">
                <w:ffData>
                  <w:name w:val="Check2"/>
                  <w:enabled/>
                  <w:calcOnExit w:val="0"/>
                  <w:checkBox>
                    <w:sizeAuto/>
                    <w:default w:val="0"/>
                  </w:checkBox>
                </w:ffData>
              </w:fldChar>
            </w:r>
            <w:r w:rsidR="00DF4E40" w:rsidRPr="00304864">
              <w:rPr>
                <w:rFonts w:ascii="Arial" w:hAnsi="Arial" w:cs="Arial"/>
                <w:sz w:val="22"/>
                <w:szCs w:val="22"/>
              </w:rPr>
              <w:instrText xml:space="preserve"> FORMCHECKBOX </w:instrText>
            </w:r>
            <w:r w:rsidRPr="00A30AEC">
              <w:rPr>
                <w:rFonts w:ascii="Arial" w:hAnsi="Arial" w:cs="Arial"/>
                <w:sz w:val="22"/>
                <w:szCs w:val="22"/>
              </w:rPr>
            </w:r>
            <w:r w:rsidRPr="00A30AEC">
              <w:rPr>
                <w:rFonts w:ascii="Arial" w:hAnsi="Arial" w:cs="Arial"/>
                <w:sz w:val="22"/>
                <w:szCs w:val="22"/>
              </w:rPr>
              <w:fldChar w:fldCharType="end"/>
            </w:r>
            <w:r w:rsidR="00DF4E40" w:rsidRPr="00304864">
              <w:rPr>
                <w:rFonts w:ascii="Arial" w:hAnsi="Arial" w:cs="Arial"/>
                <w:sz w:val="22"/>
                <w:szCs w:val="22"/>
              </w:rPr>
              <w:t xml:space="preserve"> the certifying authority</w:t>
            </w:r>
          </w:p>
        </w:tc>
        <w:tc>
          <w:tcPr>
            <w:tcW w:w="5606" w:type="dxa"/>
          </w:tcPr>
          <w:p w:rsidR="00DF4E40" w:rsidRPr="00304864" w:rsidRDefault="00DF4E40">
            <w:pPr>
              <w:suppressAutoHyphens/>
              <w:rPr>
                <w:rFonts w:ascii="Arial" w:hAnsi="Arial" w:cs="Arial"/>
                <w:szCs w:val="22"/>
              </w:rPr>
            </w:pPr>
          </w:p>
        </w:tc>
      </w:tr>
      <w:bookmarkEnd w:id="320"/>
    </w:tbl>
    <w:p w:rsidR="00DF4E40" w:rsidRDefault="00DF4E40">
      <w:pPr>
        <w:rPr>
          <w:rFonts w:ascii="Arial" w:hAnsi="Arial" w:cs="Arial"/>
          <w:sz w:val="22"/>
          <w:szCs w:val="22"/>
        </w:rPr>
      </w:pPr>
    </w:p>
    <w:p w:rsidR="007142EE" w:rsidRPr="00304864" w:rsidRDefault="007142EE">
      <w:pPr>
        <w:rPr>
          <w:rFonts w:ascii="Arial" w:hAnsi="Arial" w:cs="Arial"/>
          <w:sz w:val="22"/>
          <w:szCs w:val="22"/>
        </w:rPr>
      </w:pPr>
    </w:p>
    <w:p w:rsidR="00DF4E40" w:rsidRPr="00A30AEC" w:rsidRDefault="00DF4E40">
      <w:pPr>
        <w:pStyle w:val="Text2"/>
        <w:ind w:left="0"/>
        <w:rPr>
          <w:rFonts w:ascii="Arial" w:hAnsi="Arial" w:cs="Arial"/>
          <w:b/>
          <w:color w:val="0F243E"/>
          <w:sz w:val="22"/>
          <w:szCs w:val="22"/>
        </w:rPr>
      </w:pPr>
      <w:r w:rsidRPr="00A30AEC">
        <w:rPr>
          <w:rFonts w:ascii="Arial" w:hAnsi="Arial" w:cs="Arial"/>
          <w:b/>
          <w:color w:val="0F243E"/>
          <w:sz w:val="22"/>
          <w:szCs w:val="22"/>
        </w:rPr>
        <w:t>Table 22: Body or bodies carrying out control and audit tasks</w:t>
      </w:r>
    </w:p>
    <w:p w:rsidR="00DF4E40" w:rsidRDefault="00DF4E40">
      <w:pPr>
        <w:rPr>
          <w:rFonts w:ascii="Arial" w:hAnsi="Arial" w:cs="Arial"/>
          <w:sz w:val="22"/>
          <w:szCs w:val="22"/>
        </w:rPr>
      </w:pPr>
      <w:r w:rsidRPr="00A30AEC">
        <w:rPr>
          <w:rFonts w:ascii="Arial" w:hAnsi="Arial" w:cs="Arial"/>
          <w:sz w:val="22"/>
          <w:szCs w:val="22"/>
        </w:rPr>
        <w:t>(Reference: point (a)(ii) and (iii) of Article 8(4) of Regulation (EU) No 1299/2013)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5"/>
        <w:gridCol w:w="3320"/>
        <w:gridCol w:w="3409"/>
      </w:tblGrid>
      <w:tr w:rsidR="006D2D5E" w:rsidRPr="004C5DFD" w:rsidTr="004C5DFD">
        <w:trPr>
          <w:jc w:val="center"/>
        </w:trPr>
        <w:tc>
          <w:tcPr>
            <w:tcW w:w="3125" w:type="dxa"/>
            <w:shd w:val="clear" w:color="auto" w:fill="DBE5F1"/>
          </w:tcPr>
          <w:p w:rsidR="006D2D5E" w:rsidRPr="004C5DFD" w:rsidRDefault="006D2D5E" w:rsidP="004C5DFD">
            <w:pPr>
              <w:jc w:val="center"/>
              <w:rPr>
                <w:rFonts w:ascii="Arial" w:hAnsi="Arial" w:cs="Arial"/>
                <w:b/>
                <w:sz w:val="20"/>
              </w:rPr>
            </w:pPr>
            <w:r w:rsidRPr="004C5DFD">
              <w:rPr>
                <w:rFonts w:ascii="Arial" w:hAnsi="Arial" w:cs="Arial"/>
                <w:b/>
                <w:sz w:val="20"/>
              </w:rPr>
              <w:t>Authority/Body</w:t>
            </w:r>
          </w:p>
        </w:tc>
        <w:tc>
          <w:tcPr>
            <w:tcW w:w="3320" w:type="dxa"/>
            <w:shd w:val="clear" w:color="auto" w:fill="DBE5F1"/>
          </w:tcPr>
          <w:p w:rsidR="006D2D5E" w:rsidRPr="004C5DFD" w:rsidRDefault="006D2D5E" w:rsidP="004C5DFD">
            <w:pPr>
              <w:jc w:val="center"/>
              <w:rPr>
                <w:rFonts w:ascii="Arial" w:hAnsi="Arial" w:cs="Arial"/>
                <w:b/>
                <w:sz w:val="20"/>
              </w:rPr>
            </w:pPr>
            <w:r w:rsidRPr="004C5DFD">
              <w:rPr>
                <w:rFonts w:ascii="Arial" w:hAnsi="Arial" w:cs="Arial"/>
                <w:b/>
                <w:sz w:val="20"/>
              </w:rPr>
              <w:t>Name of the Authority/Body and Department or Unit</w:t>
            </w:r>
          </w:p>
        </w:tc>
        <w:tc>
          <w:tcPr>
            <w:tcW w:w="3409" w:type="dxa"/>
            <w:shd w:val="clear" w:color="auto" w:fill="DBE5F1"/>
          </w:tcPr>
          <w:p w:rsidR="006D2D5E" w:rsidRPr="004C5DFD" w:rsidRDefault="006D2D5E" w:rsidP="004C5DFD">
            <w:pPr>
              <w:jc w:val="center"/>
              <w:rPr>
                <w:rFonts w:ascii="Arial" w:hAnsi="Arial" w:cs="Arial"/>
                <w:b/>
                <w:sz w:val="20"/>
              </w:rPr>
            </w:pPr>
            <w:r w:rsidRPr="004C5DFD">
              <w:rPr>
                <w:rFonts w:ascii="Arial" w:hAnsi="Arial" w:cs="Arial"/>
                <w:b/>
                <w:sz w:val="20"/>
              </w:rPr>
              <w:t>Head of the Authority/Body</w:t>
            </w:r>
          </w:p>
        </w:tc>
      </w:tr>
      <w:tr w:rsidR="006D2D5E" w:rsidRPr="004C5DFD" w:rsidTr="004C5DFD">
        <w:trPr>
          <w:jc w:val="center"/>
        </w:trPr>
        <w:tc>
          <w:tcPr>
            <w:tcW w:w="3125" w:type="dxa"/>
          </w:tcPr>
          <w:p w:rsidR="006D2D5E" w:rsidRPr="004C5DFD" w:rsidRDefault="006D2D5E" w:rsidP="004C5DFD">
            <w:pPr>
              <w:rPr>
                <w:rFonts w:ascii="Arial" w:hAnsi="Arial" w:cs="Arial"/>
                <w:b/>
                <w:sz w:val="20"/>
              </w:rPr>
            </w:pPr>
            <w:r w:rsidRPr="004C5DFD">
              <w:rPr>
                <w:rFonts w:ascii="Arial" w:hAnsi="Arial" w:cs="Arial"/>
                <w:b/>
                <w:sz w:val="20"/>
              </w:rPr>
              <w:t>Body or bodies designated to carry out control tasks</w:t>
            </w:r>
          </w:p>
        </w:tc>
        <w:tc>
          <w:tcPr>
            <w:tcW w:w="3320" w:type="dxa"/>
          </w:tcPr>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Nationally appointed responsible bodies for centralised and decentralised control systems as defined in Article 125 (4) (a) of Regulation (EU) N. 1303/2013 (CPR) and Article 23 (4) of Regulation (EU) N. 1299/2013 (ETC)</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b/>
                <w:sz w:val="20"/>
                <w:szCs w:val="20"/>
              </w:rPr>
            </w:pPr>
            <w:r w:rsidRPr="004C5DFD">
              <w:rPr>
                <w:rFonts w:ascii="Arial" w:hAnsi="Arial" w:cs="Arial"/>
                <w:b/>
                <w:sz w:val="20"/>
                <w:szCs w:val="20"/>
              </w:rPr>
              <w:t>Albania</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Ministry of European Integration,</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Directorate of Cross-Border and Transnational Cooperation Programmes</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Blv. “Dëshmorët e Kombit”, Sheshi “NënëTereza” 1010, Tirana</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Style w:val="Strong"/>
                <w:rFonts w:ascii="Arial" w:hAnsi="Arial" w:cs="Arial"/>
                <w:bCs/>
                <w:sz w:val="20"/>
                <w:szCs w:val="20"/>
                <w:lang w:val="en-US"/>
              </w:rPr>
            </w:pPr>
            <w:r w:rsidRPr="004C5DFD">
              <w:rPr>
                <w:rStyle w:val="Strong"/>
                <w:rFonts w:ascii="Arial" w:hAnsi="Arial" w:cs="Arial"/>
                <w:bCs/>
                <w:sz w:val="20"/>
                <w:szCs w:val="20"/>
                <w:lang w:val="en-US"/>
              </w:rPr>
              <w:t>Bosnia and Herzegovina</w:t>
            </w:r>
          </w:p>
          <w:p w:rsidR="006D2D5E" w:rsidRPr="004C5DFD" w:rsidRDefault="006D2D5E" w:rsidP="004C5DFD">
            <w:pPr>
              <w:pStyle w:val="Contenutotabella"/>
              <w:rPr>
                <w:rFonts w:ascii="Arial" w:hAnsi="Arial" w:cs="Arial"/>
                <w:sz w:val="20"/>
                <w:szCs w:val="20"/>
                <w:lang w:val="en-US"/>
              </w:rPr>
            </w:pPr>
            <w:r w:rsidRPr="004C5DFD">
              <w:rPr>
                <w:rFonts w:ascii="Arial" w:hAnsi="Arial" w:cs="Arial"/>
                <w:sz w:val="20"/>
                <w:szCs w:val="20"/>
                <w:lang w:val="en-US"/>
              </w:rPr>
              <w:t>Ministry of Finance and Treasury BiH</w:t>
            </w:r>
            <w:r w:rsidRPr="002E0F24">
              <w:rPr>
                <w:rFonts w:ascii="Arial" w:hAnsi="Arial" w:cs="Arial"/>
                <w:sz w:val="20"/>
                <w:szCs w:val="20"/>
                <w:lang w:val="en-US"/>
              </w:rPr>
              <w:t>, Sector for Financing of the EU assistance Programmes and Projects</w:t>
            </w:r>
            <w:r w:rsidR="00DD5E62" w:rsidRPr="002E0F24">
              <w:rPr>
                <w:rFonts w:ascii="Arial" w:hAnsi="Arial" w:cs="Arial"/>
                <w:sz w:val="20"/>
                <w:szCs w:val="20"/>
                <w:lang w:val="en-US"/>
              </w:rPr>
              <w:t>,</w:t>
            </w:r>
            <w:r w:rsidRPr="002E0F24">
              <w:rPr>
                <w:rFonts w:ascii="Arial" w:hAnsi="Arial" w:cs="Arial"/>
                <w:sz w:val="20"/>
                <w:szCs w:val="20"/>
                <w:lang w:val="en-US"/>
              </w:rPr>
              <w:t xml:space="preserve"> Central Financing and Contracting</w:t>
            </w:r>
            <w:r w:rsidRPr="004C5DFD">
              <w:rPr>
                <w:rFonts w:ascii="Arial" w:hAnsi="Arial" w:cs="Arial"/>
                <w:sz w:val="20"/>
                <w:szCs w:val="20"/>
                <w:lang w:val="en-US"/>
              </w:rPr>
              <w:t xml:space="preserve"> Unit (CFCU)</w:t>
            </w:r>
          </w:p>
          <w:p w:rsidR="006D2D5E" w:rsidRPr="004C5DFD" w:rsidRDefault="006D2D5E" w:rsidP="004C5DFD">
            <w:pPr>
              <w:pStyle w:val="Contenutotabella"/>
              <w:rPr>
                <w:rFonts w:ascii="Arial" w:hAnsi="Arial" w:cs="Arial"/>
                <w:sz w:val="20"/>
                <w:szCs w:val="20"/>
                <w:lang w:val="en-US"/>
              </w:rPr>
            </w:pPr>
            <w:r w:rsidRPr="004C5DFD">
              <w:rPr>
                <w:rFonts w:ascii="Arial" w:hAnsi="Arial" w:cs="Arial"/>
                <w:sz w:val="20"/>
                <w:szCs w:val="20"/>
                <w:lang w:val="en-US"/>
              </w:rPr>
              <w:t>TrgBiH 1, 71000 Sarajevo</w:t>
            </w:r>
          </w:p>
          <w:p w:rsidR="006D2D5E" w:rsidRPr="004C5DFD" w:rsidRDefault="006D2D5E" w:rsidP="004C5DFD">
            <w:pPr>
              <w:pStyle w:val="Contenutotabella"/>
              <w:rPr>
                <w:rFonts w:ascii="Arial" w:hAnsi="Arial" w:cs="Arial"/>
                <w:sz w:val="20"/>
                <w:szCs w:val="20"/>
                <w:lang w:val="en-US"/>
              </w:rPr>
            </w:pPr>
          </w:p>
          <w:p w:rsidR="006D2D5E" w:rsidRPr="004C5DFD" w:rsidRDefault="006D2D5E" w:rsidP="004C5DFD">
            <w:pPr>
              <w:pStyle w:val="Contenutotabella"/>
              <w:rPr>
                <w:rStyle w:val="Strong"/>
                <w:rFonts w:ascii="Arial" w:hAnsi="Arial" w:cs="Arial"/>
                <w:bCs/>
                <w:sz w:val="20"/>
                <w:szCs w:val="20"/>
                <w:lang w:val="en-US"/>
              </w:rPr>
            </w:pPr>
            <w:r w:rsidRPr="004C5DFD">
              <w:rPr>
                <w:rStyle w:val="Strong"/>
                <w:rFonts w:ascii="Arial" w:hAnsi="Arial" w:cs="Arial"/>
                <w:bCs/>
                <w:sz w:val="20"/>
                <w:szCs w:val="20"/>
                <w:lang w:val="en-US"/>
              </w:rPr>
              <w:t>Croatia</w:t>
            </w:r>
          </w:p>
          <w:p w:rsidR="006D2D5E" w:rsidRPr="004C5DFD" w:rsidRDefault="006D2D5E" w:rsidP="004C5DFD">
            <w:pPr>
              <w:pStyle w:val="Contenutotabella"/>
              <w:rPr>
                <w:rStyle w:val="Strong"/>
                <w:rFonts w:ascii="Arial" w:hAnsi="Arial" w:cs="Arial"/>
                <w:b w:val="0"/>
                <w:bCs/>
                <w:sz w:val="20"/>
                <w:szCs w:val="20"/>
                <w:lang w:val="en-US"/>
              </w:rPr>
            </w:pPr>
            <w:r w:rsidRPr="004C5DFD">
              <w:rPr>
                <w:rStyle w:val="Strong"/>
                <w:rFonts w:ascii="Arial" w:hAnsi="Arial" w:cs="Arial"/>
                <w:b w:val="0"/>
                <w:bCs/>
                <w:sz w:val="20"/>
                <w:szCs w:val="20"/>
                <w:lang w:val="en-US"/>
              </w:rPr>
              <w:t>Agency for Regional Development of the Republic of Croatia (ARD)</w:t>
            </w:r>
          </w:p>
          <w:p w:rsidR="006D2D5E" w:rsidRPr="004C5DFD" w:rsidRDefault="006D2D5E" w:rsidP="004C5DFD">
            <w:pPr>
              <w:pStyle w:val="Contenutotabella"/>
              <w:rPr>
                <w:rStyle w:val="Strong"/>
                <w:rFonts w:ascii="Arial" w:hAnsi="Arial" w:cs="Arial"/>
                <w:b w:val="0"/>
                <w:bCs/>
                <w:sz w:val="20"/>
                <w:szCs w:val="20"/>
                <w:lang w:val="en-US"/>
              </w:rPr>
            </w:pPr>
            <w:r w:rsidRPr="004C5DFD">
              <w:rPr>
                <w:rStyle w:val="Strong"/>
                <w:rFonts w:ascii="Arial" w:hAnsi="Arial" w:cs="Arial"/>
                <w:b w:val="0"/>
                <w:sz w:val="20"/>
                <w:szCs w:val="20"/>
                <w:lang w:val="en-US"/>
              </w:rPr>
              <w:t>Directorate for Financial Management and Accounting/First Level Control Service</w:t>
            </w:r>
          </w:p>
          <w:p w:rsidR="006D2D5E" w:rsidRPr="004C5DFD" w:rsidRDefault="006D2D5E" w:rsidP="004C5DFD">
            <w:pPr>
              <w:pStyle w:val="Contenutotabella"/>
              <w:rPr>
                <w:rStyle w:val="Strong"/>
                <w:rFonts w:ascii="Arial" w:hAnsi="Arial" w:cs="Arial"/>
                <w:b w:val="0"/>
                <w:sz w:val="20"/>
                <w:szCs w:val="20"/>
                <w:lang w:val="en-US"/>
              </w:rPr>
            </w:pPr>
            <w:r w:rsidRPr="004C5DFD">
              <w:rPr>
                <w:rStyle w:val="Strong"/>
                <w:rFonts w:ascii="Arial" w:hAnsi="Arial" w:cs="Arial"/>
                <w:b w:val="0"/>
                <w:sz w:val="20"/>
                <w:szCs w:val="20"/>
                <w:lang w:val="en-US"/>
              </w:rPr>
              <w:t>Vlaška 108, 10 000 Zagreb</w:t>
            </w:r>
          </w:p>
          <w:p w:rsidR="006D2D5E" w:rsidRPr="004C5DFD" w:rsidRDefault="006D2D5E" w:rsidP="004C5DFD">
            <w:pPr>
              <w:pStyle w:val="Contenutotabella"/>
              <w:rPr>
                <w:rStyle w:val="Strong"/>
                <w:rFonts w:ascii="Arial" w:hAnsi="Arial" w:cs="Arial"/>
                <w:b w:val="0"/>
                <w:bCs/>
                <w:sz w:val="20"/>
                <w:szCs w:val="20"/>
                <w:lang w:val="en-US"/>
              </w:rPr>
            </w:pPr>
          </w:p>
          <w:p w:rsidR="006D2D5E" w:rsidRPr="004C5DFD" w:rsidRDefault="006D2D5E" w:rsidP="004C5DFD">
            <w:pPr>
              <w:pStyle w:val="Contenutotabella"/>
              <w:rPr>
                <w:rFonts w:ascii="Arial" w:hAnsi="Arial" w:cs="Arial"/>
                <w:b/>
                <w:sz w:val="20"/>
                <w:szCs w:val="20"/>
                <w:lang w:val="en-US"/>
              </w:rPr>
            </w:pPr>
            <w:r w:rsidRPr="004C5DFD">
              <w:rPr>
                <w:rFonts w:ascii="Arial" w:hAnsi="Arial" w:cs="Arial"/>
                <w:b/>
                <w:sz w:val="20"/>
                <w:szCs w:val="20"/>
                <w:lang w:val="en-US"/>
              </w:rPr>
              <w:t>Greece</w:t>
            </w:r>
          </w:p>
          <w:p w:rsidR="006D2D5E" w:rsidRPr="004C5DFD" w:rsidRDefault="006D2D5E" w:rsidP="004C5DFD">
            <w:pPr>
              <w:pStyle w:val="Contenutotabella"/>
              <w:rPr>
                <w:rStyle w:val="Strong"/>
                <w:rFonts w:ascii="Arial" w:hAnsi="Arial" w:cs="Arial"/>
                <w:b w:val="0"/>
                <w:sz w:val="20"/>
                <w:szCs w:val="20"/>
              </w:rPr>
            </w:pPr>
            <w:r w:rsidRPr="004C5DFD">
              <w:rPr>
                <w:rStyle w:val="Strong"/>
                <w:rFonts w:ascii="Arial" w:hAnsi="Arial" w:cs="Arial"/>
                <w:b w:val="0"/>
                <w:sz w:val="20"/>
                <w:szCs w:val="20"/>
              </w:rPr>
              <w:t>Certifying and Verifying Authority,</w:t>
            </w:r>
          </w:p>
          <w:p w:rsidR="006D2D5E" w:rsidRPr="004C5DFD" w:rsidRDefault="006D2D5E" w:rsidP="004C5DFD">
            <w:pPr>
              <w:pStyle w:val="Contenutotabella"/>
              <w:rPr>
                <w:rStyle w:val="Strong"/>
                <w:rFonts w:ascii="Arial" w:hAnsi="Arial" w:cs="Arial"/>
                <w:b w:val="0"/>
                <w:sz w:val="20"/>
                <w:szCs w:val="20"/>
              </w:rPr>
            </w:pPr>
            <w:r w:rsidRPr="004C5DFD">
              <w:rPr>
                <w:rStyle w:val="Strong"/>
                <w:rFonts w:ascii="Arial" w:hAnsi="Arial" w:cs="Arial"/>
                <w:b w:val="0"/>
                <w:sz w:val="20"/>
                <w:szCs w:val="20"/>
              </w:rPr>
              <w:t>First Level Control Unit,</w:t>
            </w:r>
          </w:p>
          <w:p w:rsidR="006D2D5E" w:rsidRPr="004C5DFD" w:rsidRDefault="006D2D5E" w:rsidP="004C5DFD">
            <w:pPr>
              <w:pStyle w:val="Contenutotabella"/>
              <w:rPr>
                <w:rStyle w:val="Strong"/>
                <w:rFonts w:ascii="Arial" w:hAnsi="Arial" w:cs="Arial"/>
                <w:b w:val="0"/>
                <w:sz w:val="20"/>
                <w:szCs w:val="20"/>
              </w:rPr>
            </w:pPr>
            <w:r w:rsidRPr="004C5DFD">
              <w:rPr>
                <w:rStyle w:val="Strong"/>
                <w:rFonts w:ascii="Arial" w:hAnsi="Arial" w:cs="Arial"/>
                <w:b w:val="0"/>
                <w:sz w:val="20"/>
                <w:szCs w:val="20"/>
              </w:rPr>
              <w:t>NavarchouNikodimou 11,</w:t>
            </w:r>
          </w:p>
          <w:p w:rsidR="006D2D5E" w:rsidRPr="004C5DFD" w:rsidRDefault="006D2D5E" w:rsidP="004C5DFD">
            <w:pPr>
              <w:pStyle w:val="Contenutotabella"/>
              <w:rPr>
                <w:rStyle w:val="Strong"/>
                <w:rFonts w:ascii="Arial" w:hAnsi="Arial" w:cs="Arial"/>
                <w:b w:val="0"/>
                <w:sz w:val="20"/>
                <w:szCs w:val="20"/>
              </w:rPr>
            </w:pPr>
            <w:r w:rsidRPr="004C5DFD">
              <w:rPr>
                <w:rStyle w:val="Strong"/>
                <w:rFonts w:ascii="Arial" w:hAnsi="Arial" w:cs="Arial"/>
                <w:b w:val="0"/>
                <w:sz w:val="20"/>
                <w:szCs w:val="20"/>
              </w:rPr>
              <w:t>GR-105 58 Athens</w:t>
            </w:r>
          </w:p>
          <w:p w:rsidR="006D2D5E" w:rsidRPr="004C5DFD" w:rsidRDefault="006D2D5E" w:rsidP="004C5DFD">
            <w:pPr>
              <w:pStyle w:val="Contenutotabella"/>
              <w:rPr>
                <w:rStyle w:val="Strong"/>
                <w:rFonts w:ascii="Arial" w:hAnsi="Arial" w:cs="Arial"/>
                <w:sz w:val="20"/>
                <w:szCs w:val="20"/>
              </w:rPr>
            </w:pPr>
          </w:p>
          <w:p w:rsidR="006D2D5E" w:rsidRPr="004C5DFD" w:rsidRDefault="006D2D5E" w:rsidP="004C5DFD">
            <w:pPr>
              <w:pStyle w:val="Contenutotabella"/>
              <w:rPr>
                <w:rFonts w:ascii="Arial" w:hAnsi="Arial" w:cs="Arial"/>
                <w:b/>
                <w:color w:val="000000"/>
                <w:sz w:val="20"/>
                <w:szCs w:val="20"/>
              </w:rPr>
            </w:pPr>
            <w:r w:rsidRPr="004C5DFD">
              <w:rPr>
                <w:rFonts w:ascii="Arial" w:hAnsi="Arial" w:cs="Arial"/>
                <w:b/>
                <w:color w:val="000000"/>
                <w:sz w:val="20"/>
                <w:szCs w:val="20"/>
              </w:rPr>
              <w:t>Italy</w:t>
            </w:r>
          </w:p>
          <w:p w:rsidR="00F1656D" w:rsidRPr="009333ED" w:rsidRDefault="00F1656D" w:rsidP="00F1656D">
            <w:pPr>
              <w:pStyle w:val="Contenutotabella"/>
              <w:rPr>
                <w:rFonts w:ascii="Arial" w:hAnsi="Arial" w:cs="Arial"/>
                <w:iCs/>
                <w:color w:val="000000"/>
                <w:sz w:val="20"/>
                <w:szCs w:val="20"/>
              </w:rPr>
            </w:pPr>
            <w:r w:rsidRPr="009333ED">
              <w:rPr>
                <w:rFonts w:ascii="Arial" w:hAnsi="Arial" w:cs="Arial"/>
                <w:iCs/>
                <w:color w:val="000000"/>
                <w:sz w:val="20"/>
                <w:szCs w:val="20"/>
              </w:rPr>
              <w:t>Agency for the Territorial Cohesion</w:t>
            </w:r>
          </w:p>
          <w:p w:rsidR="00F1656D" w:rsidRPr="002E0F24" w:rsidRDefault="00F1656D" w:rsidP="00F1656D">
            <w:pPr>
              <w:pStyle w:val="Contenutotabella"/>
              <w:rPr>
                <w:rFonts w:ascii="Arial" w:hAnsi="Arial" w:cs="Arial"/>
                <w:sz w:val="20"/>
                <w:szCs w:val="20"/>
                <w:lang w:val="it-IT"/>
              </w:rPr>
            </w:pPr>
            <w:r w:rsidRPr="002E0F24">
              <w:rPr>
                <w:rFonts w:ascii="Arial" w:hAnsi="Arial" w:cs="Arial"/>
                <w:sz w:val="20"/>
                <w:szCs w:val="20"/>
                <w:lang w:val="it-IT"/>
              </w:rPr>
              <w:t>Via Sicilia, 162/c</w:t>
            </w:r>
          </w:p>
          <w:p w:rsidR="00F1656D" w:rsidRPr="002E0F24" w:rsidRDefault="00F1656D" w:rsidP="00F1656D">
            <w:pPr>
              <w:pStyle w:val="Contenutotabella"/>
              <w:rPr>
                <w:rFonts w:ascii="Arial" w:hAnsi="Arial" w:cs="Arial"/>
                <w:sz w:val="20"/>
                <w:szCs w:val="20"/>
                <w:lang w:val="it-IT"/>
              </w:rPr>
            </w:pPr>
            <w:r w:rsidRPr="002E0F24">
              <w:rPr>
                <w:rFonts w:ascii="Arial" w:hAnsi="Arial" w:cs="Arial"/>
                <w:sz w:val="20"/>
                <w:szCs w:val="20"/>
                <w:lang w:val="it-IT"/>
              </w:rPr>
              <w:t>IT – 00187 Rome</w:t>
            </w:r>
          </w:p>
          <w:p w:rsidR="00F1656D" w:rsidRPr="002E0F24" w:rsidRDefault="00F1656D" w:rsidP="004C5DFD">
            <w:pPr>
              <w:pStyle w:val="Contenutotabella"/>
              <w:rPr>
                <w:rFonts w:ascii="Arial" w:hAnsi="Arial" w:cs="Arial"/>
                <w:i/>
                <w:iCs/>
                <w:color w:val="000000"/>
                <w:sz w:val="20"/>
                <w:szCs w:val="20"/>
                <w:lang w:val="it-IT"/>
              </w:rPr>
            </w:pPr>
          </w:p>
          <w:p w:rsidR="006D2D5E" w:rsidRPr="002E0F24" w:rsidRDefault="006D2D5E" w:rsidP="004C5DFD">
            <w:pPr>
              <w:pStyle w:val="Contenutotabella"/>
              <w:rPr>
                <w:rFonts w:ascii="Arial" w:hAnsi="Arial" w:cs="Arial"/>
                <w:b/>
                <w:color w:val="000000"/>
                <w:sz w:val="20"/>
                <w:szCs w:val="20"/>
                <w:lang w:val="it-IT"/>
              </w:rPr>
            </w:pPr>
            <w:r w:rsidRPr="002E0F24">
              <w:rPr>
                <w:rFonts w:ascii="Arial" w:hAnsi="Arial" w:cs="Arial"/>
                <w:b/>
                <w:color w:val="000000"/>
                <w:sz w:val="20"/>
                <w:szCs w:val="20"/>
                <w:lang w:val="it-IT"/>
              </w:rPr>
              <w:t>Montenegro</w:t>
            </w:r>
          </w:p>
          <w:p w:rsidR="00F1656D" w:rsidRPr="009333ED" w:rsidRDefault="00F1656D" w:rsidP="00F1656D">
            <w:pPr>
              <w:pStyle w:val="Contenutotabella"/>
              <w:rPr>
                <w:rStyle w:val="Strong"/>
                <w:rFonts w:ascii="Arial" w:hAnsi="Arial" w:cs="Mangal"/>
                <w:b w:val="0"/>
                <w:sz w:val="20"/>
                <w:szCs w:val="20"/>
              </w:rPr>
            </w:pPr>
            <w:r w:rsidRPr="009333ED">
              <w:rPr>
                <w:rStyle w:val="Strong"/>
                <w:rFonts w:ascii="Arial" w:hAnsi="Arial" w:cs="Mangal"/>
                <w:b w:val="0"/>
                <w:sz w:val="20"/>
                <w:szCs w:val="20"/>
              </w:rPr>
              <w:t>Ministry of Finance, Directorate for Finance and Contracting of the EU Assistance Funds (CFCU)</w:t>
            </w:r>
          </w:p>
          <w:p w:rsidR="00F1656D" w:rsidRDefault="00F1656D" w:rsidP="00F1656D">
            <w:pPr>
              <w:pStyle w:val="Contenutotabella"/>
              <w:rPr>
                <w:rFonts w:ascii="Arial" w:hAnsi="Arial" w:cs="Arial"/>
                <w:i/>
                <w:iCs/>
                <w:color w:val="000000"/>
                <w:sz w:val="20"/>
                <w:szCs w:val="20"/>
              </w:rPr>
            </w:pPr>
            <w:r w:rsidRPr="009333ED">
              <w:rPr>
                <w:rStyle w:val="Strong"/>
                <w:rFonts w:ascii="Arial" w:hAnsi="Arial" w:cs="Arial"/>
                <w:b w:val="0"/>
                <w:sz w:val="20"/>
              </w:rPr>
              <w:t>StankaDragojevića 2, 81000 Podgorica, Montenegro</w:t>
            </w:r>
          </w:p>
          <w:p w:rsidR="006D2D5E" w:rsidRPr="004C5DFD" w:rsidRDefault="006D2D5E" w:rsidP="004C5DFD">
            <w:pPr>
              <w:pStyle w:val="Contenutotabella"/>
              <w:rPr>
                <w:rFonts w:ascii="Arial" w:hAnsi="Arial" w:cs="Arial"/>
                <w:color w:val="000000"/>
                <w:sz w:val="20"/>
                <w:szCs w:val="20"/>
              </w:rPr>
            </w:pPr>
          </w:p>
          <w:p w:rsidR="006D2D5E" w:rsidRPr="004C5DFD" w:rsidRDefault="006D2D5E" w:rsidP="004C5DFD">
            <w:pPr>
              <w:pStyle w:val="Contenutotabella"/>
              <w:rPr>
                <w:rFonts w:ascii="Arial" w:hAnsi="Arial" w:cs="Arial"/>
                <w:b/>
                <w:color w:val="000000"/>
                <w:sz w:val="20"/>
                <w:szCs w:val="20"/>
              </w:rPr>
            </w:pPr>
            <w:r w:rsidRPr="004C5DFD">
              <w:rPr>
                <w:rFonts w:ascii="Arial" w:hAnsi="Arial" w:cs="Arial"/>
                <w:b/>
                <w:color w:val="000000"/>
                <w:sz w:val="20"/>
                <w:szCs w:val="20"/>
              </w:rPr>
              <w:t>Serbia</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Ministry of Finance, Department for Contracting and Financing of EU Funded Programmes (CFCU),</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Division for FLC</w:t>
            </w:r>
          </w:p>
          <w:p w:rsidR="006D2D5E" w:rsidRPr="004C5DFD" w:rsidRDefault="006D2D5E" w:rsidP="004C5DFD">
            <w:pPr>
              <w:rPr>
                <w:rFonts w:ascii="Arial" w:hAnsi="Arial" w:cs="Arial"/>
                <w:sz w:val="20"/>
              </w:rPr>
            </w:pPr>
            <w:r w:rsidRPr="004C5DFD">
              <w:rPr>
                <w:rFonts w:ascii="Arial" w:hAnsi="Arial" w:cs="Arial"/>
                <w:sz w:val="20"/>
              </w:rPr>
              <w:t xml:space="preserve">Sremska 3-5, 11000 Belgrade </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b/>
                <w:sz w:val="20"/>
                <w:szCs w:val="20"/>
              </w:rPr>
            </w:pPr>
            <w:r w:rsidRPr="004C5DFD">
              <w:rPr>
                <w:rFonts w:ascii="Arial" w:hAnsi="Arial" w:cs="Arial"/>
                <w:b/>
                <w:sz w:val="20"/>
                <w:szCs w:val="20"/>
              </w:rPr>
              <w:t>Slovenia</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Government Office for Development and European Cohesion Policy (GODC),</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Control Division – ETC, IPA and IFM Programmes</w:t>
            </w:r>
          </w:p>
          <w:p w:rsidR="006D2D5E" w:rsidRPr="004C5DFD" w:rsidRDefault="006D2D5E" w:rsidP="004C5DFD">
            <w:pPr>
              <w:rPr>
                <w:rFonts w:ascii="Arial" w:hAnsi="Arial" w:cs="Arial"/>
                <w:sz w:val="20"/>
              </w:rPr>
            </w:pPr>
            <w:r w:rsidRPr="004C5DFD">
              <w:rPr>
                <w:rFonts w:ascii="Arial" w:hAnsi="Arial" w:cs="Arial"/>
                <w:sz w:val="20"/>
              </w:rPr>
              <w:t>Kotnikova 5, 1000 Ljubljana</w:t>
            </w:r>
          </w:p>
        </w:tc>
        <w:tc>
          <w:tcPr>
            <w:tcW w:w="3409" w:type="dxa"/>
          </w:tcPr>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highlight w:val="yellow"/>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Head of Directorate of Cross-Border and Transnational Cooperation Programmes</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Assistant Minister</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Head of FLC Service</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Head of FLC Unit</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F1656D" w:rsidRPr="004C5DFD" w:rsidRDefault="00F1656D" w:rsidP="00F1656D">
            <w:pPr>
              <w:pStyle w:val="Contenutotabella"/>
              <w:rPr>
                <w:rFonts w:ascii="Arial" w:hAnsi="Arial" w:cs="Arial"/>
                <w:sz w:val="20"/>
                <w:szCs w:val="20"/>
              </w:rPr>
            </w:pPr>
            <w:r>
              <w:rPr>
                <w:rFonts w:ascii="Arial" w:hAnsi="Arial" w:cs="Arial"/>
                <w:sz w:val="20"/>
                <w:szCs w:val="20"/>
              </w:rPr>
              <w:t>Structure to be defined</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F1656D" w:rsidRPr="002E0F24" w:rsidRDefault="00F1656D" w:rsidP="00F1656D">
            <w:pPr>
              <w:pStyle w:val="Contenutotabella"/>
              <w:rPr>
                <w:rStyle w:val="Strong"/>
                <w:rFonts w:ascii="Arial" w:hAnsi="Arial" w:cs="Mangal"/>
                <w:b w:val="0"/>
                <w:sz w:val="20"/>
                <w:szCs w:val="20"/>
              </w:rPr>
            </w:pPr>
            <w:r w:rsidRPr="002E0F24">
              <w:rPr>
                <w:rStyle w:val="Strong"/>
                <w:rFonts w:ascii="Arial" w:hAnsi="Arial" w:cs="Mangal"/>
                <w:b w:val="0"/>
                <w:sz w:val="20"/>
                <w:szCs w:val="20"/>
              </w:rPr>
              <w:t>Deputy Minister for Finance and Contracting of the EU Assistance Funds (CFCU), responsible for control tasks</w:t>
            </w:r>
          </w:p>
          <w:p w:rsidR="006D2D5E" w:rsidRPr="004C5DFD" w:rsidRDefault="006D2D5E" w:rsidP="004C5DFD">
            <w:pPr>
              <w:pStyle w:val="Contenutotabella"/>
              <w:rPr>
                <w:rFonts w:ascii="Arial" w:hAnsi="Arial" w:cs="Arial"/>
                <w:sz w:val="20"/>
                <w:szCs w:val="20"/>
              </w:rPr>
            </w:pPr>
          </w:p>
          <w:p w:rsidR="006D2D5E" w:rsidRDefault="006D2D5E" w:rsidP="004C5DFD">
            <w:pPr>
              <w:pStyle w:val="Contenutotabella"/>
              <w:rPr>
                <w:rFonts w:ascii="Arial" w:hAnsi="Arial" w:cs="Arial"/>
                <w:sz w:val="20"/>
                <w:szCs w:val="20"/>
              </w:rPr>
            </w:pPr>
          </w:p>
          <w:p w:rsidR="00DD5E62" w:rsidRPr="004C5DFD" w:rsidRDefault="00DD5E62" w:rsidP="004C5DFD">
            <w:pPr>
              <w:pStyle w:val="Contenutotabella"/>
              <w:rPr>
                <w:rFonts w:ascii="Arial" w:hAnsi="Arial" w:cs="Arial"/>
                <w:sz w:val="20"/>
                <w:szCs w:val="20"/>
              </w:rPr>
            </w:pPr>
          </w:p>
          <w:p w:rsidR="006D2D5E" w:rsidRPr="004C5DFD" w:rsidRDefault="006D2D5E" w:rsidP="003634BE">
            <w:pPr>
              <w:rPr>
                <w:rFonts w:ascii="Arial" w:hAnsi="Arial" w:cs="Arial"/>
                <w:sz w:val="20"/>
              </w:rPr>
            </w:pPr>
            <w:r w:rsidRPr="002E0F24">
              <w:rPr>
                <w:rFonts w:ascii="Arial" w:hAnsi="Arial" w:cs="Arial"/>
                <w:sz w:val="20"/>
              </w:rPr>
              <w:t xml:space="preserve">Head of </w:t>
            </w:r>
            <w:r w:rsidR="003634BE" w:rsidRPr="002E0F24">
              <w:rPr>
                <w:rFonts w:ascii="Arial" w:hAnsi="Arial" w:cs="Arial"/>
                <w:sz w:val="20"/>
              </w:rPr>
              <w:t xml:space="preserve">First Level </w:t>
            </w:r>
            <w:r w:rsidRPr="002E0F24">
              <w:rPr>
                <w:rFonts w:ascii="Arial" w:hAnsi="Arial" w:cs="Arial"/>
                <w:sz w:val="20"/>
              </w:rPr>
              <w:t>Control Division</w:t>
            </w:r>
          </w:p>
        </w:tc>
      </w:tr>
      <w:tr w:rsidR="006D2D5E" w:rsidRPr="004C5DFD" w:rsidTr="004C5DFD">
        <w:trPr>
          <w:jc w:val="center"/>
        </w:trPr>
        <w:tc>
          <w:tcPr>
            <w:tcW w:w="3125" w:type="dxa"/>
          </w:tcPr>
          <w:p w:rsidR="006D2D5E" w:rsidRPr="004C5DFD" w:rsidRDefault="006D2D5E" w:rsidP="004C5DFD">
            <w:pPr>
              <w:rPr>
                <w:rFonts w:ascii="Arial" w:hAnsi="Arial" w:cs="Arial"/>
                <w:b/>
                <w:sz w:val="20"/>
              </w:rPr>
            </w:pPr>
            <w:r w:rsidRPr="004C5DFD">
              <w:rPr>
                <w:rFonts w:ascii="Arial" w:hAnsi="Arial" w:cs="Arial"/>
                <w:b/>
                <w:sz w:val="20"/>
              </w:rPr>
              <w:t>Body or bodies designated to carry out audit tasks</w:t>
            </w:r>
          </w:p>
        </w:tc>
        <w:tc>
          <w:tcPr>
            <w:tcW w:w="3320" w:type="dxa"/>
          </w:tcPr>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Nationally appointed responsible bodies participating in the group of auditors as defined in Article 25 (2) of Regulation (EU) N. 1299/2013 (ETC)</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b/>
                <w:sz w:val="20"/>
                <w:szCs w:val="20"/>
              </w:rPr>
            </w:pPr>
            <w:r w:rsidRPr="004C5DFD">
              <w:rPr>
                <w:rFonts w:ascii="Arial" w:hAnsi="Arial" w:cs="Arial"/>
                <w:b/>
                <w:sz w:val="20"/>
                <w:szCs w:val="20"/>
              </w:rPr>
              <w:t>Albania</w:t>
            </w:r>
          </w:p>
          <w:p w:rsidR="006D2D5E" w:rsidRPr="004C5DFD" w:rsidRDefault="006D2D5E" w:rsidP="004C5DFD">
            <w:pPr>
              <w:pStyle w:val="Contenutotabella"/>
              <w:rPr>
                <w:rStyle w:val="Strong"/>
                <w:rFonts w:ascii="Arial" w:hAnsi="Arial" w:cs="Arial"/>
                <w:b w:val="0"/>
                <w:bCs/>
                <w:sz w:val="20"/>
                <w:szCs w:val="20"/>
              </w:rPr>
            </w:pPr>
            <w:r w:rsidRPr="004C5DFD">
              <w:rPr>
                <w:rFonts w:ascii="Arial" w:hAnsi="Arial" w:cs="Arial"/>
                <w:sz w:val="20"/>
                <w:szCs w:val="20"/>
              </w:rPr>
              <w:t xml:space="preserve">Agency for the Audit of European Union Programmes Implementation System </w:t>
            </w:r>
          </w:p>
          <w:p w:rsidR="006D2D5E" w:rsidRPr="004C5DFD" w:rsidRDefault="006D2D5E" w:rsidP="004C5DFD">
            <w:pPr>
              <w:pStyle w:val="Contenutotabella"/>
              <w:rPr>
                <w:rFonts w:ascii="Arial" w:hAnsi="Arial" w:cs="Arial"/>
                <w:sz w:val="20"/>
                <w:szCs w:val="20"/>
                <w:lang w:val="it-IT"/>
              </w:rPr>
            </w:pPr>
            <w:r w:rsidRPr="004C5DFD">
              <w:rPr>
                <w:rStyle w:val="Strong"/>
                <w:rFonts w:ascii="Arial" w:hAnsi="Arial" w:cs="Arial"/>
                <w:b w:val="0"/>
                <w:bCs/>
                <w:sz w:val="20"/>
                <w:szCs w:val="20"/>
                <w:lang w:val="it-IT"/>
              </w:rPr>
              <w:t>RrugaElbasanit, Godina e ish-trikotazhitkati 4, Tirane</w:t>
            </w:r>
          </w:p>
          <w:p w:rsidR="006D2D5E" w:rsidRPr="004C5DFD" w:rsidRDefault="006D2D5E" w:rsidP="004C5DFD">
            <w:pPr>
              <w:pStyle w:val="Contenutotabella"/>
              <w:rPr>
                <w:rFonts w:ascii="Arial" w:hAnsi="Arial" w:cs="Arial"/>
                <w:sz w:val="20"/>
                <w:szCs w:val="20"/>
                <w:lang w:val="it-IT"/>
              </w:rPr>
            </w:pPr>
          </w:p>
          <w:p w:rsidR="006D2D5E" w:rsidRPr="004C5DFD" w:rsidRDefault="006D2D5E" w:rsidP="004C5DFD">
            <w:pPr>
              <w:pStyle w:val="Contenutotabella"/>
              <w:rPr>
                <w:rStyle w:val="Strong"/>
                <w:rFonts w:ascii="Arial" w:hAnsi="Arial" w:cs="Arial"/>
                <w:bCs/>
                <w:sz w:val="20"/>
                <w:szCs w:val="20"/>
              </w:rPr>
            </w:pPr>
            <w:r w:rsidRPr="004C5DFD">
              <w:rPr>
                <w:rStyle w:val="Strong"/>
                <w:rFonts w:ascii="Arial" w:hAnsi="Arial" w:cs="Arial"/>
                <w:bCs/>
                <w:sz w:val="20"/>
                <w:szCs w:val="20"/>
              </w:rPr>
              <w:t>Bosnia and Herzegovina</w:t>
            </w:r>
          </w:p>
          <w:p w:rsidR="006D2D5E" w:rsidRPr="004C5DFD" w:rsidRDefault="006D2D5E" w:rsidP="004C5DFD">
            <w:pPr>
              <w:pStyle w:val="Contenutotabella"/>
              <w:rPr>
                <w:rFonts w:ascii="Arial" w:hAnsi="Arial" w:cs="Arial"/>
                <w:sz w:val="20"/>
                <w:szCs w:val="20"/>
              </w:rPr>
            </w:pPr>
            <w:r w:rsidRPr="004C5DFD">
              <w:rPr>
                <w:rStyle w:val="Strong"/>
                <w:rFonts w:ascii="Arial" w:hAnsi="Arial" w:cs="Arial"/>
                <w:b w:val="0"/>
                <w:bCs/>
                <w:sz w:val="20"/>
                <w:szCs w:val="20"/>
              </w:rPr>
              <w:t>Ministry of Finance and Treasury of Bosnia and Herzegovina,</w:t>
            </w:r>
          </w:p>
          <w:p w:rsidR="006D2D5E" w:rsidRPr="004C5DFD" w:rsidRDefault="006D2D5E" w:rsidP="004C5DFD">
            <w:pPr>
              <w:pStyle w:val="Contenutotabella"/>
              <w:rPr>
                <w:rStyle w:val="Strong"/>
                <w:rFonts w:ascii="Arial" w:hAnsi="Arial" w:cs="Arial"/>
                <w:b w:val="0"/>
                <w:bCs/>
                <w:sz w:val="20"/>
                <w:szCs w:val="20"/>
              </w:rPr>
            </w:pPr>
            <w:r w:rsidRPr="004C5DFD">
              <w:rPr>
                <w:rFonts w:ascii="Arial" w:hAnsi="Arial" w:cs="Arial"/>
                <w:sz w:val="20"/>
                <w:szCs w:val="20"/>
              </w:rPr>
              <w:t xml:space="preserve">National Fund Department </w:t>
            </w:r>
          </w:p>
          <w:p w:rsidR="006D2D5E" w:rsidRPr="004C5DFD" w:rsidRDefault="006D2D5E" w:rsidP="004C5DFD">
            <w:pPr>
              <w:pStyle w:val="Contenutotabella"/>
              <w:rPr>
                <w:rFonts w:ascii="Arial" w:hAnsi="Arial" w:cs="Arial"/>
                <w:sz w:val="20"/>
                <w:szCs w:val="20"/>
              </w:rPr>
            </w:pPr>
            <w:r w:rsidRPr="004C5DFD">
              <w:rPr>
                <w:rStyle w:val="Strong"/>
                <w:rFonts w:ascii="Arial" w:hAnsi="Arial" w:cs="Arial"/>
                <w:b w:val="0"/>
                <w:bCs/>
                <w:sz w:val="20"/>
                <w:szCs w:val="20"/>
              </w:rPr>
              <w:t xml:space="preserve">TrgBiH 1, 71000 Sarajevo </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b/>
                <w:sz w:val="20"/>
                <w:szCs w:val="20"/>
              </w:rPr>
            </w:pPr>
            <w:r w:rsidRPr="004C5DFD">
              <w:rPr>
                <w:rFonts w:ascii="Arial" w:hAnsi="Arial" w:cs="Arial"/>
                <w:b/>
                <w:sz w:val="20"/>
                <w:szCs w:val="20"/>
              </w:rPr>
              <w:t>Croatia</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 xml:space="preserve">Agency for the Audit of European Union Programmes Implementation System </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4/V Alexandera von Humboldta Street, 10000 Zagreb</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b/>
                <w:sz w:val="20"/>
                <w:szCs w:val="20"/>
              </w:rPr>
            </w:pPr>
            <w:r w:rsidRPr="004C5DFD">
              <w:rPr>
                <w:rFonts w:ascii="Arial" w:hAnsi="Arial" w:cs="Arial"/>
                <w:b/>
                <w:sz w:val="20"/>
                <w:szCs w:val="20"/>
              </w:rPr>
              <w:t>Greece</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Hellenic Ministry of Finance,</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General Accounting Office,</w:t>
            </w:r>
          </w:p>
          <w:p w:rsidR="006D2D5E" w:rsidRPr="004C5DFD" w:rsidRDefault="006D2D5E" w:rsidP="004C5DFD">
            <w:pPr>
              <w:pStyle w:val="Contenutotabella"/>
              <w:rPr>
                <w:rFonts w:ascii="Arial" w:hAnsi="Arial" w:cs="Arial"/>
                <w:color w:val="000000"/>
                <w:sz w:val="20"/>
                <w:szCs w:val="20"/>
              </w:rPr>
            </w:pPr>
            <w:r w:rsidRPr="004C5DFD">
              <w:rPr>
                <w:rFonts w:ascii="Arial" w:hAnsi="Arial" w:cs="Arial"/>
                <w:sz w:val="20"/>
                <w:szCs w:val="20"/>
              </w:rPr>
              <w:t xml:space="preserve">Financial Audit Committee, </w:t>
            </w:r>
          </w:p>
          <w:p w:rsidR="006D2D5E" w:rsidRPr="004C5DFD" w:rsidRDefault="006D2D5E" w:rsidP="004C5DFD">
            <w:pPr>
              <w:pStyle w:val="Contenutotabella"/>
              <w:rPr>
                <w:rFonts w:ascii="Arial" w:hAnsi="Arial" w:cs="Arial"/>
                <w:color w:val="000000"/>
                <w:sz w:val="20"/>
                <w:szCs w:val="20"/>
              </w:rPr>
            </w:pPr>
            <w:r w:rsidRPr="004C5DFD">
              <w:rPr>
                <w:rFonts w:ascii="Arial" w:hAnsi="Arial" w:cs="Arial"/>
                <w:color w:val="000000"/>
                <w:sz w:val="20"/>
                <w:szCs w:val="20"/>
              </w:rPr>
              <w:t>Panepistimiou 57,</w:t>
            </w:r>
          </w:p>
          <w:p w:rsidR="006D2D5E" w:rsidRPr="004C5DFD" w:rsidRDefault="006D2D5E" w:rsidP="004C5DFD">
            <w:pPr>
              <w:pStyle w:val="Contenutotabella"/>
              <w:rPr>
                <w:rFonts w:ascii="Arial" w:hAnsi="Arial" w:cs="Arial"/>
                <w:sz w:val="20"/>
                <w:szCs w:val="20"/>
              </w:rPr>
            </w:pPr>
            <w:r w:rsidRPr="004C5DFD">
              <w:rPr>
                <w:rFonts w:ascii="Arial" w:hAnsi="Arial" w:cs="Arial"/>
                <w:color w:val="000000"/>
                <w:sz w:val="20"/>
                <w:szCs w:val="20"/>
              </w:rPr>
              <w:t>GR – 105 64 Athens</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b/>
                <w:i/>
                <w:iCs/>
                <w:color w:val="000000"/>
                <w:sz w:val="20"/>
                <w:szCs w:val="20"/>
              </w:rPr>
            </w:pPr>
            <w:r w:rsidRPr="004C5DFD">
              <w:rPr>
                <w:rFonts w:ascii="Arial" w:hAnsi="Arial" w:cs="Arial"/>
                <w:b/>
                <w:color w:val="000000"/>
                <w:sz w:val="20"/>
                <w:szCs w:val="20"/>
              </w:rPr>
              <w:t>Italy</w:t>
            </w:r>
          </w:p>
          <w:p w:rsidR="00F1656D" w:rsidRPr="004C5DFD" w:rsidRDefault="00F1656D" w:rsidP="00F1656D">
            <w:pPr>
              <w:pStyle w:val="Contenutotabella"/>
              <w:rPr>
                <w:rFonts w:ascii="Arial" w:hAnsi="Arial" w:cs="Arial"/>
                <w:sz w:val="20"/>
                <w:szCs w:val="20"/>
              </w:rPr>
            </w:pPr>
            <w:r w:rsidRPr="004C5DFD">
              <w:rPr>
                <w:rFonts w:ascii="Arial" w:hAnsi="Arial" w:cs="Arial"/>
                <w:i/>
                <w:iCs/>
                <w:color w:val="000000"/>
                <w:sz w:val="20"/>
                <w:szCs w:val="20"/>
              </w:rPr>
              <w:t>To be communicated later</w:t>
            </w:r>
          </w:p>
          <w:p w:rsidR="006D2D5E" w:rsidRPr="004C5DFD" w:rsidRDefault="006D2D5E" w:rsidP="004C5DFD">
            <w:pPr>
              <w:pStyle w:val="Contenutotabella"/>
              <w:rPr>
                <w:rFonts w:ascii="Arial" w:hAnsi="Arial" w:cs="Arial"/>
                <w:sz w:val="20"/>
                <w:szCs w:val="20"/>
              </w:rPr>
            </w:pPr>
          </w:p>
          <w:p w:rsidR="00F1656D" w:rsidRDefault="00F1656D" w:rsidP="004C5DFD">
            <w:pPr>
              <w:pStyle w:val="Contenutotabella"/>
              <w:rPr>
                <w:rFonts w:ascii="Arial" w:hAnsi="Arial" w:cs="Arial"/>
                <w:b/>
                <w:color w:val="000000"/>
                <w:sz w:val="20"/>
                <w:szCs w:val="20"/>
              </w:rPr>
            </w:pPr>
          </w:p>
          <w:p w:rsidR="006D2D5E" w:rsidRPr="004C5DFD" w:rsidRDefault="006D2D5E" w:rsidP="004C5DFD">
            <w:pPr>
              <w:pStyle w:val="Contenutotabella"/>
              <w:rPr>
                <w:rFonts w:ascii="Arial" w:hAnsi="Arial" w:cs="Arial"/>
                <w:b/>
                <w:i/>
                <w:iCs/>
                <w:color w:val="000000"/>
                <w:sz w:val="20"/>
                <w:szCs w:val="20"/>
              </w:rPr>
            </w:pPr>
            <w:r w:rsidRPr="004C5DFD">
              <w:rPr>
                <w:rFonts w:ascii="Arial" w:hAnsi="Arial" w:cs="Arial"/>
                <w:b/>
                <w:color w:val="000000"/>
                <w:sz w:val="20"/>
                <w:szCs w:val="20"/>
              </w:rPr>
              <w:t>Montenegro</w:t>
            </w:r>
          </w:p>
          <w:p w:rsidR="00F1656D" w:rsidRPr="004C5DFD" w:rsidRDefault="00F1656D" w:rsidP="00F1656D">
            <w:pPr>
              <w:pStyle w:val="Contenutotabella"/>
              <w:rPr>
                <w:rFonts w:ascii="Arial" w:hAnsi="Arial" w:cs="Arial"/>
                <w:sz w:val="20"/>
                <w:szCs w:val="20"/>
              </w:rPr>
            </w:pPr>
            <w:r w:rsidRPr="004C5DFD">
              <w:rPr>
                <w:rFonts w:ascii="Arial" w:hAnsi="Arial" w:cs="Arial"/>
                <w:i/>
                <w:iCs/>
                <w:color w:val="000000"/>
                <w:sz w:val="20"/>
                <w:szCs w:val="20"/>
              </w:rPr>
              <w:t>To be communicated later</w:t>
            </w:r>
          </w:p>
          <w:p w:rsidR="00F1656D" w:rsidRDefault="00F1656D" w:rsidP="004C5DFD">
            <w:pPr>
              <w:pStyle w:val="Contenutotabella"/>
              <w:rPr>
                <w:rFonts w:ascii="Arial" w:hAnsi="Arial" w:cs="Arial"/>
                <w:i/>
                <w:iCs/>
                <w:color w:val="000000"/>
                <w:sz w:val="20"/>
                <w:szCs w:val="20"/>
              </w:rPr>
            </w:pPr>
          </w:p>
          <w:p w:rsidR="00F1656D" w:rsidRPr="004C5DFD" w:rsidRDefault="00F1656D" w:rsidP="004C5DFD">
            <w:pPr>
              <w:pStyle w:val="Contenutotabella"/>
              <w:rPr>
                <w:rFonts w:ascii="Arial" w:hAnsi="Arial" w:cs="Arial"/>
                <w:i/>
                <w:iCs/>
                <w:sz w:val="20"/>
                <w:szCs w:val="20"/>
              </w:rPr>
            </w:pPr>
          </w:p>
          <w:p w:rsidR="006D2D5E" w:rsidRPr="004C5DFD" w:rsidRDefault="006D2D5E" w:rsidP="004C5DFD">
            <w:pPr>
              <w:pStyle w:val="Contenutotabella"/>
              <w:rPr>
                <w:rFonts w:ascii="Arial" w:hAnsi="Arial" w:cs="Arial"/>
                <w:b/>
                <w:sz w:val="20"/>
                <w:szCs w:val="20"/>
              </w:rPr>
            </w:pPr>
            <w:r w:rsidRPr="004C5DFD">
              <w:rPr>
                <w:rFonts w:ascii="Arial" w:hAnsi="Arial" w:cs="Arial"/>
                <w:b/>
                <w:color w:val="000000"/>
                <w:sz w:val="20"/>
                <w:szCs w:val="20"/>
              </w:rPr>
              <w:t>Serbia</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 xml:space="preserve">Audit Authority Office of EU Funds of the Government of the Republic of Serbia </w:t>
            </w: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Nemanjina 11, 11000 Belgrade</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b/>
                <w:sz w:val="20"/>
                <w:szCs w:val="20"/>
              </w:rPr>
            </w:pPr>
            <w:r w:rsidRPr="004C5DFD">
              <w:rPr>
                <w:rFonts w:ascii="Arial" w:hAnsi="Arial" w:cs="Arial"/>
                <w:b/>
                <w:sz w:val="20"/>
                <w:szCs w:val="20"/>
              </w:rPr>
              <w:t>Slovenia</w:t>
            </w:r>
          </w:p>
          <w:p w:rsidR="006D2D5E" w:rsidRPr="004C5DFD" w:rsidRDefault="006D2D5E" w:rsidP="004C5DFD">
            <w:pPr>
              <w:pStyle w:val="Contenutotabella"/>
              <w:rPr>
                <w:rFonts w:ascii="Arial" w:hAnsi="Arial" w:cs="Arial"/>
                <w:color w:val="000000"/>
                <w:sz w:val="20"/>
                <w:szCs w:val="20"/>
              </w:rPr>
            </w:pPr>
            <w:r w:rsidRPr="004C5DFD">
              <w:rPr>
                <w:rFonts w:ascii="Arial" w:hAnsi="Arial" w:cs="Arial"/>
                <w:sz w:val="20"/>
                <w:szCs w:val="20"/>
              </w:rPr>
              <w:t xml:space="preserve">Ministry of Finance, </w:t>
            </w:r>
          </w:p>
          <w:p w:rsidR="006D2D5E" w:rsidRPr="004C5DFD" w:rsidRDefault="006D2D5E" w:rsidP="004C5DFD">
            <w:pPr>
              <w:pStyle w:val="Contenutotabella"/>
              <w:rPr>
                <w:rFonts w:ascii="Arial" w:hAnsi="Arial" w:cs="Arial"/>
                <w:color w:val="000000"/>
                <w:sz w:val="20"/>
                <w:szCs w:val="20"/>
              </w:rPr>
            </w:pPr>
            <w:r w:rsidRPr="004C5DFD">
              <w:rPr>
                <w:rFonts w:ascii="Arial" w:hAnsi="Arial" w:cs="Arial"/>
                <w:color w:val="000000"/>
                <w:sz w:val="20"/>
                <w:szCs w:val="20"/>
              </w:rPr>
              <w:t xml:space="preserve">Budget Supervision Office of the Republic of Slovenia </w:t>
            </w:r>
          </w:p>
          <w:p w:rsidR="006D2D5E" w:rsidRPr="004C5DFD" w:rsidRDefault="006D2D5E" w:rsidP="004C5DFD">
            <w:pPr>
              <w:rPr>
                <w:rFonts w:ascii="Arial" w:hAnsi="Arial" w:cs="Arial"/>
                <w:i/>
                <w:iCs/>
                <w:sz w:val="20"/>
              </w:rPr>
            </w:pPr>
            <w:r w:rsidRPr="004C5DFD">
              <w:rPr>
                <w:rFonts w:ascii="Arial" w:hAnsi="Arial" w:cs="Arial"/>
                <w:color w:val="000000"/>
                <w:sz w:val="20"/>
              </w:rPr>
              <w:t>Fajfarjeva 33, 1000 Ljubljana</w:t>
            </w:r>
          </w:p>
        </w:tc>
        <w:tc>
          <w:tcPr>
            <w:tcW w:w="3409" w:type="dxa"/>
          </w:tcPr>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Head of the Agency</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Assistant Minister</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Director of the Agency</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President of the Financial Audit Committee</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Default="006D2D5E" w:rsidP="004C5DFD">
            <w:pPr>
              <w:pStyle w:val="Contenutotabella"/>
              <w:rPr>
                <w:rFonts w:ascii="Arial" w:hAnsi="Arial" w:cs="Arial"/>
                <w:sz w:val="20"/>
                <w:szCs w:val="20"/>
              </w:rPr>
            </w:pPr>
          </w:p>
          <w:p w:rsidR="00F1656D" w:rsidRDefault="00F1656D" w:rsidP="004C5DFD">
            <w:pPr>
              <w:pStyle w:val="Contenutotabella"/>
              <w:rPr>
                <w:rFonts w:ascii="Arial" w:hAnsi="Arial" w:cs="Arial"/>
                <w:sz w:val="20"/>
                <w:szCs w:val="20"/>
              </w:rPr>
            </w:pPr>
          </w:p>
          <w:p w:rsidR="00F1656D" w:rsidRDefault="00F1656D" w:rsidP="004C5DFD">
            <w:pPr>
              <w:pStyle w:val="Contenutotabella"/>
              <w:rPr>
                <w:rFonts w:ascii="Arial" w:hAnsi="Arial" w:cs="Arial"/>
                <w:sz w:val="20"/>
                <w:szCs w:val="20"/>
              </w:rPr>
            </w:pPr>
          </w:p>
          <w:p w:rsidR="009B4C45" w:rsidRPr="004C5DFD" w:rsidRDefault="009B4C45"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r w:rsidRPr="004C5DFD">
              <w:rPr>
                <w:rFonts w:ascii="Arial" w:hAnsi="Arial" w:cs="Arial"/>
                <w:sz w:val="20"/>
                <w:szCs w:val="20"/>
              </w:rPr>
              <w:t>Director of the Audit Authority Office of EU Funds</w:t>
            </w: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pStyle w:val="Contenutotabella"/>
              <w:rPr>
                <w:rFonts w:ascii="Arial" w:hAnsi="Arial" w:cs="Arial"/>
                <w:sz w:val="20"/>
                <w:szCs w:val="20"/>
              </w:rPr>
            </w:pPr>
          </w:p>
          <w:p w:rsidR="006D2D5E" w:rsidRPr="004C5DFD" w:rsidRDefault="006D2D5E" w:rsidP="004C5DFD">
            <w:pPr>
              <w:rPr>
                <w:rFonts w:ascii="Arial" w:hAnsi="Arial" w:cs="Arial"/>
                <w:sz w:val="20"/>
              </w:rPr>
            </w:pPr>
            <w:r w:rsidRPr="004C5DFD">
              <w:rPr>
                <w:rFonts w:ascii="Arial" w:hAnsi="Arial" w:cs="Arial"/>
                <w:sz w:val="20"/>
              </w:rPr>
              <w:t>Director of Budget Supervision Office</w:t>
            </w:r>
          </w:p>
        </w:tc>
      </w:tr>
    </w:tbl>
    <w:p w:rsidR="006D2D5E" w:rsidRDefault="006D2D5E">
      <w:pPr>
        <w:rPr>
          <w:rFonts w:ascii="Arial" w:hAnsi="Arial" w:cs="Arial"/>
          <w:sz w:val="22"/>
          <w:szCs w:val="22"/>
        </w:rPr>
      </w:pPr>
    </w:p>
    <w:p w:rsidR="006D2D5E" w:rsidRDefault="006D2D5E">
      <w:pPr>
        <w:rPr>
          <w:rFonts w:ascii="Arial" w:hAnsi="Arial" w:cs="Arial"/>
          <w:sz w:val="22"/>
          <w:szCs w:val="22"/>
        </w:rPr>
      </w:pPr>
    </w:p>
    <w:p w:rsidR="00DF4E40" w:rsidRPr="00304864" w:rsidRDefault="00DF4E40" w:rsidP="00A30AEC">
      <w:pPr>
        <w:pStyle w:val="Heading2"/>
        <w:numPr>
          <w:ilvl w:val="1"/>
          <w:numId w:val="158"/>
        </w:numPr>
        <w:spacing w:after="120"/>
      </w:pPr>
      <w:bookmarkStart w:id="321" w:name="_Toc365660153"/>
      <w:bookmarkStart w:id="322" w:name="_Toc366097058"/>
      <w:bookmarkStart w:id="323" w:name="_Toc377402588"/>
      <w:bookmarkStart w:id="324" w:name="_Toc420652569"/>
      <w:bookmarkStart w:id="325" w:name="_Toc421076921"/>
      <w:r w:rsidRPr="00304864">
        <w:t xml:space="preserve">Procedure for setting up the </w:t>
      </w:r>
      <w:r w:rsidR="008772FE">
        <w:t>j</w:t>
      </w:r>
      <w:r w:rsidRPr="00304864">
        <w:t xml:space="preserve">oint </w:t>
      </w:r>
      <w:r w:rsidR="008772FE">
        <w:t>s</w:t>
      </w:r>
      <w:r w:rsidRPr="00304864">
        <w:t>ecretariat</w:t>
      </w:r>
      <w:bookmarkEnd w:id="321"/>
      <w:bookmarkEnd w:id="322"/>
      <w:bookmarkEnd w:id="323"/>
      <w:r w:rsidRPr="00304864">
        <w:t xml:space="preserve"> (JS)</w:t>
      </w:r>
      <w:bookmarkEnd w:id="324"/>
      <w:bookmarkEnd w:id="325"/>
    </w:p>
    <w:p w:rsidR="00DF4E40" w:rsidRPr="00A30AEC" w:rsidRDefault="00DF4E40">
      <w:pPr>
        <w:ind w:right="23"/>
        <w:rPr>
          <w:rFonts w:ascii="Arial" w:hAnsi="Arial" w:cs="Arial"/>
          <w:sz w:val="22"/>
          <w:szCs w:val="22"/>
        </w:rPr>
      </w:pPr>
      <w:r w:rsidRPr="00C71BD4">
        <w:rPr>
          <w:rFonts w:ascii="Arial" w:hAnsi="Arial" w:cs="Arial"/>
          <w:sz w:val="22"/>
          <w:szCs w:val="22"/>
        </w:rPr>
        <w:t>(Reference: point (a)(iv) of Article 8(4) of Regulation (EU) No 1299/2013)</w:t>
      </w:r>
    </w:p>
    <w:p w:rsidR="00DF4E40" w:rsidRPr="00304864" w:rsidRDefault="00DF4E40">
      <w:pPr>
        <w:ind w:right="23"/>
        <w:rPr>
          <w:rFonts w:ascii="Arial" w:hAnsi="Arial" w:cs="Arial"/>
          <w:sz w:val="22"/>
          <w:szCs w:val="22"/>
        </w:rPr>
      </w:pPr>
      <w:r w:rsidRPr="00304864">
        <w:rPr>
          <w:rFonts w:ascii="Arial" w:hAnsi="Arial" w:cs="Arial"/>
          <w:sz w:val="22"/>
          <w:szCs w:val="22"/>
        </w:rPr>
        <w:t>The JS is set up after consultation with the Partner States under the responsibility of the MA.</w:t>
      </w:r>
    </w:p>
    <w:p w:rsidR="00DF4E40" w:rsidRPr="00304864" w:rsidRDefault="00DF4E40">
      <w:pPr>
        <w:ind w:right="23"/>
        <w:rPr>
          <w:rFonts w:ascii="Arial" w:hAnsi="Arial" w:cs="Arial"/>
          <w:sz w:val="22"/>
          <w:szCs w:val="22"/>
        </w:rPr>
      </w:pPr>
      <w:r w:rsidRPr="00304864">
        <w:rPr>
          <w:rFonts w:ascii="Arial" w:hAnsi="Arial" w:cs="Arial"/>
          <w:sz w:val="22"/>
          <w:szCs w:val="22"/>
        </w:rPr>
        <w:t>The JS shall be hosted at the ErvetSpA premises, an in-house body of the Emilia-Romagna Region, and will be located in Bologna (Italy).</w:t>
      </w:r>
    </w:p>
    <w:p w:rsidR="00DF4E40" w:rsidRPr="00304864" w:rsidRDefault="00DF4E40">
      <w:pPr>
        <w:ind w:right="23"/>
        <w:rPr>
          <w:rFonts w:ascii="Arial" w:hAnsi="Arial" w:cs="Arial"/>
          <w:sz w:val="22"/>
          <w:szCs w:val="22"/>
        </w:rPr>
      </w:pPr>
      <w:r w:rsidRPr="00304864">
        <w:rPr>
          <w:rFonts w:ascii="Arial" w:hAnsi="Arial" w:cs="Arial"/>
          <w:sz w:val="22"/>
          <w:szCs w:val="22"/>
        </w:rPr>
        <w:t xml:space="preserve">It shall assist the MA (including its function of CA), </w:t>
      </w:r>
      <w:r w:rsidR="003D2DCB">
        <w:rPr>
          <w:rFonts w:ascii="Arial" w:hAnsi="Arial" w:cs="Arial"/>
          <w:sz w:val="22"/>
          <w:szCs w:val="22"/>
        </w:rPr>
        <w:t xml:space="preserve">and </w:t>
      </w:r>
      <w:r w:rsidRPr="00304864">
        <w:rPr>
          <w:rFonts w:ascii="Arial" w:hAnsi="Arial" w:cs="Arial"/>
          <w:sz w:val="22"/>
          <w:szCs w:val="22"/>
        </w:rPr>
        <w:t>the MC in carrying out their respective duties. It will also provide information to all potential beneficiaries on the ADRION funding opportunities and will assist beneficiaries in the implementation of selected operations.</w:t>
      </w:r>
    </w:p>
    <w:p w:rsidR="00DF4E40" w:rsidRPr="00304864" w:rsidRDefault="00DF4E40">
      <w:pPr>
        <w:ind w:right="23"/>
        <w:rPr>
          <w:rFonts w:ascii="Arial" w:hAnsi="Arial" w:cs="Arial"/>
          <w:sz w:val="22"/>
          <w:szCs w:val="22"/>
        </w:rPr>
      </w:pPr>
      <w:r w:rsidRPr="00304864">
        <w:rPr>
          <w:rFonts w:ascii="Arial" w:hAnsi="Arial" w:cs="Arial"/>
          <w:sz w:val="22"/>
          <w:szCs w:val="22"/>
        </w:rPr>
        <w:t>The MA will initiate the selection procedure for the JS staff recruitment through an open competition, taking into consideration the approved terms of reference.</w:t>
      </w:r>
    </w:p>
    <w:p w:rsidR="00DF4E40" w:rsidRPr="00304864" w:rsidRDefault="00DF4E40">
      <w:pPr>
        <w:ind w:right="23"/>
        <w:rPr>
          <w:rFonts w:ascii="Arial" w:hAnsi="Arial" w:cs="Arial"/>
          <w:sz w:val="22"/>
          <w:szCs w:val="22"/>
        </w:rPr>
      </w:pPr>
      <w:r w:rsidRPr="00304864">
        <w:rPr>
          <w:rFonts w:ascii="Arial" w:hAnsi="Arial" w:cs="Arial"/>
          <w:sz w:val="22"/>
          <w:szCs w:val="22"/>
        </w:rPr>
        <w:t xml:space="preserve">Contracting procedures with the selected candidates will be implemented according to the related Italian law and will ensure an equal treatment to all JS staff. The recruitment is open to candidates from any EU and </w:t>
      </w:r>
      <w:r w:rsidR="003D2DCB">
        <w:rPr>
          <w:rFonts w:ascii="Arial" w:hAnsi="Arial" w:cs="Arial"/>
          <w:sz w:val="22"/>
          <w:szCs w:val="22"/>
        </w:rPr>
        <w:t xml:space="preserve">IPA </w:t>
      </w:r>
      <w:r w:rsidR="009E59B0">
        <w:rPr>
          <w:rFonts w:ascii="Arial" w:hAnsi="Arial" w:cs="Arial"/>
          <w:sz w:val="22"/>
          <w:szCs w:val="22"/>
          <w:lang w:eastAsia="fr-BE"/>
        </w:rPr>
        <w:t xml:space="preserve">Partner State </w:t>
      </w:r>
      <w:r w:rsidRPr="00304864">
        <w:rPr>
          <w:rFonts w:ascii="Arial" w:hAnsi="Arial" w:cs="Arial"/>
          <w:sz w:val="22"/>
          <w:szCs w:val="22"/>
        </w:rPr>
        <w:t>participating to the ADRION Programme.</w:t>
      </w:r>
    </w:p>
    <w:p w:rsidR="00DF4E40" w:rsidRDefault="00DF4E40">
      <w:pPr>
        <w:pStyle w:val="Text2"/>
        <w:ind w:left="0"/>
        <w:rPr>
          <w:rFonts w:ascii="Arial" w:hAnsi="Arial" w:cs="Arial"/>
          <w:sz w:val="22"/>
          <w:szCs w:val="22"/>
        </w:rPr>
      </w:pPr>
      <w:r w:rsidRPr="00304864">
        <w:rPr>
          <w:rFonts w:ascii="Arial" w:hAnsi="Arial" w:cs="Arial"/>
          <w:sz w:val="22"/>
          <w:szCs w:val="22"/>
        </w:rPr>
        <w:t>The principles of equal opportunity and non-discrimination between males and females shall be taken into consideration in the recruitment of the JS staff.</w:t>
      </w:r>
    </w:p>
    <w:p w:rsidR="007142EE" w:rsidRDefault="007142EE">
      <w:pPr>
        <w:pStyle w:val="Text2"/>
        <w:ind w:left="0"/>
        <w:rPr>
          <w:rFonts w:ascii="Arial" w:hAnsi="Arial" w:cs="Arial"/>
          <w:lang w:eastAsia="sv-SE"/>
        </w:rPr>
      </w:pPr>
    </w:p>
    <w:p w:rsidR="00677D35" w:rsidRPr="00304864" w:rsidRDefault="00677D35">
      <w:pPr>
        <w:pStyle w:val="Text2"/>
        <w:ind w:left="0"/>
        <w:rPr>
          <w:rFonts w:ascii="Arial" w:hAnsi="Arial" w:cs="Arial"/>
          <w:lang w:eastAsia="sv-SE"/>
        </w:rPr>
      </w:pPr>
    </w:p>
    <w:p w:rsidR="00DF4E40" w:rsidRPr="00304864" w:rsidRDefault="00DF4E40" w:rsidP="00A30AEC">
      <w:pPr>
        <w:pStyle w:val="Heading2"/>
        <w:numPr>
          <w:ilvl w:val="1"/>
          <w:numId w:val="158"/>
        </w:numPr>
        <w:spacing w:after="120"/>
      </w:pPr>
      <w:bookmarkStart w:id="326" w:name="_Toc419366157"/>
      <w:bookmarkStart w:id="327" w:name="_Toc419366311"/>
      <w:bookmarkStart w:id="328" w:name="_Toc419366463"/>
      <w:bookmarkStart w:id="329" w:name="_Toc419366615"/>
      <w:bookmarkStart w:id="330" w:name="_Toc419366767"/>
      <w:bookmarkStart w:id="331" w:name="_Toc419370568"/>
      <w:bookmarkStart w:id="332" w:name="_Toc419376295"/>
      <w:bookmarkStart w:id="333" w:name="_Toc419376967"/>
      <w:bookmarkStart w:id="334" w:name="_Toc419377119"/>
      <w:bookmarkStart w:id="335" w:name="_Toc377402589"/>
      <w:bookmarkStart w:id="336" w:name="_Toc365660154"/>
      <w:bookmarkStart w:id="337" w:name="_Toc366097059"/>
      <w:bookmarkStart w:id="338" w:name="_Toc420652570"/>
      <w:bookmarkStart w:id="339" w:name="_Toc421076922"/>
      <w:bookmarkEnd w:id="326"/>
      <w:bookmarkEnd w:id="327"/>
      <w:bookmarkEnd w:id="328"/>
      <w:bookmarkEnd w:id="329"/>
      <w:bookmarkEnd w:id="330"/>
      <w:bookmarkEnd w:id="331"/>
      <w:bookmarkEnd w:id="332"/>
      <w:bookmarkEnd w:id="333"/>
      <w:bookmarkEnd w:id="334"/>
      <w:r w:rsidRPr="00304864">
        <w:t>Summary description of the management and control arrangements</w:t>
      </w:r>
      <w:bookmarkEnd w:id="335"/>
      <w:bookmarkEnd w:id="336"/>
      <w:bookmarkEnd w:id="337"/>
      <w:bookmarkEnd w:id="338"/>
      <w:bookmarkEnd w:id="339"/>
    </w:p>
    <w:p w:rsidR="00DF4E40" w:rsidRPr="00A30AEC" w:rsidRDefault="00DF4E40">
      <w:pPr>
        <w:rPr>
          <w:rFonts w:ascii="Arial" w:hAnsi="Arial" w:cs="Arial"/>
          <w:sz w:val="22"/>
          <w:szCs w:val="22"/>
        </w:rPr>
      </w:pPr>
      <w:r w:rsidRPr="00A30AEC">
        <w:rPr>
          <w:rFonts w:ascii="Arial" w:hAnsi="Arial" w:cs="Arial"/>
          <w:sz w:val="22"/>
          <w:szCs w:val="22"/>
        </w:rPr>
        <w:t>(Reference: point (a)(v) of Article 8(4) of Regulation (EU) No 1299/2013)</w:t>
      </w:r>
    </w:p>
    <w:p w:rsidR="00DF4E40" w:rsidRPr="00304864" w:rsidRDefault="00DF4E40">
      <w:pPr>
        <w:rPr>
          <w:rFonts w:ascii="Arial" w:hAnsi="Arial" w:cs="Arial"/>
          <w:sz w:val="22"/>
          <w:szCs w:val="22"/>
        </w:rPr>
      </w:pPr>
      <w:r w:rsidRPr="00304864">
        <w:rPr>
          <w:rFonts w:ascii="Arial" w:hAnsi="Arial" w:cs="Arial"/>
          <w:sz w:val="22"/>
          <w:szCs w:val="22"/>
        </w:rPr>
        <w:t>This section describes the implementation structure of the ADRION Programme and, specifically, the bodies acting MA, CA, AA and JS. It also defines the tasks of each of the involved body, including the MC and describes their relations in the various processes necessary for the Programme implementation.</w:t>
      </w:r>
    </w:p>
    <w:p w:rsidR="00DF4E40" w:rsidRPr="00304864" w:rsidRDefault="00DF4E40">
      <w:pPr>
        <w:rPr>
          <w:rFonts w:ascii="Arial" w:hAnsi="Arial" w:cs="Arial"/>
          <w:sz w:val="22"/>
          <w:szCs w:val="22"/>
        </w:rPr>
      </w:pPr>
      <w:r w:rsidRPr="00304864">
        <w:rPr>
          <w:rFonts w:ascii="Arial" w:hAnsi="Arial" w:cs="Arial"/>
          <w:sz w:val="22"/>
          <w:szCs w:val="22"/>
        </w:rPr>
        <w:t>The Programme language is English.</w:t>
      </w:r>
    </w:p>
    <w:p w:rsidR="00DF4E40" w:rsidRPr="00304864" w:rsidRDefault="00DF4E40">
      <w:pPr>
        <w:rPr>
          <w:rFonts w:ascii="Arial" w:hAnsi="Arial" w:cs="Arial"/>
          <w:strike/>
          <w:sz w:val="22"/>
          <w:szCs w:val="22"/>
        </w:rPr>
      </w:pPr>
      <w:r w:rsidRPr="00304864">
        <w:rPr>
          <w:rFonts w:ascii="Arial" w:hAnsi="Arial" w:cs="Arial"/>
          <w:sz w:val="22"/>
          <w:szCs w:val="22"/>
        </w:rPr>
        <w:t xml:space="preserve">Italy, Croatia, Greece, Slovenia,Albania, Bosnia and Herzegovina, Montenegro and Serbia </w:t>
      </w:r>
      <w:r w:rsidR="003D2DCB">
        <w:rPr>
          <w:rFonts w:ascii="Arial" w:hAnsi="Arial" w:cs="Arial"/>
          <w:sz w:val="22"/>
          <w:szCs w:val="22"/>
        </w:rPr>
        <w:t xml:space="preserve">as Partner States of the ADRION Programme </w:t>
      </w:r>
      <w:r w:rsidRPr="00304864">
        <w:rPr>
          <w:rFonts w:ascii="Arial" w:hAnsi="Arial" w:cs="Arial"/>
          <w:sz w:val="22"/>
          <w:szCs w:val="22"/>
        </w:rPr>
        <w:t xml:space="preserve">have established a shared management system to manage, coordinate and supervise the ADRION implementation. </w:t>
      </w:r>
    </w:p>
    <w:p w:rsidR="00DF4E40" w:rsidRPr="00304864" w:rsidRDefault="00DF4E40">
      <w:pPr>
        <w:rPr>
          <w:rFonts w:ascii="Arial" w:hAnsi="Arial" w:cs="Arial"/>
          <w:sz w:val="22"/>
          <w:szCs w:val="22"/>
        </w:rPr>
      </w:pPr>
      <w:r w:rsidRPr="00304864">
        <w:rPr>
          <w:rFonts w:ascii="Arial" w:hAnsi="Arial" w:cs="Arial"/>
          <w:sz w:val="22"/>
          <w:szCs w:val="22"/>
        </w:rPr>
        <w:t xml:space="preserve">The Programme management follows the management structure applicable to all Structural Funds Programme. As regard </w:t>
      </w:r>
      <w:r w:rsidR="003D2DCB">
        <w:rPr>
          <w:rFonts w:ascii="Arial" w:hAnsi="Arial" w:cs="Arial"/>
          <w:sz w:val="22"/>
          <w:szCs w:val="22"/>
        </w:rPr>
        <w:t xml:space="preserve">IPA </w:t>
      </w:r>
      <w:r w:rsidR="009E59B0">
        <w:rPr>
          <w:rFonts w:ascii="Arial" w:hAnsi="Arial" w:cs="Arial"/>
          <w:sz w:val="22"/>
          <w:szCs w:val="22"/>
          <w:lang w:eastAsia="fr-BE"/>
        </w:rPr>
        <w:t>Partner States</w:t>
      </w:r>
      <w:r w:rsidRPr="00304864">
        <w:rPr>
          <w:rFonts w:ascii="Arial" w:hAnsi="Arial" w:cs="Arial"/>
          <w:sz w:val="22"/>
          <w:szCs w:val="22"/>
        </w:rPr>
        <w:t xml:space="preserve">, </w:t>
      </w:r>
      <w:r w:rsidRPr="00304864">
        <w:rPr>
          <w:rFonts w:ascii="Arial" w:hAnsi="Arial" w:cs="Arial"/>
          <w:color w:val="000000"/>
          <w:sz w:val="22"/>
          <w:szCs w:val="22"/>
          <w:lang w:eastAsia="it-IT"/>
        </w:rPr>
        <w:t>Article 26 of Regulation (EU) No 1299/2013 shall apply. Based on that</w:t>
      </w:r>
      <w:r w:rsidRPr="00304864">
        <w:rPr>
          <w:rFonts w:ascii="Arial" w:hAnsi="Arial" w:cs="Arial"/>
          <w:sz w:val="22"/>
          <w:szCs w:val="22"/>
        </w:rPr>
        <w:t>, general principles for management and control arrangements specified in the article 72 of the EU Common Provisions Regulation apply.</w:t>
      </w:r>
    </w:p>
    <w:p w:rsidR="00DF4E40" w:rsidRPr="00304864" w:rsidRDefault="00DF4E40">
      <w:pPr>
        <w:rPr>
          <w:rFonts w:ascii="Arial" w:hAnsi="Arial" w:cs="Arial"/>
          <w:i/>
          <w:sz w:val="22"/>
          <w:szCs w:val="22"/>
          <w:highlight w:val="yellow"/>
          <w:lang w:eastAsia="fr-BE"/>
        </w:rPr>
      </w:pPr>
    </w:p>
    <w:p w:rsidR="00DF4E40" w:rsidRPr="00A30AEC" w:rsidRDefault="00DF4E40" w:rsidP="00A30AEC">
      <w:pPr>
        <w:pStyle w:val="Heading3"/>
        <w:spacing w:before="0" w:after="120"/>
        <w:ind w:left="0"/>
        <w:rPr>
          <w:rFonts w:ascii="Arial" w:hAnsi="Arial" w:cs="Arial"/>
          <w:b w:val="0"/>
          <w:noProof w:val="0"/>
          <w:color w:val="002060"/>
          <w:sz w:val="22"/>
          <w:szCs w:val="22"/>
        </w:rPr>
      </w:pPr>
      <w:bookmarkStart w:id="340" w:name="_Toc365660155"/>
      <w:bookmarkStart w:id="341" w:name="_Toc420652571"/>
      <w:bookmarkStart w:id="342" w:name="_Toc421076923"/>
      <w:bookmarkStart w:id="343" w:name="_Toc355259709"/>
      <w:r w:rsidRPr="00A30AEC">
        <w:rPr>
          <w:rFonts w:ascii="Arial" w:hAnsi="Arial" w:cs="Arial"/>
          <w:b w:val="0"/>
          <w:noProof w:val="0"/>
          <w:color w:val="002060"/>
          <w:sz w:val="22"/>
          <w:szCs w:val="22"/>
        </w:rPr>
        <w:t>Joint implementation structure and division of tasks between the different bodies</w:t>
      </w:r>
      <w:bookmarkEnd w:id="340"/>
      <w:bookmarkEnd w:id="341"/>
      <w:bookmarkEnd w:id="342"/>
    </w:p>
    <w:p w:rsidR="00DF4E40" w:rsidRPr="00A30AEC" w:rsidRDefault="00DF4E40">
      <w:pPr>
        <w:rPr>
          <w:rFonts w:ascii="Arial" w:hAnsi="Arial" w:cs="Arial"/>
          <w:color w:val="17365D"/>
          <w:sz w:val="22"/>
          <w:szCs w:val="22"/>
        </w:rPr>
      </w:pPr>
      <w:bookmarkStart w:id="344" w:name="_Toc420652572"/>
      <w:bookmarkStart w:id="345" w:name="_Toc365660156"/>
      <w:bookmarkEnd w:id="343"/>
      <w:r w:rsidRPr="00A30AEC">
        <w:rPr>
          <w:rFonts w:ascii="Arial" w:hAnsi="Arial" w:cs="Arial"/>
          <w:color w:val="17365D"/>
          <w:sz w:val="22"/>
          <w:szCs w:val="22"/>
        </w:rPr>
        <w:t>Monitoring committee (MC)</w:t>
      </w:r>
      <w:bookmarkEnd w:id="344"/>
    </w:p>
    <w:p w:rsidR="00DF4E40" w:rsidRPr="00304864" w:rsidRDefault="00DF4E40">
      <w:pPr>
        <w:ind w:right="23"/>
        <w:rPr>
          <w:rFonts w:ascii="Arial" w:hAnsi="Arial" w:cs="Arial"/>
          <w:sz w:val="22"/>
          <w:szCs w:val="22"/>
        </w:rPr>
      </w:pPr>
      <w:r w:rsidRPr="00304864">
        <w:rPr>
          <w:rFonts w:ascii="Arial" w:hAnsi="Arial" w:cs="Arial"/>
          <w:sz w:val="22"/>
          <w:szCs w:val="22"/>
        </w:rPr>
        <w:t>The main functions of the MC are specified in the Article 49 and Article 110 of Regulation (EU) No 1303/2013.</w:t>
      </w:r>
    </w:p>
    <w:p w:rsidR="00DF4E40" w:rsidRPr="00304864" w:rsidRDefault="00DF4E40">
      <w:pPr>
        <w:ind w:right="23"/>
        <w:rPr>
          <w:rFonts w:ascii="Arial" w:hAnsi="Arial" w:cs="Arial"/>
          <w:sz w:val="22"/>
          <w:szCs w:val="22"/>
        </w:rPr>
      </w:pPr>
      <w:r w:rsidRPr="00304864">
        <w:rPr>
          <w:rFonts w:ascii="Arial" w:hAnsi="Arial" w:cs="Arial"/>
          <w:sz w:val="22"/>
          <w:szCs w:val="22"/>
        </w:rPr>
        <w:t xml:space="preserve">In accordance with Article 47 of Regulation (EU) No 1303/2013, the Partner States, in agreement with the MA, will set up a </w:t>
      </w:r>
      <w:r w:rsidR="008772FE">
        <w:rPr>
          <w:rFonts w:ascii="Arial" w:hAnsi="Arial" w:cs="Arial"/>
          <w:sz w:val="22"/>
          <w:szCs w:val="22"/>
        </w:rPr>
        <w:t>m</w:t>
      </w:r>
      <w:r w:rsidRPr="00304864">
        <w:rPr>
          <w:rFonts w:ascii="Arial" w:hAnsi="Arial" w:cs="Arial"/>
          <w:sz w:val="22"/>
          <w:szCs w:val="22"/>
        </w:rPr>
        <w:t xml:space="preserve">onitoring </w:t>
      </w:r>
      <w:r w:rsidR="008772FE">
        <w:rPr>
          <w:rFonts w:ascii="Arial" w:hAnsi="Arial" w:cs="Arial"/>
          <w:sz w:val="22"/>
          <w:szCs w:val="22"/>
        </w:rPr>
        <w:t>c</w:t>
      </w:r>
      <w:r w:rsidRPr="00304864">
        <w:rPr>
          <w:rFonts w:ascii="Arial" w:hAnsi="Arial" w:cs="Arial"/>
          <w:sz w:val="22"/>
          <w:szCs w:val="22"/>
        </w:rPr>
        <w:t>ommittee within three months from the date of the notification of the</w:t>
      </w:r>
      <w:r w:rsidR="000C7309">
        <w:rPr>
          <w:rFonts w:ascii="Arial" w:hAnsi="Arial" w:cs="Arial"/>
          <w:sz w:val="22"/>
          <w:szCs w:val="22"/>
        </w:rPr>
        <w:t xml:space="preserve"> European</w:t>
      </w:r>
      <w:r w:rsidRPr="00304864">
        <w:rPr>
          <w:rFonts w:ascii="Arial" w:hAnsi="Arial" w:cs="Arial"/>
          <w:sz w:val="22"/>
          <w:szCs w:val="22"/>
        </w:rPr>
        <w:t xml:space="preserve"> Commission’s decision approving the Programme. </w:t>
      </w:r>
    </w:p>
    <w:p w:rsidR="00DF4E40" w:rsidRDefault="00DF4E40">
      <w:pPr>
        <w:ind w:right="23"/>
        <w:rPr>
          <w:rFonts w:ascii="Arial" w:hAnsi="Arial" w:cs="Arial"/>
          <w:sz w:val="22"/>
          <w:szCs w:val="22"/>
        </w:rPr>
      </w:pPr>
      <w:r w:rsidRPr="00304864">
        <w:rPr>
          <w:rFonts w:ascii="Arial" w:hAnsi="Arial" w:cs="Arial"/>
          <w:sz w:val="22"/>
          <w:szCs w:val="22"/>
        </w:rPr>
        <w:t>Members of the MC will represent the Partner States participating in the Programme on policy and administrative level and ensure a transparent approach.</w:t>
      </w:r>
    </w:p>
    <w:p w:rsidR="00A30AEC" w:rsidRDefault="00A30AEC">
      <w:pPr>
        <w:ind w:right="23"/>
        <w:rPr>
          <w:rFonts w:ascii="Arial" w:hAnsi="Arial" w:cs="Arial"/>
          <w:sz w:val="22"/>
          <w:szCs w:val="22"/>
        </w:rPr>
      </w:pPr>
    </w:p>
    <w:p w:rsidR="00DF4E40" w:rsidRPr="00A30AEC" w:rsidRDefault="00DF4E40" w:rsidP="00A30AEC">
      <w:pPr>
        <w:rPr>
          <w:rFonts w:ascii="Arial" w:hAnsi="Arial" w:cs="Arial"/>
          <w:color w:val="17365D"/>
          <w:sz w:val="22"/>
          <w:szCs w:val="22"/>
        </w:rPr>
      </w:pPr>
      <w:r w:rsidRPr="00A30AEC">
        <w:rPr>
          <w:rFonts w:ascii="Arial" w:hAnsi="Arial" w:cs="Arial"/>
          <w:color w:val="17365D"/>
          <w:sz w:val="22"/>
          <w:szCs w:val="22"/>
        </w:rPr>
        <w:t xml:space="preserve">Composition of the </w:t>
      </w:r>
      <w:r w:rsidR="008772FE">
        <w:rPr>
          <w:rFonts w:ascii="Arial" w:hAnsi="Arial" w:cs="Arial"/>
          <w:color w:val="17365D"/>
          <w:sz w:val="22"/>
          <w:szCs w:val="22"/>
        </w:rPr>
        <w:t>monitoring committee</w:t>
      </w:r>
    </w:p>
    <w:p w:rsidR="00DF4E40" w:rsidRPr="00304864" w:rsidRDefault="00DF4E40">
      <w:pPr>
        <w:ind w:right="23"/>
        <w:rPr>
          <w:rFonts w:ascii="Arial" w:hAnsi="Arial" w:cs="Arial"/>
          <w:sz w:val="22"/>
          <w:szCs w:val="22"/>
        </w:rPr>
      </w:pPr>
      <w:r w:rsidRPr="00304864">
        <w:rPr>
          <w:rFonts w:ascii="Arial" w:hAnsi="Arial" w:cs="Arial"/>
          <w:sz w:val="22"/>
          <w:szCs w:val="22"/>
        </w:rPr>
        <w:t>The composition of the MC, according to article 48 (1) of Regulation (EU) No 1303/2013, is agreed by the Partner States. Each State shall be equally represented and complying with the partnership principle in managing, monitoring and evaluating the operations in all stages of programme implementation.</w:t>
      </w:r>
    </w:p>
    <w:p w:rsidR="00DF4E40" w:rsidRPr="00304864" w:rsidRDefault="00DF4E40">
      <w:pPr>
        <w:tabs>
          <w:tab w:val="left" w:pos="5071"/>
        </w:tabs>
        <w:ind w:right="23"/>
        <w:rPr>
          <w:rFonts w:ascii="Arial" w:hAnsi="Arial" w:cs="Arial"/>
          <w:sz w:val="22"/>
          <w:szCs w:val="22"/>
        </w:rPr>
      </w:pPr>
      <w:r w:rsidRPr="00304864">
        <w:rPr>
          <w:rFonts w:ascii="Arial" w:hAnsi="Arial" w:cs="Arial"/>
          <w:sz w:val="22"/>
          <w:szCs w:val="22"/>
        </w:rPr>
        <w:t>The MC shall be chaired by a representative of the Partner States or by the MA according to a rotation principle to be further defined.</w:t>
      </w:r>
    </w:p>
    <w:p w:rsidR="00DF4E40" w:rsidRPr="00304864" w:rsidRDefault="00DF4E40">
      <w:pPr>
        <w:tabs>
          <w:tab w:val="left" w:pos="5071"/>
        </w:tabs>
        <w:ind w:right="23"/>
        <w:rPr>
          <w:rFonts w:ascii="Arial" w:hAnsi="Arial" w:cs="Arial"/>
          <w:sz w:val="22"/>
          <w:szCs w:val="22"/>
        </w:rPr>
      </w:pPr>
    </w:p>
    <w:p w:rsidR="00DF4E40" w:rsidRPr="00304864" w:rsidRDefault="00DF4E40">
      <w:pPr>
        <w:ind w:right="23"/>
        <w:rPr>
          <w:rFonts w:ascii="Arial" w:hAnsi="Arial" w:cs="Arial"/>
          <w:sz w:val="22"/>
          <w:szCs w:val="22"/>
        </w:rPr>
      </w:pPr>
      <w:r w:rsidRPr="00304864">
        <w:rPr>
          <w:rFonts w:ascii="Arial" w:hAnsi="Arial" w:cs="Arial"/>
          <w:sz w:val="22"/>
          <w:szCs w:val="22"/>
        </w:rPr>
        <w:t>The MC is made up of:</w:t>
      </w:r>
    </w:p>
    <w:p w:rsidR="00DF4E40" w:rsidRPr="00A30AEC" w:rsidRDefault="0051768E" w:rsidP="00A30AEC">
      <w:pPr>
        <w:pStyle w:val="mStandard"/>
        <w:numPr>
          <w:ilvl w:val="0"/>
          <w:numId w:val="133"/>
        </w:numPr>
        <w:spacing w:before="0" w:after="120" w:line="240" w:lineRule="auto"/>
        <w:rPr>
          <w:rFonts w:cs="Arial"/>
          <w:lang w:val="en-US"/>
        </w:rPr>
      </w:pPr>
      <w:r>
        <w:rPr>
          <w:rFonts w:cs="Arial"/>
          <w:lang w:val="en-GB"/>
        </w:rPr>
        <w:t>U</w:t>
      </w:r>
      <w:r w:rsidR="00DF4E40" w:rsidRPr="00A30AEC">
        <w:rPr>
          <w:rFonts w:cs="Arial"/>
          <w:lang w:val="en-GB"/>
        </w:rPr>
        <w:t>p to two representatives per each Partner Stateat the appropriate governance level;</w:t>
      </w:r>
    </w:p>
    <w:p w:rsidR="00DF4E40" w:rsidRPr="00A30AEC" w:rsidRDefault="00DF4E40" w:rsidP="00A30AEC">
      <w:pPr>
        <w:pStyle w:val="mStandard"/>
        <w:numPr>
          <w:ilvl w:val="0"/>
          <w:numId w:val="133"/>
        </w:numPr>
        <w:spacing w:before="0" w:after="120" w:line="240" w:lineRule="auto"/>
        <w:rPr>
          <w:rFonts w:cs="Arial"/>
          <w:lang w:val="en-US"/>
        </w:rPr>
      </w:pPr>
      <w:r w:rsidRPr="00A30AEC">
        <w:rPr>
          <w:rFonts w:cs="Arial"/>
          <w:lang w:val="en-GB"/>
        </w:rPr>
        <w:t xml:space="preserve">A European Commission’s representative in an advisory capacity; </w:t>
      </w:r>
    </w:p>
    <w:p w:rsidR="00DF4E40" w:rsidRPr="00A30AEC" w:rsidRDefault="00DF4E40" w:rsidP="00A30AEC">
      <w:pPr>
        <w:pStyle w:val="mStandard"/>
        <w:numPr>
          <w:ilvl w:val="0"/>
          <w:numId w:val="133"/>
        </w:numPr>
        <w:spacing w:before="0" w:after="120" w:line="240" w:lineRule="auto"/>
        <w:rPr>
          <w:rFonts w:cs="Arial"/>
          <w:lang w:val="en-US"/>
        </w:rPr>
      </w:pPr>
      <w:r w:rsidRPr="00A30AEC">
        <w:rPr>
          <w:rFonts w:cs="Arial"/>
          <w:lang w:val="en-GB"/>
        </w:rPr>
        <w:t>The MA/CA in an advisory capacity;</w:t>
      </w:r>
    </w:p>
    <w:p w:rsidR="00DF4E40" w:rsidRPr="00A30AEC" w:rsidRDefault="00DF4E40" w:rsidP="00A30AEC">
      <w:pPr>
        <w:pStyle w:val="mStandard"/>
        <w:numPr>
          <w:ilvl w:val="0"/>
          <w:numId w:val="133"/>
        </w:numPr>
        <w:spacing w:before="0" w:after="120" w:line="240" w:lineRule="auto"/>
        <w:rPr>
          <w:rFonts w:cs="Arial"/>
          <w:lang w:val="en-US"/>
        </w:rPr>
      </w:pPr>
      <w:r w:rsidRPr="00A30AEC">
        <w:rPr>
          <w:rFonts w:cs="Arial"/>
          <w:lang w:val="en-GB"/>
        </w:rPr>
        <w:t>The JS in an advisory capacity and with the role of secretarial support to the MC;</w:t>
      </w:r>
    </w:p>
    <w:p w:rsidR="00DF4E40" w:rsidRPr="00A30AEC" w:rsidRDefault="00DF4E40" w:rsidP="00A30AEC">
      <w:pPr>
        <w:pStyle w:val="mStandard"/>
        <w:numPr>
          <w:ilvl w:val="0"/>
          <w:numId w:val="133"/>
        </w:numPr>
        <w:spacing w:before="0" w:after="120" w:line="240" w:lineRule="auto"/>
        <w:rPr>
          <w:rFonts w:cs="Arial"/>
          <w:lang w:val="en-US"/>
        </w:rPr>
      </w:pPr>
      <w:r w:rsidRPr="00A30AEC">
        <w:rPr>
          <w:rFonts w:cs="Arial"/>
          <w:lang w:val="en-GB"/>
        </w:rPr>
        <w:t>The AA as an independent observer;</w:t>
      </w:r>
    </w:p>
    <w:p w:rsidR="00DF4E40" w:rsidRPr="00A30AEC" w:rsidRDefault="00DF4E40" w:rsidP="00A30AEC">
      <w:pPr>
        <w:pStyle w:val="mStandard"/>
        <w:numPr>
          <w:ilvl w:val="0"/>
          <w:numId w:val="133"/>
        </w:numPr>
        <w:spacing w:before="0" w:after="120" w:line="240" w:lineRule="auto"/>
        <w:rPr>
          <w:rFonts w:cs="Arial"/>
          <w:lang w:val="en-US"/>
        </w:rPr>
      </w:pPr>
      <w:r w:rsidRPr="00A30AEC">
        <w:rPr>
          <w:rFonts w:cs="Arial"/>
          <w:lang w:val="en-GB"/>
        </w:rPr>
        <w:t>Representatives from the EUSAIR governance structures may participate with an observer status;</w:t>
      </w:r>
    </w:p>
    <w:p w:rsidR="00DF4E40" w:rsidRPr="00A30AEC" w:rsidRDefault="00DF4E40" w:rsidP="00A30AEC">
      <w:pPr>
        <w:pStyle w:val="mStandard"/>
        <w:numPr>
          <w:ilvl w:val="0"/>
          <w:numId w:val="133"/>
        </w:numPr>
        <w:spacing w:before="0" w:after="120" w:line="240" w:lineRule="auto"/>
        <w:rPr>
          <w:rFonts w:cs="Arial"/>
          <w:lang w:val="en-US"/>
        </w:rPr>
      </w:pPr>
      <w:r w:rsidRPr="00A30AEC">
        <w:rPr>
          <w:rFonts w:cs="Arial"/>
          <w:lang w:val="en-GB"/>
        </w:rPr>
        <w:t xml:space="preserve">If the EIB contributes to the Programme, it may participate in the work of the monitoring committee </w:t>
      </w:r>
      <w:r w:rsidR="004841FF">
        <w:rPr>
          <w:rFonts w:cs="Arial"/>
          <w:lang w:val="en-GB"/>
        </w:rPr>
        <w:t xml:space="preserve">as an observer; </w:t>
      </w:r>
      <w:r w:rsidRPr="00A30AEC">
        <w:rPr>
          <w:rFonts w:cs="Arial"/>
          <w:lang w:val="en-GB"/>
        </w:rPr>
        <w:t>;</w:t>
      </w:r>
    </w:p>
    <w:p w:rsidR="00DF4E40" w:rsidRPr="00A30AEC" w:rsidRDefault="00DF4E40" w:rsidP="00A30AEC">
      <w:pPr>
        <w:pStyle w:val="mStandard"/>
        <w:numPr>
          <w:ilvl w:val="0"/>
          <w:numId w:val="133"/>
        </w:numPr>
        <w:spacing w:before="0" w:after="120" w:line="240" w:lineRule="auto"/>
        <w:rPr>
          <w:rFonts w:cs="Arial"/>
          <w:lang w:val="en-US"/>
        </w:rPr>
      </w:pPr>
      <w:r w:rsidRPr="00A30AEC">
        <w:rPr>
          <w:rFonts w:cs="Arial"/>
          <w:lang w:val="en-GB"/>
        </w:rPr>
        <w:t xml:space="preserve">Transnational economic and social partners and transnational non-governmental organisations may participate </w:t>
      </w:r>
      <w:r w:rsidR="004841FF">
        <w:rPr>
          <w:rFonts w:cs="Arial"/>
          <w:lang w:val="en-GB"/>
        </w:rPr>
        <w:t>as an observer</w:t>
      </w:r>
      <w:r w:rsidRPr="00A30AEC">
        <w:rPr>
          <w:rFonts w:cs="Arial"/>
          <w:lang w:val="en-GB"/>
        </w:rPr>
        <w:t>according to the code of Conduct Partnership;</w:t>
      </w:r>
    </w:p>
    <w:p w:rsidR="00DF4E40" w:rsidRPr="00A30AEC" w:rsidRDefault="004841FF" w:rsidP="00A30AEC">
      <w:pPr>
        <w:pStyle w:val="mStandard"/>
        <w:numPr>
          <w:ilvl w:val="0"/>
          <w:numId w:val="133"/>
        </w:numPr>
        <w:spacing w:before="0" w:after="120" w:line="240" w:lineRule="auto"/>
        <w:rPr>
          <w:rFonts w:cs="Arial"/>
          <w:lang w:val="en-US"/>
        </w:rPr>
      </w:pPr>
      <w:r>
        <w:rPr>
          <w:rFonts w:cs="Arial"/>
          <w:lang w:val="en-GB"/>
        </w:rPr>
        <w:t>R</w:t>
      </w:r>
      <w:r w:rsidR="00DF4E40" w:rsidRPr="00A30AEC">
        <w:rPr>
          <w:rFonts w:cs="Arial"/>
          <w:lang w:val="en-GB"/>
        </w:rPr>
        <w:t>epresentative</w:t>
      </w:r>
      <w:r>
        <w:rPr>
          <w:rFonts w:cs="Arial"/>
          <w:lang w:val="en-GB"/>
        </w:rPr>
        <w:t>s</w:t>
      </w:r>
      <w:r w:rsidR="00DF4E40" w:rsidRPr="00A30AEC">
        <w:rPr>
          <w:rFonts w:cs="Arial"/>
          <w:lang w:val="en-GB"/>
        </w:rPr>
        <w:t xml:space="preserve"> of the strategic project of Priority Axis 4 or any other expertise may be invited by the MC to participate to the meeting according to the Agenda with an observer status.</w:t>
      </w:r>
    </w:p>
    <w:p w:rsidR="00DF4E40" w:rsidRPr="00304864" w:rsidRDefault="00DF4E40">
      <w:pPr>
        <w:ind w:right="23"/>
        <w:rPr>
          <w:rFonts w:ascii="Arial" w:hAnsi="Arial" w:cs="Arial"/>
          <w:sz w:val="22"/>
          <w:szCs w:val="22"/>
        </w:rPr>
      </w:pPr>
    </w:p>
    <w:p w:rsidR="00DF4E40" w:rsidRPr="00304864" w:rsidRDefault="00DF4E40">
      <w:pPr>
        <w:ind w:right="23"/>
        <w:rPr>
          <w:rFonts w:ascii="Arial" w:hAnsi="Arial" w:cs="Arial"/>
          <w:sz w:val="22"/>
          <w:szCs w:val="22"/>
        </w:rPr>
      </w:pPr>
      <w:r w:rsidRPr="00304864">
        <w:rPr>
          <w:rFonts w:ascii="Arial" w:hAnsi="Arial" w:cs="Arial"/>
          <w:sz w:val="22"/>
          <w:szCs w:val="22"/>
        </w:rPr>
        <w:t xml:space="preserve">As a principle, decisions by the MC shall be taken by consensus whereby each Partner State shall have one vote. The MC shall draw up and adopt its Rules of Procedure.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The MC shall meet at least once a year. Decisions may also be taken through written procedure. </w:t>
      </w:r>
    </w:p>
    <w:p w:rsidR="00DF4E40" w:rsidRPr="00304864" w:rsidRDefault="00DF4E40">
      <w:pPr>
        <w:autoSpaceDE w:val="0"/>
        <w:autoSpaceDN w:val="0"/>
        <w:adjustRightInd w:val="0"/>
        <w:rPr>
          <w:rFonts w:ascii="Arial" w:hAnsi="Arial" w:cs="Arial"/>
          <w:i/>
          <w:sz w:val="22"/>
          <w:szCs w:val="22"/>
        </w:rPr>
      </w:pPr>
    </w:p>
    <w:p w:rsidR="00DF4E40" w:rsidRPr="00A30AEC" w:rsidRDefault="00DF4E40" w:rsidP="00A30AEC">
      <w:pPr>
        <w:rPr>
          <w:rFonts w:ascii="Arial" w:hAnsi="Arial" w:cs="Arial"/>
          <w:color w:val="17365D"/>
          <w:sz w:val="22"/>
          <w:szCs w:val="22"/>
        </w:rPr>
      </w:pPr>
      <w:r w:rsidRPr="00A30AEC">
        <w:rPr>
          <w:rFonts w:ascii="Arial" w:hAnsi="Arial" w:cs="Arial"/>
          <w:color w:val="17365D"/>
          <w:sz w:val="22"/>
          <w:szCs w:val="22"/>
        </w:rPr>
        <w:t>Role and tasks of the MC</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The MC, in accordance with Article 49 of the Regulation (EU) No 1303/2013, shall review the Programme implementation and its progress towards achieving its objectives, and, more specifically, it will carry out the functions listed in Article110 of the Regulation (EU) No 1303/2013. </w:t>
      </w:r>
    </w:p>
    <w:p w:rsidR="007776CD" w:rsidRPr="00A961B0" w:rsidRDefault="00DF4E40" w:rsidP="007776CD">
      <w:pPr>
        <w:autoSpaceDE w:val="0"/>
        <w:autoSpaceDN w:val="0"/>
        <w:adjustRightInd w:val="0"/>
        <w:rPr>
          <w:rFonts w:ascii="Arial" w:hAnsi="Arial" w:cs="Arial"/>
          <w:sz w:val="22"/>
          <w:szCs w:val="22"/>
        </w:rPr>
      </w:pPr>
      <w:r w:rsidRPr="00304864">
        <w:rPr>
          <w:rFonts w:ascii="Arial" w:hAnsi="Arial" w:cs="Arial"/>
          <w:sz w:val="22"/>
          <w:szCs w:val="22"/>
        </w:rPr>
        <w:t xml:space="preserve">The MC will also adopt the methodology, criteria for selection of projects and eligibility rules before the launch of each call for proposals. It will select the projects to be funded by the ADRION Programme in line with Article 12 of Regulation (EU) No 1299/2013. </w:t>
      </w:r>
      <w:r w:rsidR="007776CD">
        <w:rPr>
          <w:rFonts w:ascii="Arial" w:hAnsi="Arial" w:cs="Arial"/>
          <w:sz w:val="22"/>
          <w:szCs w:val="22"/>
        </w:rPr>
        <w:t xml:space="preserve">The MC will acknowledge the management and control system description that will form the basis for the designation of the programme authorities according to </w:t>
      </w:r>
      <w:r w:rsidR="00CE2AC8">
        <w:rPr>
          <w:rFonts w:ascii="Arial" w:hAnsi="Arial" w:cs="Arial"/>
          <w:sz w:val="22"/>
          <w:szCs w:val="22"/>
        </w:rPr>
        <w:t>Article 124.</w:t>
      </w:r>
      <w:r w:rsidR="007776CD">
        <w:rPr>
          <w:rFonts w:ascii="Arial" w:hAnsi="Arial" w:cs="Arial"/>
          <w:sz w:val="22"/>
          <w:szCs w:val="22"/>
        </w:rPr>
        <w:t xml:space="preserve">2 of the Regulation (EU) No 1303/2013before submission of the system to the </w:t>
      </w:r>
      <w:r w:rsidR="005121FD">
        <w:rPr>
          <w:rFonts w:ascii="Arial" w:hAnsi="Arial" w:cs="Arial"/>
          <w:sz w:val="22"/>
          <w:szCs w:val="22"/>
        </w:rPr>
        <w:t>AA</w:t>
      </w:r>
      <w:r w:rsidR="007776CD">
        <w:rPr>
          <w:rFonts w:ascii="Arial" w:hAnsi="Arial" w:cs="Arial"/>
          <w:sz w:val="22"/>
          <w:szCs w:val="22"/>
        </w:rPr>
        <w:t xml:space="preserve"> for opinion.</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Decisions of the MC will be free from bias and must not be influenced by any partial personal or organisational interests of any individual members of the MC.</w:t>
      </w:r>
    </w:p>
    <w:p w:rsidR="00DF4E40" w:rsidRPr="00304864" w:rsidRDefault="00DF4E40">
      <w:pPr>
        <w:autoSpaceDE w:val="0"/>
        <w:autoSpaceDN w:val="0"/>
        <w:adjustRightInd w:val="0"/>
        <w:rPr>
          <w:rFonts w:ascii="Arial" w:hAnsi="Arial" w:cs="Arial"/>
          <w:sz w:val="22"/>
          <w:szCs w:val="22"/>
        </w:rPr>
      </w:pPr>
    </w:p>
    <w:p w:rsidR="00DF4E40" w:rsidRPr="00304864" w:rsidRDefault="00DF4E40">
      <w:bookmarkStart w:id="346" w:name="_Toc420652573"/>
      <w:r w:rsidRPr="00A30AEC">
        <w:rPr>
          <w:rFonts w:ascii="Arial" w:hAnsi="Arial" w:cs="Arial"/>
          <w:color w:val="17365D"/>
          <w:sz w:val="22"/>
          <w:szCs w:val="22"/>
        </w:rPr>
        <w:t xml:space="preserve">Managing </w:t>
      </w:r>
      <w:r w:rsidR="008772FE">
        <w:rPr>
          <w:rFonts w:ascii="Arial" w:hAnsi="Arial" w:cs="Arial"/>
          <w:color w:val="17365D"/>
          <w:sz w:val="22"/>
          <w:szCs w:val="22"/>
        </w:rPr>
        <w:t>a</w:t>
      </w:r>
      <w:r w:rsidRPr="00A30AEC">
        <w:rPr>
          <w:rFonts w:ascii="Arial" w:hAnsi="Arial" w:cs="Arial"/>
          <w:color w:val="17365D"/>
          <w:sz w:val="22"/>
          <w:szCs w:val="22"/>
        </w:rPr>
        <w:t>uthority with additional functions of certifying authority (MA/CA)</w:t>
      </w:r>
      <w:bookmarkEnd w:id="346"/>
    </w:p>
    <w:p w:rsidR="00DF4E40" w:rsidRPr="00304864" w:rsidRDefault="00DF4E40">
      <w:pPr>
        <w:ind w:right="22"/>
        <w:rPr>
          <w:rFonts w:ascii="Arial" w:hAnsi="Arial" w:cs="Arial"/>
          <w:sz w:val="22"/>
          <w:szCs w:val="22"/>
        </w:rPr>
      </w:pPr>
      <w:r w:rsidRPr="00304864">
        <w:rPr>
          <w:rFonts w:ascii="Arial" w:hAnsi="Arial" w:cs="Arial"/>
          <w:sz w:val="22"/>
          <w:szCs w:val="22"/>
        </w:rPr>
        <w:t xml:space="preserve">The MA/CA is assisted by the JS and shall be responsible for managing and implementing the ADRION Programme in accordance with the principle of sound financial management. It carries out the functions described in Article 125 of the Regulation (EU) No 1303/2013 and Article 23 of Regulation (EU) No 1299/2013. </w:t>
      </w:r>
    </w:p>
    <w:p w:rsidR="00DF4E40" w:rsidRPr="00304864" w:rsidRDefault="00DF4E40">
      <w:pPr>
        <w:rPr>
          <w:rFonts w:ascii="Arial" w:hAnsi="Arial" w:cs="Arial"/>
          <w:sz w:val="22"/>
          <w:szCs w:val="22"/>
        </w:rPr>
      </w:pPr>
      <w:r w:rsidRPr="00304864">
        <w:rPr>
          <w:rFonts w:ascii="Arial" w:hAnsi="Arial" w:cs="Arial"/>
          <w:sz w:val="22"/>
          <w:szCs w:val="22"/>
        </w:rPr>
        <w:t>The MA/CA, according to the Article 24 of Regulation (EU) No1299/2013, shall also carry out the functions envisaged in Article 126 of Regulation (EU) No 1303/2013.</w:t>
      </w:r>
    </w:p>
    <w:p w:rsidR="00DF4E40" w:rsidRPr="00304864" w:rsidRDefault="00DF4E40">
      <w:pPr>
        <w:ind w:right="22"/>
        <w:rPr>
          <w:rFonts w:ascii="Arial" w:hAnsi="Arial" w:cs="Arial"/>
          <w:sz w:val="22"/>
          <w:szCs w:val="22"/>
        </w:rPr>
      </w:pPr>
      <w:r w:rsidRPr="00304864">
        <w:rPr>
          <w:rFonts w:ascii="Arial" w:hAnsi="Arial" w:cs="Arial"/>
          <w:sz w:val="22"/>
          <w:szCs w:val="22"/>
        </w:rPr>
        <w:t xml:space="preserve">The MA/CA shall act for the benefit of the whole Programme and, in line with its coordination role, it shall do its best to ensure that all Programme bodies interact in a smooth way. It shall act, in implementing its tasks, in full accordance with the Italian institutional, legal and financial provisions. </w:t>
      </w:r>
    </w:p>
    <w:p w:rsidR="00DF4E40" w:rsidRPr="00304864" w:rsidRDefault="00DF4E40">
      <w:pPr>
        <w:ind w:right="22"/>
        <w:rPr>
          <w:rFonts w:ascii="Arial" w:hAnsi="Arial" w:cs="Arial"/>
          <w:sz w:val="22"/>
          <w:szCs w:val="22"/>
        </w:rPr>
      </w:pPr>
      <w:r w:rsidRPr="00304864">
        <w:rPr>
          <w:rFonts w:ascii="Arial" w:hAnsi="Arial" w:cs="Arial"/>
          <w:sz w:val="22"/>
          <w:szCs w:val="22"/>
        </w:rPr>
        <w:t>The MA/CA is in charge of the transmission of information and data to the MC and to the European Commission, including financial data and data relating to indicators and milestones as well as data relating to the progress of the cooperation programme in achieving its objectives and results.</w:t>
      </w:r>
    </w:p>
    <w:p w:rsidR="00DF4E40" w:rsidRPr="00304864" w:rsidRDefault="00DF4E40">
      <w:pPr>
        <w:tabs>
          <w:tab w:val="left" w:pos="327"/>
        </w:tabs>
        <w:ind w:right="22"/>
        <w:rPr>
          <w:rFonts w:ascii="Arial" w:hAnsi="Arial" w:cs="Arial"/>
          <w:sz w:val="22"/>
          <w:szCs w:val="22"/>
        </w:rPr>
      </w:pPr>
      <w:r w:rsidRPr="00304864">
        <w:rPr>
          <w:rFonts w:ascii="Arial" w:hAnsi="Arial" w:cs="Arial"/>
          <w:sz w:val="22"/>
          <w:szCs w:val="22"/>
        </w:rPr>
        <w:t xml:space="preserve">The MA/CA, after consultation with all the Partner States, will set up the JS as described in </w:t>
      </w:r>
      <w:r w:rsidRPr="00FC11FB">
        <w:rPr>
          <w:rFonts w:ascii="Arial" w:hAnsi="Arial" w:cs="Arial"/>
          <w:sz w:val="22"/>
          <w:szCs w:val="22"/>
        </w:rPr>
        <w:t>paragraph 5.</w:t>
      </w:r>
      <w:r w:rsidR="00FC11FB" w:rsidRPr="00A30AEC">
        <w:rPr>
          <w:rFonts w:ascii="Arial" w:hAnsi="Arial" w:cs="Arial"/>
          <w:sz w:val="22"/>
          <w:szCs w:val="22"/>
        </w:rPr>
        <w:t>2</w:t>
      </w:r>
      <w:r w:rsidRPr="00FC11FB">
        <w:rPr>
          <w:rFonts w:ascii="Arial" w:hAnsi="Arial" w:cs="Arial"/>
          <w:sz w:val="22"/>
          <w:szCs w:val="22"/>
        </w:rPr>
        <w:t>.</w:t>
      </w:r>
    </w:p>
    <w:p w:rsidR="00DF4E40" w:rsidRPr="00304864" w:rsidRDefault="00DF4E40">
      <w:pPr>
        <w:ind w:right="23"/>
        <w:rPr>
          <w:rFonts w:ascii="Arial" w:hAnsi="Arial" w:cs="Arial"/>
          <w:sz w:val="22"/>
          <w:szCs w:val="22"/>
        </w:rPr>
      </w:pPr>
      <w:r w:rsidRPr="00304864">
        <w:rPr>
          <w:rFonts w:ascii="Arial" w:hAnsi="Arial" w:cs="Arial"/>
          <w:sz w:val="22"/>
          <w:szCs w:val="22"/>
        </w:rPr>
        <w:t>The MA/CA:</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Is responsible for drawing up and submitting to the European Commission payment applications and certifying that these result from reliable accounting systems, they shall be based on verifiable supporting documents and have been subject to verifications by the MA/CA before being sent to the European Commission</w:t>
      </w:r>
      <w:r w:rsidR="00301E14" w:rsidRPr="00A30AEC">
        <w:rPr>
          <w:rFonts w:cs="Arial"/>
          <w:lang w:val="en-GB"/>
        </w:rPr>
        <w: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Is responsible for drawing up the annual accounts, certifying their completeness, accuracy and veracity and ensures that the expenditure entered in the accounts complies with applicable EU and national rules and has been incurred in respect of operations selected for funding in accordance with the criteria applicable to the cooperation programme and complying with EU and national rules;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Shall set up effective and proportionate anti-fraud and anti-corruption measures taking into account the risks identified (Regulation (EU) No 1303/2013, Article 125(4)(c)). It shall ensure that: anti-fraud checks shall be done in cooperation with the representatives of the countries participating to the Programme (e.g.: NCPs); in this respect it shall elaborate guidance notes and a check grids with regard to this specific topic will be elaborated to ensure checks consistency and equal treatment towards all partners; anti-fraud checks shall be implemented only on those operations which will likely be proposed for funding to the MC;</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Shall verify the presence of double funding through ad hoc questions in the Application Form and exchange of information with at least the transnational cooperation programmes operating/partly operating in the same geographical area of the ADRION Programme;</w:t>
      </w:r>
    </w:p>
    <w:p w:rsidR="009E62E7"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Shall ensure that the eventual presence of conflict of interest will be dealt in the </w:t>
      </w:r>
      <w:r w:rsidR="00301E14" w:rsidRPr="00A30AEC">
        <w:rPr>
          <w:rFonts w:cs="Arial"/>
          <w:lang w:val="en-GB"/>
        </w:rPr>
        <w:t>MC</w:t>
      </w:r>
      <w:r w:rsidRPr="00A30AEC">
        <w:rPr>
          <w:rFonts w:cs="Arial"/>
          <w:lang w:val="en-GB"/>
        </w:rPr>
        <w:t xml:space="preserve"> Rules of Procedures</w:t>
      </w:r>
      <w:r w:rsidR="009E62E7">
        <w:rPr>
          <w:rFonts w:cs="Arial"/>
          <w:lang w:val="en-GB"/>
        </w:rPr>
        <w:t>;</w:t>
      </w:r>
    </w:p>
    <w:p w:rsidR="00DF4E40" w:rsidRPr="00304864" w:rsidRDefault="00DF4E40">
      <w:pPr>
        <w:tabs>
          <w:tab w:val="left" w:pos="327"/>
        </w:tabs>
        <w:ind w:right="22"/>
        <w:rPr>
          <w:rFonts w:ascii="Arial" w:hAnsi="Arial" w:cs="Arial"/>
          <w:sz w:val="22"/>
          <w:szCs w:val="22"/>
        </w:rPr>
      </w:pPr>
    </w:p>
    <w:p w:rsidR="00DF4E40" w:rsidRPr="00304864" w:rsidRDefault="00DF4E40">
      <w:pPr>
        <w:tabs>
          <w:tab w:val="left" w:pos="327"/>
        </w:tabs>
        <w:ind w:right="22"/>
        <w:rPr>
          <w:rFonts w:ascii="Arial" w:hAnsi="Arial" w:cs="Arial"/>
          <w:sz w:val="22"/>
          <w:szCs w:val="22"/>
        </w:rPr>
      </w:pPr>
      <w:r w:rsidRPr="00304864">
        <w:rPr>
          <w:rFonts w:ascii="Arial" w:hAnsi="Arial" w:cs="Arial"/>
          <w:sz w:val="22"/>
          <w:szCs w:val="22"/>
        </w:rPr>
        <w:t xml:space="preserve">The MA also carries out the functions of the CA. In this role the MA/CA: </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Ensures the drawing up and the submission of the payment applications to the European Commission;</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Certifies that payments applications to the European Commission result from reliable accounting system and based on verifiable supporting documents;</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Certifies that the information as in the point above have been verified by the MA with regard to the completeness, accuracy and veracity of the annual accounts and that the expenditure entered in the accounts complies with applicable Union</w:t>
      </w:r>
      <w:r w:rsidRPr="00A30AEC">
        <w:rPr>
          <w:rFonts w:cs="Arial"/>
          <w:lang w:val="en-US"/>
        </w:rPr>
        <w:t xml:space="preserve"> and national rules and has been incurred in respect of operations selected for funding in accordance with the criteria applicable complying with Union and national rules;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Provides the MA, according to </w:t>
      </w:r>
      <w:r w:rsidR="00301E14" w:rsidRPr="00A30AEC">
        <w:rPr>
          <w:rFonts w:cs="Arial"/>
          <w:lang w:val="en-GB"/>
        </w:rPr>
        <w:t>A</w:t>
      </w:r>
      <w:r w:rsidRPr="00A30AEC">
        <w:rPr>
          <w:rFonts w:cs="Arial"/>
          <w:lang w:val="en-GB"/>
        </w:rPr>
        <w:t>rt</w:t>
      </w:r>
      <w:r w:rsidR="00301E14" w:rsidRPr="00A30AEC">
        <w:rPr>
          <w:rFonts w:cs="Arial"/>
          <w:lang w:val="en-GB"/>
        </w:rPr>
        <w:t>icle</w:t>
      </w:r>
      <w:r w:rsidRPr="00A30AEC">
        <w:rPr>
          <w:rFonts w:cs="Arial"/>
          <w:lang w:val="en-GB"/>
        </w:rPr>
        <w:t xml:space="preserve"> 112.1 of </w:t>
      </w:r>
      <w:r w:rsidR="00301E14" w:rsidRPr="00A30AEC">
        <w:rPr>
          <w:rFonts w:cs="Arial"/>
          <w:lang w:val="en-GB"/>
        </w:rPr>
        <w:t>Regulation (EU) No 1303/2013</w:t>
      </w:r>
      <w:r w:rsidRPr="00A30AEC">
        <w:rPr>
          <w:rFonts w:cs="Arial"/>
          <w:lang w:val="en-GB"/>
        </w:rPr>
        <w:t xml:space="preserve">, by 31 January, 31 July and 31 October of each year the following information per </w:t>
      </w:r>
      <w:r w:rsidR="004A0CC2">
        <w:rPr>
          <w:rFonts w:cs="Arial"/>
          <w:lang w:val="en-GB"/>
        </w:rPr>
        <w:t>PA</w:t>
      </w:r>
      <w:r w:rsidRPr="00A30AEC">
        <w:rPr>
          <w:rFonts w:cs="Arial"/>
          <w:lang w:val="en-GB"/>
        </w:rPr>
        <w:t xml:space="preserve">: </w:t>
      </w:r>
    </w:p>
    <w:p w:rsidR="00DF4E40" w:rsidRPr="00A30AEC" w:rsidRDefault="00FC11FB" w:rsidP="00A30AEC">
      <w:pPr>
        <w:pStyle w:val="ListParagraph"/>
        <w:numPr>
          <w:ilvl w:val="0"/>
          <w:numId w:val="135"/>
        </w:numPr>
        <w:ind w:left="1134" w:right="22" w:hanging="284"/>
        <w:rPr>
          <w:rFonts w:ascii="Arial" w:hAnsi="Arial" w:cs="Arial"/>
          <w:sz w:val="22"/>
          <w:szCs w:val="22"/>
          <w:lang w:val="en-US"/>
        </w:rPr>
      </w:pPr>
      <w:r>
        <w:rPr>
          <w:rFonts w:ascii="Arial" w:hAnsi="Arial" w:cs="Arial"/>
          <w:sz w:val="22"/>
          <w:szCs w:val="22"/>
          <w:lang w:val="en-US"/>
        </w:rPr>
        <w:t>T</w:t>
      </w:r>
      <w:r w:rsidR="00DF4E40" w:rsidRPr="00A30AEC">
        <w:rPr>
          <w:rFonts w:ascii="Arial" w:hAnsi="Arial" w:cs="Arial"/>
          <w:sz w:val="22"/>
          <w:szCs w:val="22"/>
          <w:lang w:val="en-US"/>
        </w:rPr>
        <w:t xml:space="preserve">he total and public eligible costs of the operations and the number of operations selected for support; </w:t>
      </w:r>
    </w:p>
    <w:p w:rsidR="00DF4E40" w:rsidRPr="00A30AEC" w:rsidRDefault="00FC11FB" w:rsidP="00A30AEC">
      <w:pPr>
        <w:pStyle w:val="ListParagraph"/>
        <w:numPr>
          <w:ilvl w:val="0"/>
          <w:numId w:val="135"/>
        </w:numPr>
        <w:ind w:left="1134" w:right="22" w:hanging="284"/>
        <w:rPr>
          <w:rFonts w:ascii="Arial" w:hAnsi="Arial" w:cs="Arial"/>
          <w:sz w:val="22"/>
          <w:szCs w:val="22"/>
          <w:lang w:val="en-US"/>
        </w:rPr>
      </w:pPr>
      <w:r>
        <w:rPr>
          <w:rFonts w:ascii="Arial" w:hAnsi="Arial" w:cs="Arial"/>
          <w:sz w:val="22"/>
          <w:szCs w:val="22"/>
          <w:lang w:val="en-US"/>
        </w:rPr>
        <w:t>T</w:t>
      </w:r>
      <w:r w:rsidR="00DF4E40" w:rsidRPr="00A30AEC">
        <w:rPr>
          <w:rFonts w:ascii="Arial" w:hAnsi="Arial" w:cs="Arial"/>
          <w:sz w:val="22"/>
          <w:szCs w:val="22"/>
          <w:lang w:val="en-US"/>
        </w:rPr>
        <w:t xml:space="preserve">he total eligible expenditure declared by beneficiaries, ensuring that, in the delivery to be submitted by 31 January, data are broken down by category of intervention; such information fulfils the additional requirements on financial data as in </w:t>
      </w:r>
      <w:r w:rsidR="00301E14" w:rsidRPr="00A30AEC">
        <w:rPr>
          <w:rFonts w:ascii="Arial" w:hAnsi="Arial" w:cs="Arial"/>
          <w:sz w:val="22"/>
          <w:szCs w:val="22"/>
          <w:lang w:val="en-US"/>
        </w:rPr>
        <w:t>A</w:t>
      </w:r>
      <w:r w:rsidR="00DF4E40" w:rsidRPr="00A30AEC">
        <w:rPr>
          <w:rFonts w:ascii="Arial" w:hAnsi="Arial" w:cs="Arial"/>
          <w:sz w:val="22"/>
          <w:szCs w:val="22"/>
          <w:lang w:val="en-US"/>
        </w:rPr>
        <w:t>rt</w:t>
      </w:r>
      <w:r w:rsidR="00301E14" w:rsidRPr="00A30AEC">
        <w:rPr>
          <w:rFonts w:ascii="Arial" w:hAnsi="Arial" w:cs="Arial"/>
          <w:sz w:val="22"/>
          <w:szCs w:val="22"/>
          <w:lang w:val="en-US"/>
        </w:rPr>
        <w:t>icle</w:t>
      </w:r>
      <w:r w:rsidR="00DF4E40" w:rsidRPr="00A30AEC">
        <w:rPr>
          <w:rFonts w:ascii="Arial" w:hAnsi="Arial" w:cs="Arial"/>
          <w:sz w:val="22"/>
          <w:szCs w:val="22"/>
          <w:lang w:val="en-US"/>
        </w:rPr>
        <w:t xml:space="preserve"> 50.2 of </w:t>
      </w:r>
      <w:r w:rsidR="00301E14">
        <w:rPr>
          <w:rFonts w:ascii="Arial" w:hAnsi="Arial" w:cs="Arial"/>
          <w:sz w:val="22"/>
          <w:szCs w:val="22"/>
          <w:lang w:val="en-US"/>
        </w:rPr>
        <w:t>Regulation (EU) No 1303/2013</w:t>
      </w:r>
      <w:r w:rsidR="00DF4E40" w:rsidRPr="00A30AEC">
        <w:rPr>
          <w:rFonts w:ascii="Arial" w:hAnsi="Arial" w:cs="Arial"/>
          <w:sz w:val="22"/>
          <w:szCs w:val="22"/>
          <w:lang w:val="en-US"/>
        </w:rPr>
        <w:t>;</w:t>
      </w:r>
    </w:p>
    <w:p w:rsidR="00DF4E40" w:rsidRPr="00A30AEC" w:rsidRDefault="00DF4E40" w:rsidP="00A30AEC">
      <w:pPr>
        <w:pStyle w:val="ListParagraph"/>
        <w:numPr>
          <w:ilvl w:val="0"/>
          <w:numId w:val="135"/>
        </w:numPr>
        <w:ind w:left="1134" w:right="22" w:hanging="284"/>
        <w:rPr>
          <w:rFonts w:ascii="Arial" w:hAnsi="Arial" w:cs="Arial"/>
          <w:sz w:val="22"/>
          <w:szCs w:val="22"/>
          <w:lang w:val="en-US"/>
        </w:rPr>
      </w:pPr>
      <w:r w:rsidRPr="00A30AEC">
        <w:rPr>
          <w:rFonts w:ascii="Arial" w:hAnsi="Arial" w:cs="Arial"/>
          <w:sz w:val="22"/>
          <w:szCs w:val="22"/>
          <w:lang w:val="en-US"/>
        </w:rPr>
        <w:t>Ensures that the transmissions to be done by 31 January and 31 July above also contain a forecast of the amount for which the MA expects to submit payment applications for the current financial year and the subsequent one; and that the cut-off date for the data submitted refers to the end of the month preceding the one of submission;</w:t>
      </w:r>
    </w:p>
    <w:p w:rsidR="00DF4E40" w:rsidRPr="00A30AEC" w:rsidRDefault="00DF4E40" w:rsidP="00A30AEC">
      <w:pPr>
        <w:pStyle w:val="ListParagraph"/>
        <w:numPr>
          <w:ilvl w:val="0"/>
          <w:numId w:val="135"/>
        </w:numPr>
        <w:ind w:left="1134" w:right="22" w:hanging="284"/>
        <w:rPr>
          <w:rFonts w:ascii="Arial" w:hAnsi="Arial" w:cs="Arial"/>
          <w:sz w:val="22"/>
          <w:szCs w:val="22"/>
          <w:lang w:val="en-US"/>
        </w:rPr>
      </w:pPr>
      <w:r w:rsidRPr="00A30AEC">
        <w:rPr>
          <w:rFonts w:ascii="Arial" w:hAnsi="Arial" w:cs="Arial"/>
          <w:sz w:val="22"/>
          <w:szCs w:val="22"/>
          <w:lang w:val="en-US"/>
        </w:rPr>
        <w:t>Submits all the relevant data above in accordance to art. 2 and Annex II of the Implementing Regulation (EU) No 1011/2014;</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Ensures the MA that any amount paid as a result of an irregularity is recovered from the lead partners (Article 27(2) of the Regulation</w:t>
      </w:r>
      <w:r w:rsidR="00301E14" w:rsidRPr="00A30AEC">
        <w:rPr>
          <w:rFonts w:cs="Arial"/>
          <w:lang w:val="en-GB"/>
        </w:rPr>
        <w:t xml:space="preserve"> (EU) No 1299/2013</w:t>
      </w:r>
      <w:r w:rsidRPr="00A30AEC">
        <w:rPr>
          <w:rFonts w:cs="Arial"/>
          <w:lang w:val="en-GB"/>
        </w:rPr>
        <w: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Ensures that the drawing up and further submission of payment application have taken into account the results of the audits carried out both directly or under the responsibility of the AA;</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Keeps an account of amounts recoverable and of amounts withdrawn following cancellation of all or part of the contribution for an operation. Recovered amounts shall be repaid to the European Commission prior to the closure of the operational programme by deducting them from the subsequent statement of expenditure;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Prevents, detects and correct irregularities exceeding EUR 10.000 and recovers amounts unduly paid, together with an interest on late payments; it informs on the progress in all administrative and legal proceedings; communicates cases of bankruptcies as well as cases of suspected fraud;</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Ensures that the submission of payments applications has been preceded by the receiving of adequate information from the MA on the procedures and verifications carried out in relation to expenditure;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Draws up, by 15 February of the following financial year, and according to </w:t>
      </w:r>
      <w:r w:rsidR="00301E14" w:rsidRPr="00A30AEC">
        <w:rPr>
          <w:rFonts w:cs="Arial"/>
          <w:lang w:val="en-GB"/>
        </w:rPr>
        <w:t>A</w:t>
      </w:r>
      <w:r w:rsidRPr="00A30AEC">
        <w:rPr>
          <w:rFonts w:cs="Arial"/>
          <w:lang w:val="en-GB"/>
        </w:rPr>
        <w:t>rt</w:t>
      </w:r>
      <w:r w:rsidR="00301E14" w:rsidRPr="00A30AEC">
        <w:rPr>
          <w:rFonts w:cs="Arial"/>
          <w:lang w:val="en-GB"/>
        </w:rPr>
        <w:t>icle</w:t>
      </w:r>
      <w:r w:rsidRPr="00A30AEC">
        <w:rPr>
          <w:rFonts w:cs="Arial"/>
          <w:lang w:val="en-GB"/>
        </w:rPr>
        <w:t xml:space="preserve"> 137 of </w:t>
      </w:r>
      <w:r w:rsidR="00301E14" w:rsidRPr="00A30AEC">
        <w:rPr>
          <w:rFonts w:cs="Arial"/>
          <w:lang w:val="en-GB"/>
        </w:rPr>
        <w:t xml:space="preserve">Regulation (EU) No 1303/2013 </w:t>
      </w:r>
      <w:r w:rsidRPr="00A30AEC">
        <w:rPr>
          <w:rFonts w:cs="Arial"/>
          <w:lang w:val="en-GB"/>
        </w:rPr>
        <w:t xml:space="preserve">and 59.9 of the </w:t>
      </w:r>
      <w:r w:rsidR="00301E14" w:rsidRPr="00A30AEC">
        <w:rPr>
          <w:rFonts w:cs="Arial"/>
          <w:lang w:val="en-GB"/>
        </w:rPr>
        <w:t>F</w:t>
      </w:r>
      <w:r w:rsidRPr="00A30AEC">
        <w:rPr>
          <w:rFonts w:cs="Arial"/>
          <w:lang w:val="en-GB"/>
        </w:rPr>
        <w:t xml:space="preserve">inancial </w:t>
      </w:r>
      <w:r w:rsidR="00301E14" w:rsidRPr="00A30AEC">
        <w:rPr>
          <w:rFonts w:cs="Arial"/>
          <w:lang w:val="en-GB"/>
        </w:rPr>
        <w:t>R</w:t>
      </w:r>
      <w:r w:rsidRPr="00A30AEC">
        <w:rPr>
          <w:rFonts w:cs="Arial"/>
          <w:lang w:val="en-GB"/>
        </w:rPr>
        <w:t xml:space="preserve">egulation, the accounts on the incurred expenditure including pre-financing and the sums for which recovery procedures are underway or have been completed. The information shall be accompanied by the management declaration. It must certify the completeness, accuracy and veracity of the accounts and that the expenditure entered by the funded operations </w:t>
      </w:r>
      <w:r w:rsidR="00301E14" w:rsidRPr="00A30AEC">
        <w:rPr>
          <w:rFonts w:cs="Arial"/>
          <w:lang w:val="en-GB"/>
        </w:rPr>
        <w:t xml:space="preserve">are </w:t>
      </w:r>
      <w:r w:rsidRPr="00A30AEC">
        <w:rPr>
          <w:rFonts w:cs="Arial"/>
          <w:lang w:val="en-GB"/>
        </w:rPr>
        <w:t xml:space="preserve">appraised according to the approved selection criteria or by the </w:t>
      </w:r>
      <w:r w:rsidR="008772FE">
        <w:rPr>
          <w:rFonts w:cs="Arial"/>
          <w:lang w:val="en-GB"/>
        </w:rPr>
        <w:t>TA</w:t>
      </w:r>
      <w:r w:rsidRPr="00A30AEC">
        <w:rPr>
          <w:rFonts w:cs="Arial"/>
          <w:lang w:val="en-GB"/>
        </w:rPr>
        <w:t xml:space="preserve"> projects implemented by the NCPs;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Confirms that the Programme has a system which records and stores in a computerized form, accounting records for each operation and which supports all the data required for drawing up payment application and amounts; that the system is regularly updated following the cancellation of all or part of the contribution for an operation or operational programme;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Elaborates payments applications (</w:t>
      </w:r>
      <w:r w:rsidR="00301E14" w:rsidRPr="00A30AEC">
        <w:rPr>
          <w:rFonts w:cs="Arial"/>
          <w:lang w:val="en-GB"/>
        </w:rPr>
        <w:t>A</w:t>
      </w:r>
      <w:r w:rsidRPr="00A30AEC">
        <w:rPr>
          <w:rFonts w:cs="Arial"/>
          <w:lang w:val="en-GB"/>
        </w:rPr>
        <w:t>rt</w:t>
      </w:r>
      <w:r w:rsidR="00301E14" w:rsidRPr="00A30AEC">
        <w:rPr>
          <w:rFonts w:cs="Arial"/>
          <w:lang w:val="en-GB"/>
        </w:rPr>
        <w:t>icle No</w:t>
      </w:r>
      <w:r w:rsidRPr="00A30AEC">
        <w:rPr>
          <w:rFonts w:cs="Arial"/>
          <w:lang w:val="en-GB"/>
        </w:rPr>
        <w:t xml:space="preserve"> 131.1 </w:t>
      </w:r>
      <w:r w:rsidR="00301E14" w:rsidRPr="00A30AEC">
        <w:rPr>
          <w:rFonts w:cs="Arial"/>
          <w:lang w:val="en-GB"/>
        </w:rPr>
        <w:t>of Regulation (EU) No 1303/2013</w:t>
      </w:r>
      <w:r w:rsidRPr="00A30AEC">
        <w:rPr>
          <w:rFonts w:cs="Arial"/>
          <w:lang w:val="en-GB"/>
        </w:rPr>
        <w:t>) providing, for each priority, information on the total among or eligible expenditure incurred by beneficiaries and paid in implementing operations, as entered in the accounting system and the total amount of public expenditure incurred in implementing operations;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Receives the payments made by the European Commission (pre-financing, interim payments and the payment of the final balance as defined in Article 77(2) of </w:t>
      </w:r>
      <w:r w:rsidR="00301E14" w:rsidRPr="00A30AEC">
        <w:rPr>
          <w:rFonts w:cs="Arial"/>
          <w:lang w:val="en-GB"/>
        </w:rPr>
        <w:t>of Regulation (EU) No 1303/2013</w:t>
      </w:r>
      <w:r w:rsidRPr="00A30AEC">
        <w:rPr>
          <w:rFonts w:cs="Arial"/>
          <w:lang w:val="en-GB"/>
        </w:rPr>
        <w:t xml:space="preserve">) and makes payments to the </w:t>
      </w:r>
      <w:r w:rsidR="00FB0061">
        <w:rPr>
          <w:rFonts w:cs="Arial"/>
          <w:lang w:val="en-GB"/>
        </w:rPr>
        <w:t>Lead Partner</w:t>
      </w:r>
      <w:r w:rsidRPr="00A30AEC">
        <w:rPr>
          <w:rFonts w:cs="Arial"/>
          <w:lang w:val="en-GB"/>
        </w:rPr>
        <w:t xml:space="preserve"> in accordance with art. 132 of </w:t>
      </w:r>
      <w:r w:rsidR="00301E14" w:rsidRPr="00A30AEC">
        <w:rPr>
          <w:rFonts w:cs="Arial"/>
          <w:lang w:val="en-GB"/>
        </w:rPr>
        <w:t>of Regulation (EU) No 1303/2013</w:t>
      </w:r>
      <w:r w:rsidRPr="00A30AEC">
        <w:rPr>
          <w:rFonts w:cs="Arial"/>
          <w:lang w:val="en-GB"/>
        </w:rPr>
        <w:t xml:space="preserve"> and art 21.2 of </w:t>
      </w:r>
      <w:r w:rsidR="00301E14" w:rsidRPr="00A30AEC">
        <w:rPr>
          <w:rFonts w:cs="Arial"/>
          <w:lang w:val="en-GB"/>
        </w:rPr>
        <w:t>Regulation (EU) No 1299/2013</w:t>
      </w:r>
      <w:r w:rsidRPr="00A30AEC">
        <w:rPr>
          <w:rFonts w:cs="Arial"/>
          <w:lang w:val="en-GB"/>
        </w:rPr>
        <w: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Submits the final application for an interim payment by 31 July following the end of the previous accounting year and before the first application for interim payment for the next accounting year (art 135.2 CPR) and after the submission of the annual implementation report to the European Commission;</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Maintains accounting records in a computerised form of expenditure declared to the </w:t>
      </w:r>
      <w:r w:rsidR="000C7309">
        <w:rPr>
          <w:rFonts w:cs="Arial"/>
          <w:lang w:val="en-GB"/>
        </w:rPr>
        <w:t xml:space="preserve">European </w:t>
      </w:r>
      <w:r w:rsidRPr="00A30AEC">
        <w:rPr>
          <w:rFonts w:cs="Arial"/>
          <w:lang w:val="en-GB"/>
        </w:rPr>
        <w:t>Commission and the corresponding public contribution paid to the project partners.</w:t>
      </w:r>
    </w:p>
    <w:p w:rsidR="00830B6D" w:rsidRPr="009B4C45" w:rsidRDefault="00830B6D" w:rsidP="009B4C45">
      <w:pPr>
        <w:rPr>
          <w:rFonts w:ascii="Arial" w:hAnsi="Arial" w:cs="Arial"/>
          <w:sz w:val="22"/>
          <w:szCs w:val="22"/>
          <w:lang w:eastAsia="de-AT"/>
        </w:rPr>
      </w:pPr>
      <w:r w:rsidRPr="009B4C45">
        <w:rPr>
          <w:rFonts w:ascii="Arial" w:hAnsi="Arial" w:cs="Arial"/>
          <w:sz w:val="22"/>
          <w:szCs w:val="22"/>
          <w:lang w:eastAsia="de-AT"/>
        </w:rPr>
        <w:t xml:space="preserve">The MA and CA are hosted by the General Directorate, Territorial and negotiated planning. Agreements. European and International Relationships and respond both to the General Director. MA and CA structures work separately and are each other independent. The two structures will have ad hoc personnel; segregation of functions shall be ensured. </w:t>
      </w:r>
    </w:p>
    <w:p w:rsidR="00830B6D" w:rsidRPr="009B4C45" w:rsidRDefault="00830B6D" w:rsidP="009B4C45">
      <w:pPr>
        <w:rPr>
          <w:rFonts w:ascii="Arial" w:hAnsi="Arial" w:cs="Arial"/>
          <w:sz w:val="22"/>
          <w:szCs w:val="22"/>
          <w:lang w:eastAsia="de-AT"/>
        </w:rPr>
      </w:pPr>
      <w:r w:rsidRPr="009B4C45">
        <w:rPr>
          <w:rFonts w:ascii="Arial" w:hAnsi="Arial" w:cs="Arial"/>
          <w:sz w:val="22"/>
          <w:szCs w:val="22"/>
          <w:lang w:eastAsia="de-AT"/>
        </w:rPr>
        <w:t>Within the MA, separation of functions regarding the selection of operations (art. 125.3 of Regulation (EU) No 1303/2013) and the financial management and control of the cooperation programme (art. 125.4) shall be ensured. The functions shall be implemented by different officials. Segregation of functions shall be described in the description of the management and control system.</w:t>
      </w:r>
    </w:p>
    <w:p w:rsidR="00605E08" w:rsidRPr="009B4C45" w:rsidRDefault="00605E08">
      <w:pPr>
        <w:tabs>
          <w:tab w:val="left" w:pos="327"/>
        </w:tabs>
        <w:ind w:right="22"/>
        <w:rPr>
          <w:rFonts w:ascii="Arial" w:hAnsi="Arial" w:cs="Arial"/>
          <w:sz w:val="22"/>
          <w:szCs w:val="22"/>
          <w:lang w:val="en-US"/>
        </w:rPr>
      </w:pPr>
    </w:p>
    <w:p w:rsidR="00DF4E40" w:rsidRPr="00A30AEC" w:rsidRDefault="00DF4E40">
      <w:pPr>
        <w:pStyle w:val="Heading3"/>
        <w:spacing w:before="0" w:after="120"/>
        <w:ind w:left="0" w:right="22"/>
        <w:jc w:val="left"/>
        <w:rPr>
          <w:rFonts w:ascii="Arial" w:hAnsi="Arial" w:cs="Arial"/>
          <w:b w:val="0"/>
          <w:i w:val="0"/>
          <w:noProof w:val="0"/>
          <w:color w:val="17365D"/>
          <w:sz w:val="22"/>
          <w:szCs w:val="22"/>
          <w:lang w:eastAsia="en-US"/>
        </w:rPr>
      </w:pPr>
      <w:bookmarkStart w:id="347" w:name="_Toc395515651"/>
      <w:bookmarkStart w:id="348" w:name="_Toc420652574"/>
      <w:bookmarkStart w:id="349" w:name="_Toc421076924"/>
      <w:r w:rsidRPr="00A30AEC">
        <w:rPr>
          <w:rFonts w:ascii="Arial" w:hAnsi="Arial" w:cs="Arial"/>
          <w:b w:val="0"/>
          <w:i w:val="0"/>
          <w:noProof w:val="0"/>
          <w:color w:val="17365D"/>
          <w:sz w:val="22"/>
          <w:szCs w:val="22"/>
          <w:lang w:eastAsia="en-US"/>
        </w:rPr>
        <w:t xml:space="preserve">Audit </w:t>
      </w:r>
      <w:r w:rsidR="008772FE">
        <w:rPr>
          <w:rFonts w:ascii="Arial" w:hAnsi="Arial" w:cs="Arial"/>
          <w:b w:val="0"/>
          <w:i w:val="0"/>
          <w:noProof w:val="0"/>
          <w:color w:val="17365D"/>
          <w:sz w:val="22"/>
          <w:szCs w:val="22"/>
          <w:lang w:eastAsia="en-US"/>
        </w:rPr>
        <w:t>a</w:t>
      </w:r>
      <w:r w:rsidRPr="00A30AEC">
        <w:rPr>
          <w:rFonts w:ascii="Arial" w:hAnsi="Arial" w:cs="Arial"/>
          <w:b w:val="0"/>
          <w:i w:val="0"/>
          <w:noProof w:val="0"/>
          <w:color w:val="17365D"/>
          <w:sz w:val="22"/>
          <w:szCs w:val="22"/>
          <w:lang w:eastAsia="en-US"/>
        </w:rPr>
        <w:t>uthority</w:t>
      </w:r>
      <w:bookmarkEnd w:id="347"/>
      <w:r w:rsidRPr="00A30AEC">
        <w:rPr>
          <w:rFonts w:ascii="Arial" w:hAnsi="Arial" w:cs="Arial"/>
          <w:b w:val="0"/>
          <w:i w:val="0"/>
          <w:noProof w:val="0"/>
          <w:color w:val="17365D"/>
          <w:sz w:val="22"/>
          <w:szCs w:val="22"/>
          <w:lang w:eastAsia="en-US"/>
        </w:rPr>
        <w:t xml:space="preserve"> (AA)</w:t>
      </w:r>
      <w:bookmarkEnd w:id="348"/>
      <w:bookmarkEnd w:id="349"/>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The </w:t>
      </w:r>
      <w:r w:rsidR="005121FD">
        <w:rPr>
          <w:rFonts w:ascii="Arial" w:hAnsi="Arial" w:cs="Arial"/>
          <w:sz w:val="22"/>
          <w:szCs w:val="22"/>
        </w:rPr>
        <w:t>a</w:t>
      </w:r>
      <w:r w:rsidRPr="00304864">
        <w:rPr>
          <w:rFonts w:ascii="Arial" w:hAnsi="Arial" w:cs="Arial"/>
          <w:sz w:val="22"/>
          <w:szCs w:val="22"/>
        </w:rPr>
        <w:t xml:space="preserve">udit </w:t>
      </w:r>
      <w:r w:rsidR="005121FD">
        <w:rPr>
          <w:rFonts w:ascii="Arial" w:hAnsi="Arial" w:cs="Arial"/>
          <w:sz w:val="22"/>
          <w:szCs w:val="22"/>
        </w:rPr>
        <w:t>a</w:t>
      </w:r>
      <w:r w:rsidRPr="00304864">
        <w:rPr>
          <w:rFonts w:ascii="Arial" w:hAnsi="Arial" w:cs="Arial"/>
          <w:sz w:val="22"/>
          <w:szCs w:val="22"/>
        </w:rPr>
        <w:t xml:space="preserve">uthority (AA) will carry out its functions in accordance with Articles 123, 124, 127 and 128 of the </w:t>
      </w:r>
      <w:r w:rsidRPr="00304864">
        <w:rPr>
          <w:rFonts w:ascii="Arial" w:hAnsi="Arial" w:cs="Arial"/>
          <w:sz w:val="22"/>
          <w:szCs w:val="22"/>
          <w:lang w:eastAsia="sv-SE"/>
        </w:rPr>
        <w:t xml:space="preserve">Regulation (EU) No 1303/2013 </w:t>
      </w:r>
      <w:r w:rsidRPr="00304864">
        <w:rPr>
          <w:rFonts w:ascii="Arial" w:hAnsi="Arial" w:cs="Arial"/>
          <w:sz w:val="22"/>
          <w:szCs w:val="22"/>
        </w:rPr>
        <w:t xml:space="preserve">and Articles 21 and 25 of the Regulation (EU) No 1299/2013. </w:t>
      </w:r>
    </w:p>
    <w:p w:rsidR="00DF4E40" w:rsidRPr="00304864" w:rsidRDefault="00DF4E40">
      <w:pPr>
        <w:ind w:right="23"/>
        <w:rPr>
          <w:rFonts w:ascii="Arial" w:hAnsi="Arial" w:cs="Arial"/>
          <w:sz w:val="22"/>
          <w:szCs w:val="22"/>
        </w:rPr>
      </w:pPr>
      <w:r w:rsidRPr="00304864">
        <w:rPr>
          <w:rFonts w:ascii="Arial" w:hAnsi="Arial" w:cs="Arial"/>
          <w:sz w:val="22"/>
          <w:szCs w:val="22"/>
        </w:rPr>
        <w:t>The AA ensures that audits are carried out on the proper functioning of management and control system of the cooperation programme and on an appropriate sample of operations on the basis of the declared expenditure. It draws up an audit opinion on the annual accounts for the preceding accounting year and an annual control report setting out findings of the audits carried out during the preceding accounting year.</w:t>
      </w:r>
    </w:p>
    <w:p w:rsidR="00DF4E40" w:rsidRPr="00304864" w:rsidRDefault="00DF4E40">
      <w:pPr>
        <w:ind w:right="22"/>
        <w:rPr>
          <w:rFonts w:ascii="Arial" w:hAnsi="Arial" w:cs="Arial"/>
          <w:sz w:val="22"/>
          <w:szCs w:val="22"/>
        </w:rPr>
      </w:pPr>
      <w:r w:rsidRPr="00304864">
        <w:rPr>
          <w:rFonts w:ascii="Arial" w:hAnsi="Arial" w:cs="Arial"/>
          <w:sz w:val="22"/>
          <w:szCs w:val="22"/>
        </w:rPr>
        <w:t>The AA shall, within eight months of adoption of the ADRION Programme, prepare an audit strategy of performance and audits. The audit strategy shall set out the audit methodology, the sampling method for audits on projects and the planning of audits in relation to the current accounting year and the two subsequent accounting years.</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In line with Article 25(2) of </w:t>
      </w:r>
      <w:r w:rsidR="00301E14">
        <w:rPr>
          <w:rFonts w:ascii="Arial" w:hAnsi="Arial" w:cs="Arial"/>
          <w:sz w:val="22"/>
          <w:szCs w:val="22"/>
          <w:lang w:val="en-US"/>
        </w:rPr>
        <w:t>Regulation (EU) No 1299/2013</w:t>
      </w:r>
      <w:r w:rsidRPr="00304864">
        <w:rPr>
          <w:rFonts w:ascii="Arial" w:hAnsi="Arial" w:cs="Arial"/>
          <w:sz w:val="22"/>
          <w:szCs w:val="22"/>
        </w:rPr>
        <w:t xml:space="preserve">, the AA will be assisted by a Group of Auditors (GoA) comprising of representatives from responsible bodies of each Partner State participating in the ADRION Programme carrying out the above listed duties detailed in Article 127 of the of Regulation (EU) No 1303/2013. The representatives have to be independent from the MC members, the controllers designated according to Article 23(4) of Regulation (EU) No 1299/2013 and any operation’s activities and finances. The GoA will be set up within three months of the decision approving the ADRION </w:t>
      </w:r>
      <w:r w:rsidR="00301E14">
        <w:rPr>
          <w:rFonts w:ascii="Arial" w:hAnsi="Arial" w:cs="Arial"/>
          <w:sz w:val="22"/>
          <w:szCs w:val="22"/>
        </w:rPr>
        <w:t>P</w:t>
      </w:r>
      <w:r w:rsidRPr="00304864">
        <w:rPr>
          <w:rFonts w:ascii="Arial" w:hAnsi="Arial" w:cs="Arial"/>
          <w:sz w:val="22"/>
          <w:szCs w:val="22"/>
        </w:rPr>
        <w:t>rogramme at the latest. It will draw up its own rules of procedure and will be chaired by the AA.</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Where audits and controls are carried out by a body other than the AA, the AA shall ensure that such bodies have the necessary functional independence. The decision on the body carrying out the system audits and the checks on expenditure will be taken by the AA in cooperation with the GoA during the process of designing the audit strategy of the </w:t>
      </w:r>
      <w:r w:rsidR="00301E14">
        <w:rPr>
          <w:rFonts w:ascii="Arial" w:hAnsi="Arial" w:cs="Arial"/>
          <w:sz w:val="22"/>
          <w:szCs w:val="22"/>
        </w:rPr>
        <w:t>P</w:t>
      </w:r>
      <w:r w:rsidRPr="00304864">
        <w:rPr>
          <w:rFonts w:ascii="Arial" w:hAnsi="Arial" w:cs="Arial"/>
          <w:sz w:val="22"/>
          <w:szCs w:val="22"/>
        </w:rPr>
        <w:t>rogramme.</w:t>
      </w:r>
    </w:p>
    <w:p w:rsidR="00DF4E40" w:rsidRPr="00304864" w:rsidRDefault="00DF4E40">
      <w:pPr>
        <w:ind w:right="23"/>
        <w:rPr>
          <w:rFonts w:ascii="Arial" w:hAnsi="Arial" w:cs="Arial"/>
          <w:sz w:val="22"/>
          <w:szCs w:val="22"/>
        </w:rPr>
      </w:pPr>
      <w:r w:rsidRPr="00304864">
        <w:rPr>
          <w:rFonts w:ascii="Arial" w:hAnsi="Arial" w:cs="Arial"/>
          <w:sz w:val="22"/>
          <w:szCs w:val="22"/>
        </w:rPr>
        <w:t>Each Partner State shall be responsible for the audits carried out on its territory.</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AA shall in the implementation of its tasks, act in full accordance with Italian institutional, legal and financial provisions.</w:t>
      </w:r>
    </w:p>
    <w:p w:rsidR="00DF4E40" w:rsidRPr="00304864" w:rsidRDefault="007142EE">
      <w:pPr>
        <w:pStyle w:val="Heading3"/>
        <w:spacing w:before="0" w:after="120"/>
        <w:ind w:left="0" w:right="22"/>
        <w:jc w:val="left"/>
        <w:rPr>
          <w:rFonts w:ascii="Arial" w:hAnsi="Arial" w:cs="Arial"/>
          <w:color w:val="002060"/>
          <w:sz w:val="22"/>
          <w:szCs w:val="22"/>
        </w:rPr>
      </w:pPr>
      <w:bookmarkStart w:id="350" w:name="_Toc395515652"/>
      <w:r>
        <w:rPr>
          <w:rFonts w:ascii="Arial" w:hAnsi="Arial" w:cs="Arial"/>
          <w:color w:val="002060"/>
          <w:sz w:val="22"/>
          <w:szCs w:val="22"/>
        </w:rPr>
        <w:br w:type="page"/>
      </w:r>
    </w:p>
    <w:p w:rsidR="00DF4E40" w:rsidRPr="00A30AEC" w:rsidRDefault="00DF4E40">
      <w:pPr>
        <w:pStyle w:val="Heading3"/>
        <w:spacing w:before="0" w:after="120"/>
        <w:ind w:left="0" w:right="22"/>
        <w:jc w:val="left"/>
        <w:rPr>
          <w:rFonts w:ascii="Arial" w:hAnsi="Arial" w:cs="Arial"/>
          <w:b w:val="0"/>
          <w:i w:val="0"/>
          <w:noProof w:val="0"/>
          <w:color w:val="17365D"/>
          <w:sz w:val="22"/>
          <w:szCs w:val="22"/>
          <w:lang w:eastAsia="en-US"/>
        </w:rPr>
      </w:pPr>
      <w:bookmarkStart w:id="351" w:name="_Toc420652575"/>
      <w:bookmarkStart w:id="352" w:name="_Toc421076925"/>
      <w:r w:rsidRPr="00A30AEC">
        <w:rPr>
          <w:rFonts w:ascii="Arial" w:hAnsi="Arial" w:cs="Arial"/>
          <w:b w:val="0"/>
          <w:i w:val="0"/>
          <w:noProof w:val="0"/>
          <w:color w:val="17365D"/>
          <w:sz w:val="22"/>
          <w:szCs w:val="22"/>
          <w:lang w:eastAsia="en-US"/>
        </w:rPr>
        <w:t xml:space="preserve">Joint </w:t>
      </w:r>
      <w:r w:rsidR="008772FE">
        <w:rPr>
          <w:rFonts w:ascii="Arial" w:hAnsi="Arial" w:cs="Arial"/>
          <w:b w:val="0"/>
          <w:i w:val="0"/>
          <w:noProof w:val="0"/>
          <w:color w:val="17365D"/>
          <w:sz w:val="22"/>
          <w:szCs w:val="22"/>
          <w:lang w:eastAsia="en-US"/>
        </w:rPr>
        <w:t>s</w:t>
      </w:r>
      <w:r w:rsidRPr="00A30AEC">
        <w:rPr>
          <w:rFonts w:ascii="Arial" w:hAnsi="Arial" w:cs="Arial"/>
          <w:b w:val="0"/>
          <w:i w:val="0"/>
          <w:noProof w:val="0"/>
          <w:color w:val="17365D"/>
          <w:sz w:val="22"/>
          <w:szCs w:val="22"/>
          <w:lang w:eastAsia="en-US"/>
        </w:rPr>
        <w:t>ecretariat</w:t>
      </w:r>
      <w:bookmarkEnd w:id="350"/>
      <w:r w:rsidRPr="00A30AEC">
        <w:rPr>
          <w:rFonts w:ascii="Arial" w:hAnsi="Arial" w:cs="Arial"/>
          <w:b w:val="0"/>
          <w:i w:val="0"/>
          <w:noProof w:val="0"/>
          <w:color w:val="17365D"/>
          <w:sz w:val="22"/>
          <w:szCs w:val="22"/>
          <w:lang w:eastAsia="en-US"/>
        </w:rPr>
        <w:t xml:space="preserve"> (JS)</w:t>
      </w:r>
      <w:bookmarkEnd w:id="351"/>
      <w:bookmarkEnd w:id="352"/>
    </w:p>
    <w:p w:rsidR="00DF4E40" w:rsidRPr="00304864" w:rsidRDefault="00DF4E40">
      <w:pPr>
        <w:rPr>
          <w:rFonts w:ascii="Arial" w:hAnsi="Arial" w:cs="Arial"/>
          <w:sz w:val="22"/>
          <w:szCs w:val="22"/>
        </w:rPr>
      </w:pPr>
      <w:r w:rsidRPr="00304864">
        <w:rPr>
          <w:rFonts w:ascii="Arial" w:hAnsi="Arial" w:cs="Arial"/>
          <w:sz w:val="22"/>
          <w:szCs w:val="22"/>
        </w:rPr>
        <w:t>According to article 23 of Regulation</w:t>
      </w:r>
      <w:r w:rsidR="00977AA9">
        <w:rPr>
          <w:rFonts w:ascii="Arial" w:hAnsi="Arial" w:cs="Arial"/>
          <w:sz w:val="22"/>
          <w:szCs w:val="22"/>
        </w:rPr>
        <w:t xml:space="preserve"> (EU) no 1299/2013</w:t>
      </w:r>
      <w:r w:rsidRPr="00304864">
        <w:rPr>
          <w:rFonts w:ascii="Arial" w:hAnsi="Arial" w:cs="Arial"/>
          <w:sz w:val="22"/>
          <w:szCs w:val="22"/>
        </w:rPr>
        <w:t xml:space="preserve">, the </w:t>
      </w:r>
      <w:r w:rsidR="008772FE">
        <w:rPr>
          <w:rFonts w:ascii="Arial" w:hAnsi="Arial" w:cs="Arial"/>
          <w:sz w:val="22"/>
          <w:szCs w:val="22"/>
        </w:rPr>
        <w:t>j</w:t>
      </w:r>
      <w:r w:rsidRPr="00304864">
        <w:rPr>
          <w:rFonts w:ascii="Arial" w:hAnsi="Arial" w:cs="Arial"/>
          <w:sz w:val="22"/>
          <w:szCs w:val="22"/>
        </w:rPr>
        <w:t xml:space="preserve">oint </w:t>
      </w:r>
      <w:r w:rsidR="008772FE">
        <w:rPr>
          <w:rFonts w:ascii="Arial" w:hAnsi="Arial" w:cs="Arial"/>
          <w:sz w:val="22"/>
          <w:szCs w:val="22"/>
        </w:rPr>
        <w:t>s</w:t>
      </w:r>
      <w:r w:rsidRPr="00304864">
        <w:rPr>
          <w:rFonts w:ascii="Arial" w:hAnsi="Arial" w:cs="Arial"/>
          <w:sz w:val="22"/>
          <w:szCs w:val="22"/>
        </w:rPr>
        <w:t>ecretariat (JS) assists the MA with additional functions of CA and the M</w:t>
      </w:r>
      <w:r w:rsidRPr="00A30AEC">
        <w:rPr>
          <w:rFonts w:ascii="Arial" w:hAnsi="Arial" w:cs="Arial"/>
          <w:bCs/>
          <w:iCs/>
          <w:sz w:val="22"/>
          <w:szCs w:val="22"/>
        </w:rPr>
        <w:t>C</w:t>
      </w:r>
      <w:r w:rsidRPr="00304864">
        <w:rPr>
          <w:rFonts w:ascii="Arial" w:hAnsi="Arial" w:cs="Arial"/>
          <w:sz w:val="22"/>
          <w:szCs w:val="22"/>
        </w:rPr>
        <w:t xml:space="preserve"> in carrying out their functions. The JS provides information to potential beneficiaries about funding opportunities under the ADRION </w:t>
      </w:r>
      <w:r w:rsidR="00FC11FB">
        <w:rPr>
          <w:rFonts w:ascii="Arial" w:hAnsi="Arial" w:cs="Arial"/>
          <w:sz w:val="22"/>
          <w:szCs w:val="22"/>
        </w:rPr>
        <w:t>P</w:t>
      </w:r>
      <w:r w:rsidRPr="00304864">
        <w:rPr>
          <w:rFonts w:ascii="Arial" w:hAnsi="Arial" w:cs="Arial"/>
          <w:sz w:val="22"/>
          <w:szCs w:val="22"/>
        </w:rPr>
        <w:t>rogramme and assists beneficiaries in the implementation of operations. It sets up and maintains contacts with lead partners and their partnerships.</w:t>
      </w:r>
    </w:p>
    <w:p w:rsidR="00DF4E40" w:rsidRPr="00304864" w:rsidRDefault="00DF4E40">
      <w:pPr>
        <w:rPr>
          <w:rFonts w:ascii="Arial" w:hAnsi="Arial" w:cs="Arial"/>
          <w:sz w:val="22"/>
          <w:szCs w:val="22"/>
        </w:rPr>
      </w:pPr>
      <w:r w:rsidRPr="00304864">
        <w:rPr>
          <w:rFonts w:ascii="Arial" w:hAnsi="Arial" w:cs="Arial"/>
          <w:sz w:val="22"/>
          <w:szCs w:val="22"/>
        </w:rPr>
        <w:t>More specifically, the JS ensures at transnational level coordination, follow-up and promotion activities and provides technical support for the preparation of meetings and events at the programme and projects level (MC meetings, transnational conferences and transnational working groups, lead partners seminars, other specific thematic meetings).</w:t>
      </w:r>
    </w:p>
    <w:p w:rsidR="00DF4E40" w:rsidRPr="00304864" w:rsidRDefault="00DF4E40">
      <w:pPr>
        <w:rPr>
          <w:rFonts w:ascii="Arial" w:hAnsi="Arial" w:cs="Arial"/>
          <w:sz w:val="22"/>
          <w:szCs w:val="22"/>
        </w:rPr>
      </w:pPr>
      <w:r w:rsidRPr="00304864">
        <w:rPr>
          <w:rFonts w:ascii="Arial" w:hAnsi="Arial" w:cs="Arial"/>
          <w:sz w:val="22"/>
          <w:szCs w:val="22"/>
        </w:rPr>
        <w:t>The JS facilitates, assesses and ensures that project selection is equitable and transparent. It collects financial, physical and statistical data that are needed for programme monitoring as well as for the interim and final appraisals. It verifies payment claims in sight of payment to lead partners.</w:t>
      </w:r>
    </w:p>
    <w:p w:rsidR="00DF4E40" w:rsidRPr="00304864" w:rsidRDefault="00DF4E40">
      <w:pPr>
        <w:rPr>
          <w:rFonts w:ascii="Arial" w:hAnsi="Arial" w:cs="Arial"/>
          <w:sz w:val="22"/>
          <w:szCs w:val="22"/>
        </w:rPr>
      </w:pPr>
      <w:r w:rsidRPr="00304864">
        <w:rPr>
          <w:rFonts w:ascii="Arial" w:hAnsi="Arial" w:cs="Arial"/>
          <w:sz w:val="22"/>
          <w:szCs w:val="22"/>
        </w:rPr>
        <w:t xml:space="preserve">The annual work plans and reports of the JS have to be approved by the MC prior validation of the MA. The set-up and functioning of JS, including its activities, shall be funded from the TA budget. </w:t>
      </w:r>
    </w:p>
    <w:p w:rsidR="00DF4E40" w:rsidRPr="00304864" w:rsidRDefault="00DF4E40">
      <w:pPr>
        <w:pStyle w:val="Heading3"/>
        <w:spacing w:before="0" w:after="120"/>
        <w:ind w:left="0" w:right="22"/>
        <w:jc w:val="left"/>
        <w:rPr>
          <w:rFonts w:ascii="Arial" w:hAnsi="Arial" w:cs="Arial"/>
          <w:sz w:val="22"/>
          <w:szCs w:val="22"/>
        </w:rPr>
      </w:pPr>
      <w:bookmarkStart w:id="353" w:name="_Toc395515653"/>
    </w:p>
    <w:p w:rsidR="00DF4E40" w:rsidRPr="00A30AEC" w:rsidRDefault="00DF4E40">
      <w:pPr>
        <w:pStyle w:val="Heading3"/>
        <w:spacing w:before="0" w:after="120"/>
        <w:ind w:left="0" w:right="22"/>
        <w:jc w:val="left"/>
        <w:rPr>
          <w:rFonts w:ascii="Arial" w:hAnsi="Arial" w:cs="Arial"/>
          <w:b w:val="0"/>
          <w:i w:val="0"/>
          <w:noProof w:val="0"/>
          <w:color w:val="17365D"/>
          <w:sz w:val="22"/>
          <w:szCs w:val="22"/>
          <w:lang w:eastAsia="en-US"/>
        </w:rPr>
      </w:pPr>
      <w:bookmarkStart w:id="354" w:name="_Toc420652576"/>
      <w:bookmarkStart w:id="355" w:name="_Toc421076926"/>
      <w:r w:rsidRPr="00A30AEC">
        <w:rPr>
          <w:rFonts w:ascii="Arial" w:hAnsi="Arial" w:cs="Arial"/>
          <w:b w:val="0"/>
          <w:i w:val="0"/>
          <w:noProof w:val="0"/>
          <w:color w:val="17365D"/>
          <w:sz w:val="22"/>
          <w:szCs w:val="22"/>
          <w:lang w:eastAsia="en-US"/>
        </w:rPr>
        <w:t xml:space="preserve">National </w:t>
      </w:r>
      <w:r w:rsidR="008772FE">
        <w:rPr>
          <w:rFonts w:ascii="Arial" w:hAnsi="Arial" w:cs="Arial"/>
          <w:b w:val="0"/>
          <w:i w:val="0"/>
          <w:noProof w:val="0"/>
          <w:color w:val="17365D"/>
          <w:sz w:val="22"/>
          <w:szCs w:val="22"/>
          <w:lang w:eastAsia="en-US"/>
        </w:rPr>
        <w:t>c</w:t>
      </w:r>
      <w:r w:rsidRPr="00A30AEC">
        <w:rPr>
          <w:rFonts w:ascii="Arial" w:hAnsi="Arial" w:cs="Arial"/>
          <w:b w:val="0"/>
          <w:i w:val="0"/>
          <w:noProof w:val="0"/>
          <w:color w:val="17365D"/>
          <w:sz w:val="22"/>
          <w:szCs w:val="22"/>
          <w:lang w:eastAsia="en-US"/>
        </w:rPr>
        <w:t xml:space="preserve">ontact </w:t>
      </w:r>
      <w:r w:rsidR="008772FE">
        <w:rPr>
          <w:rFonts w:ascii="Arial" w:hAnsi="Arial" w:cs="Arial"/>
          <w:b w:val="0"/>
          <w:i w:val="0"/>
          <w:noProof w:val="0"/>
          <w:color w:val="17365D"/>
          <w:sz w:val="22"/>
          <w:szCs w:val="22"/>
          <w:lang w:eastAsia="en-US"/>
        </w:rPr>
        <w:t>p</w:t>
      </w:r>
      <w:r w:rsidRPr="00A30AEC">
        <w:rPr>
          <w:rFonts w:ascii="Arial" w:hAnsi="Arial" w:cs="Arial"/>
          <w:b w:val="0"/>
          <w:i w:val="0"/>
          <w:noProof w:val="0"/>
          <w:color w:val="17365D"/>
          <w:sz w:val="22"/>
          <w:szCs w:val="22"/>
          <w:lang w:eastAsia="en-US"/>
        </w:rPr>
        <w:t>oints</w:t>
      </w:r>
      <w:bookmarkEnd w:id="353"/>
      <w:r w:rsidRPr="00A30AEC">
        <w:rPr>
          <w:rFonts w:ascii="Arial" w:hAnsi="Arial" w:cs="Arial"/>
          <w:b w:val="0"/>
          <w:i w:val="0"/>
          <w:noProof w:val="0"/>
          <w:color w:val="17365D"/>
          <w:sz w:val="22"/>
          <w:szCs w:val="22"/>
          <w:lang w:eastAsia="en-US"/>
        </w:rPr>
        <w:t xml:space="preserve"> (NCPs)</w:t>
      </w:r>
      <w:bookmarkEnd w:id="354"/>
      <w:bookmarkEnd w:id="355"/>
    </w:p>
    <w:p w:rsidR="00DF4E40" w:rsidRPr="00304864" w:rsidRDefault="00DF4E40">
      <w:pPr>
        <w:rPr>
          <w:rFonts w:ascii="Arial" w:hAnsi="Arial" w:cs="Arial"/>
          <w:sz w:val="22"/>
          <w:szCs w:val="22"/>
        </w:rPr>
      </w:pPr>
      <w:r w:rsidRPr="00304864">
        <w:rPr>
          <w:rFonts w:ascii="Arial" w:hAnsi="Arial" w:cs="Arial"/>
          <w:sz w:val="22"/>
          <w:szCs w:val="22"/>
        </w:rPr>
        <w:t xml:space="preserve">Each Partner State will set up and manage an ADRION </w:t>
      </w:r>
      <w:r w:rsidR="008772FE">
        <w:rPr>
          <w:rFonts w:ascii="Arial" w:hAnsi="Arial" w:cs="Arial"/>
          <w:sz w:val="22"/>
          <w:szCs w:val="22"/>
        </w:rPr>
        <w:t>n</w:t>
      </w:r>
      <w:r w:rsidRPr="00304864">
        <w:rPr>
          <w:rFonts w:ascii="Arial" w:hAnsi="Arial" w:cs="Arial"/>
          <w:sz w:val="22"/>
          <w:szCs w:val="22"/>
        </w:rPr>
        <w:t xml:space="preserve">ational </w:t>
      </w:r>
      <w:r w:rsidR="008772FE">
        <w:rPr>
          <w:rFonts w:ascii="Arial" w:hAnsi="Arial" w:cs="Arial"/>
          <w:sz w:val="22"/>
          <w:szCs w:val="22"/>
        </w:rPr>
        <w:t>c</w:t>
      </w:r>
      <w:r w:rsidRPr="00304864">
        <w:rPr>
          <w:rFonts w:ascii="Arial" w:hAnsi="Arial" w:cs="Arial"/>
          <w:sz w:val="22"/>
          <w:szCs w:val="22"/>
        </w:rPr>
        <w:t xml:space="preserve">ontact </w:t>
      </w:r>
      <w:r w:rsidR="008772FE">
        <w:rPr>
          <w:rFonts w:ascii="Arial" w:hAnsi="Arial" w:cs="Arial"/>
          <w:sz w:val="22"/>
          <w:szCs w:val="22"/>
        </w:rPr>
        <w:t>p</w:t>
      </w:r>
      <w:r w:rsidRPr="00304864">
        <w:rPr>
          <w:rFonts w:ascii="Arial" w:hAnsi="Arial" w:cs="Arial"/>
          <w:sz w:val="22"/>
          <w:szCs w:val="22"/>
        </w:rPr>
        <w:t>oint (NCP) whose main task is to represent the Programme in the concerned country. The NCPs shall complement the activities of the JS in the Partner States, and may carry out, other specific activities at national level. The JS shall coordinate the network of the ADRION NCPs.</w:t>
      </w:r>
    </w:p>
    <w:p w:rsidR="00DF4E40" w:rsidRPr="00304864" w:rsidRDefault="00DF4E40">
      <w:pPr>
        <w:rPr>
          <w:rFonts w:ascii="Arial" w:hAnsi="Arial" w:cs="Arial"/>
          <w:sz w:val="22"/>
          <w:szCs w:val="22"/>
        </w:rPr>
      </w:pPr>
      <w:r w:rsidRPr="00304864">
        <w:rPr>
          <w:rFonts w:ascii="Arial" w:hAnsi="Arial" w:cs="Arial"/>
          <w:sz w:val="22"/>
          <w:szCs w:val="22"/>
        </w:rPr>
        <w:t>The main mandatory tasks of the Adriatic-Ionian NCPs are: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To assist the JS in the Programme implementation process;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To contribute to the information and publicity actions within their respective country;</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To support the national committees or corresponding national procedures in fulfilling their transnational tasks;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To serve as a contact point for project applicants, partners and stakeholders at national level by providing assistance for the project generation.</w:t>
      </w: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noProof w:val="0"/>
          <w:color w:val="17365D"/>
          <w:sz w:val="22"/>
          <w:szCs w:val="22"/>
          <w:lang w:eastAsia="en-US"/>
        </w:rPr>
      </w:pPr>
      <w:bookmarkStart w:id="356" w:name="_Toc420652577"/>
      <w:bookmarkStart w:id="357" w:name="_Toc421076927"/>
      <w:r w:rsidRPr="00A30AEC">
        <w:rPr>
          <w:rFonts w:ascii="Arial" w:hAnsi="Arial" w:cs="Arial"/>
          <w:b w:val="0"/>
          <w:noProof w:val="0"/>
          <w:color w:val="17365D"/>
          <w:sz w:val="22"/>
          <w:szCs w:val="22"/>
          <w:lang w:eastAsia="en-US"/>
        </w:rPr>
        <w:t xml:space="preserve">Responsibilitiesof </w:t>
      </w:r>
      <w:r w:rsidR="00977AA9" w:rsidRPr="00A30AEC">
        <w:rPr>
          <w:rFonts w:ascii="Arial" w:hAnsi="Arial" w:cs="Arial"/>
          <w:b w:val="0"/>
          <w:noProof w:val="0"/>
          <w:color w:val="17365D"/>
          <w:sz w:val="22"/>
          <w:szCs w:val="22"/>
          <w:lang w:eastAsia="en-US"/>
        </w:rPr>
        <w:t>the</w:t>
      </w:r>
      <w:r w:rsidRPr="00A30AEC">
        <w:rPr>
          <w:rFonts w:ascii="Arial" w:hAnsi="Arial" w:cs="Arial"/>
          <w:b w:val="0"/>
          <w:noProof w:val="0"/>
          <w:color w:val="17365D"/>
          <w:sz w:val="22"/>
          <w:szCs w:val="22"/>
          <w:lang w:eastAsia="en-US"/>
        </w:rPr>
        <w:t xml:space="preserve"> Partner States</w:t>
      </w:r>
      <w:bookmarkEnd w:id="356"/>
      <w:bookmarkEnd w:id="357"/>
    </w:p>
    <w:p w:rsidR="00DF4E40" w:rsidRPr="00304864" w:rsidRDefault="00DF4E40">
      <w:pPr>
        <w:shd w:val="clear" w:color="auto" w:fill="FFFFFF"/>
        <w:rPr>
          <w:rFonts w:ascii="Arial" w:hAnsi="Arial" w:cs="Arial"/>
          <w:sz w:val="22"/>
          <w:szCs w:val="22"/>
        </w:rPr>
      </w:pPr>
      <w:r w:rsidRPr="00304864">
        <w:rPr>
          <w:rFonts w:ascii="Arial" w:hAnsi="Arial" w:cs="Arial"/>
          <w:sz w:val="22"/>
          <w:szCs w:val="22"/>
        </w:rPr>
        <w:t>Partner States retain three main responsibilities in the ADRION Programme:</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As national authorities they nominate representatives of the MC and ensure a NCP in order to contribute to the general animation and coordination of the Programme in their territory and bear financial responsibilities in line with what is established in paragraph 5.4;</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As national controllers they are responsible for the verification of expenditure of beneficiaries located in their territory at the appropriate governance level;</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As members of the GoA they participate in audit activities and are responsible for audits carried out in their territory.</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All Partner States agree to apply the partnership principle as laid down in Article 5 of the Regulation (EU) No 1303/2013 and to cooperate for the optimal management and control of the Programme and for its sound implementation.</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Partner States may lay down in writing rules governing their relations with the MA and AA, the relations between such authorities, and the relations of such authorities with the European Commission.</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Partner States of the ADRION Programme will ensure that the implementing authorities will be provided with all necessary and legally allowed information to carry out their responsibilities.</w:t>
      </w:r>
    </w:p>
    <w:p w:rsidR="00DF4E40" w:rsidRPr="00304864" w:rsidRDefault="00DF4E40">
      <w:pPr>
        <w:autoSpaceDE w:val="0"/>
        <w:autoSpaceDN w:val="0"/>
        <w:adjustRightInd w:val="0"/>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noProof w:val="0"/>
          <w:color w:val="17365D"/>
          <w:sz w:val="22"/>
          <w:szCs w:val="22"/>
          <w:lang w:eastAsia="en-US"/>
        </w:rPr>
      </w:pPr>
      <w:bookmarkStart w:id="358" w:name="_Toc420652578"/>
      <w:bookmarkStart w:id="359" w:name="_Toc421076928"/>
      <w:r w:rsidRPr="00A30AEC">
        <w:rPr>
          <w:rFonts w:ascii="Arial" w:hAnsi="Arial" w:cs="Arial"/>
          <w:b w:val="0"/>
          <w:noProof w:val="0"/>
          <w:color w:val="17365D"/>
          <w:sz w:val="22"/>
          <w:szCs w:val="22"/>
          <w:lang w:eastAsia="en-US"/>
        </w:rPr>
        <w:t>Organisation of the assessment and selection of operations</w:t>
      </w:r>
      <w:bookmarkEnd w:id="345"/>
      <w:bookmarkEnd w:id="358"/>
      <w:bookmarkEnd w:id="359"/>
    </w:p>
    <w:p w:rsidR="00DF4E40" w:rsidRPr="00304864" w:rsidRDefault="00DF4E40">
      <w:pPr>
        <w:rPr>
          <w:rFonts w:ascii="Arial" w:hAnsi="Arial" w:cs="Arial"/>
          <w:sz w:val="22"/>
          <w:szCs w:val="22"/>
        </w:rPr>
      </w:pPr>
      <w:r w:rsidRPr="00304864">
        <w:rPr>
          <w:rFonts w:ascii="Arial" w:hAnsi="Arial" w:cs="Arial"/>
          <w:sz w:val="22"/>
          <w:szCs w:val="22"/>
        </w:rPr>
        <w:t>Project applications can be submitted following direct awarding procedure or calls for proposals whose terms of reference will be published on the ADRION Programme website. Support and guidance to applicants on types of operations as well as on application and implementation procedures) will be given through call-specific information documents as well as events and trainings carried out by the MA and JS in cooperation with the NCPs. Details of the selection procedure will also be made available to all applicants through the Programme Manual. The applications submitted will be made available to the MC members.</w:t>
      </w:r>
    </w:p>
    <w:p w:rsidR="00DF4E40" w:rsidRPr="00304864" w:rsidRDefault="00DF4E40">
      <w:pPr>
        <w:rPr>
          <w:rFonts w:ascii="Arial" w:hAnsi="Arial" w:cs="Arial"/>
          <w:sz w:val="22"/>
          <w:szCs w:val="22"/>
        </w:rPr>
      </w:pPr>
      <w:r w:rsidRPr="00304864">
        <w:rPr>
          <w:rFonts w:ascii="Arial" w:hAnsi="Arial" w:cs="Arial"/>
          <w:sz w:val="22"/>
          <w:szCs w:val="22"/>
        </w:rPr>
        <w:t xml:space="preserve">A set of eligibility criteria including antifraud measures will be defined to ensure the accomplishment of formal requirements of submitted applications and approved by the MC. The set of eligibility criteria will include also the transnationality of partnership (involving beneficiaries from at least three countries participating to the Programme, at least one of which shall be from a EU </w:t>
      </w:r>
      <w:r w:rsidR="009E59B0">
        <w:rPr>
          <w:rFonts w:ascii="Arial" w:hAnsi="Arial" w:cs="Arial"/>
          <w:sz w:val="22"/>
          <w:szCs w:val="22"/>
        </w:rPr>
        <w:t>Partner</w:t>
      </w:r>
      <w:r w:rsidRPr="00304864">
        <w:rPr>
          <w:rFonts w:ascii="Arial" w:hAnsi="Arial" w:cs="Arial"/>
          <w:sz w:val="22"/>
          <w:szCs w:val="22"/>
        </w:rPr>
        <w:t>State).</w:t>
      </w:r>
    </w:p>
    <w:p w:rsidR="00DF4E40" w:rsidRPr="00304864" w:rsidRDefault="00DF4E40">
      <w:pPr>
        <w:rPr>
          <w:rFonts w:ascii="Arial" w:hAnsi="Arial" w:cs="Arial"/>
          <w:sz w:val="22"/>
          <w:szCs w:val="22"/>
        </w:rPr>
      </w:pPr>
      <w:r w:rsidRPr="00304864">
        <w:rPr>
          <w:rFonts w:ascii="Arial" w:hAnsi="Arial" w:cs="Arial"/>
          <w:sz w:val="22"/>
          <w:szCs w:val="22"/>
        </w:rPr>
        <w:t>The JS checks the applications against the eligibility criteria. Proposals that are not eligible are rejected by the decision of the MC.</w:t>
      </w:r>
    </w:p>
    <w:p w:rsidR="00DF4E40" w:rsidRPr="00304864" w:rsidRDefault="00DF4E40">
      <w:pPr>
        <w:rPr>
          <w:rFonts w:ascii="Arial" w:hAnsi="Arial" w:cs="Arial"/>
          <w:sz w:val="22"/>
          <w:szCs w:val="22"/>
        </w:rPr>
      </w:pPr>
    </w:p>
    <w:p w:rsidR="00DF4E40" w:rsidRPr="00A30AEC" w:rsidRDefault="00DF4E40">
      <w:pPr>
        <w:pStyle w:val="Heading3"/>
        <w:spacing w:before="0" w:after="120"/>
        <w:ind w:left="0" w:right="22"/>
        <w:jc w:val="left"/>
        <w:rPr>
          <w:rFonts w:ascii="Arial" w:hAnsi="Arial" w:cs="Arial"/>
          <w:b w:val="0"/>
          <w:noProof w:val="0"/>
          <w:color w:val="17365D"/>
          <w:sz w:val="22"/>
          <w:szCs w:val="22"/>
          <w:lang w:eastAsia="en-US"/>
        </w:rPr>
      </w:pPr>
      <w:bookmarkStart w:id="360" w:name="_Toc420652579"/>
      <w:bookmarkStart w:id="361" w:name="_Toc421076929"/>
      <w:r w:rsidRPr="00A30AEC">
        <w:rPr>
          <w:rFonts w:ascii="Arial" w:hAnsi="Arial" w:cs="Arial"/>
          <w:b w:val="0"/>
          <w:noProof w:val="0"/>
          <w:color w:val="17365D"/>
          <w:sz w:val="22"/>
          <w:szCs w:val="22"/>
          <w:lang w:eastAsia="en-US"/>
        </w:rPr>
        <w:t>Selection criteria</w:t>
      </w:r>
      <w:bookmarkEnd w:id="360"/>
      <w:bookmarkEnd w:id="361"/>
    </w:p>
    <w:p w:rsidR="00DF4E40" w:rsidRPr="00304864" w:rsidRDefault="00DF4E40">
      <w:pPr>
        <w:rPr>
          <w:rFonts w:ascii="Arial" w:hAnsi="Arial" w:cs="Arial"/>
          <w:sz w:val="22"/>
          <w:szCs w:val="22"/>
        </w:rPr>
      </w:pPr>
      <w:r w:rsidRPr="00304864">
        <w:rPr>
          <w:rFonts w:ascii="Arial" w:hAnsi="Arial" w:cs="Arial"/>
          <w:sz w:val="22"/>
          <w:szCs w:val="22"/>
        </w:rPr>
        <w:t xml:space="preserve">Selection criteria are meant to relate to the quality of an application and will be applied to those applications that have passed the eligibility check. Selection criteria are designed to assess the compliance of applications with regard to strategic and operational aspects as laid down in Section 2 under the heading “Guiding principles for the selection of operations”. </w:t>
      </w:r>
    </w:p>
    <w:p w:rsidR="00DF4E40" w:rsidRPr="00304864" w:rsidRDefault="00DF4E40">
      <w:pPr>
        <w:rPr>
          <w:rFonts w:ascii="Arial" w:hAnsi="Arial" w:cs="Arial"/>
          <w:sz w:val="22"/>
          <w:szCs w:val="22"/>
        </w:rPr>
      </w:pPr>
      <w:r w:rsidRPr="00304864">
        <w:rPr>
          <w:rFonts w:ascii="Arial" w:hAnsi="Arial" w:cs="Arial"/>
          <w:sz w:val="22"/>
          <w:szCs w:val="22"/>
        </w:rPr>
        <w:t xml:space="preserve">The JS undertakes the quality assessment of applications assisted by external assessors if appropriate, and the MA submits the assessment to the MC for its decision. </w:t>
      </w:r>
    </w:p>
    <w:p w:rsidR="00DF4E40" w:rsidRPr="00304864" w:rsidRDefault="00DF4E40">
      <w:pPr>
        <w:rPr>
          <w:rFonts w:ascii="Arial" w:hAnsi="Arial" w:cs="Arial"/>
          <w:b/>
          <w:i/>
          <w:sz w:val="22"/>
          <w:szCs w:val="22"/>
        </w:rPr>
      </w:pPr>
      <w:r w:rsidRPr="00304864">
        <w:rPr>
          <w:rFonts w:ascii="Arial" w:hAnsi="Arial" w:cs="Arial"/>
          <w:sz w:val="22"/>
          <w:szCs w:val="22"/>
        </w:rPr>
        <w:t>The evaluation and assessment of applications by the JS, and the project approval made by the MC are performed on the basis of objective criteria specified in the evaluation and assessment grids as approved by the MC and explained in the manual of the Programme Manual.</w:t>
      </w:r>
    </w:p>
    <w:p w:rsidR="00DF4E40" w:rsidRPr="00304864" w:rsidRDefault="00DF4E40">
      <w:pPr>
        <w:rPr>
          <w:rFonts w:ascii="Arial" w:hAnsi="Arial" w:cs="Arial"/>
          <w:i/>
          <w:sz w:val="22"/>
          <w:szCs w:val="22"/>
        </w:rPr>
      </w:pPr>
      <w:r w:rsidRPr="00304864">
        <w:rPr>
          <w:rFonts w:ascii="Arial" w:hAnsi="Arial" w:cs="Arial"/>
          <w:sz w:val="22"/>
          <w:szCs w:val="22"/>
        </w:rPr>
        <w:t xml:space="preserve">The evaluation criteria will be defined with the aim to maximise the result-oriented approach to be applied by the ADRION Programme for projects able to deliver concrete and visible outputs and results, in response to well identified challenges affecting the Programme area and addressing development needs in an integrated manner. </w:t>
      </w:r>
    </w:p>
    <w:p w:rsidR="00DF4E40" w:rsidRPr="00304864" w:rsidRDefault="00DF4E40">
      <w:pPr>
        <w:rPr>
          <w:rFonts w:ascii="Arial" w:hAnsi="Arial" w:cs="Arial"/>
          <w:sz w:val="22"/>
          <w:szCs w:val="22"/>
        </w:rPr>
      </w:pPr>
      <w:r w:rsidRPr="00304864">
        <w:rPr>
          <w:rFonts w:ascii="Arial" w:hAnsi="Arial" w:cs="Arial"/>
          <w:sz w:val="22"/>
          <w:szCs w:val="22"/>
        </w:rPr>
        <w:t>All projects receiving funds have to meet the following quality requirements:</w:t>
      </w:r>
    </w:p>
    <w:p w:rsidR="00DF4E40" w:rsidRPr="00304864" w:rsidRDefault="00DF4E40">
      <w:pPr>
        <w:pStyle w:val="ListParagraph"/>
        <w:numPr>
          <w:ilvl w:val="0"/>
          <w:numId w:val="80"/>
        </w:numPr>
        <w:rPr>
          <w:rFonts w:ascii="Arial" w:hAnsi="Arial" w:cs="Arial"/>
          <w:sz w:val="22"/>
          <w:szCs w:val="22"/>
        </w:rPr>
      </w:pPr>
      <w:r w:rsidRPr="00304864">
        <w:rPr>
          <w:rFonts w:ascii="Arial" w:hAnsi="Arial" w:cs="Arial"/>
          <w:sz w:val="22"/>
          <w:szCs w:val="22"/>
        </w:rPr>
        <w:t>Transnationalrelevance;</w:t>
      </w:r>
    </w:p>
    <w:p w:rsidR="00DF4E40" w:rsidRPr="00304864" w:rsidRDefault="00DF4E40">
      <w:pPr>
        <w:pStyle w:val="ListParagraph"/>
        <w:numPr>
          <w:ilvl w:val="0"/>
          <w:numId w:val="80"/>
        </w:numPr>
        <w:rPr>
          <w:rFonts w:ascii="Arial" w:hAnsi="Arial" w:cs="Arial"/>
          <w:sz w:val="22"/>
          <w:szCs w:val="22"/>
        </w:rPr>
      </w:pPr>
      <w:r w:rsidRPr="00304864">
        <w:rPr>
          <w:rFonts w:ascii="Arial" w:hAnsi="Arial" w:cs="Arial"/>
          <w:sz w:val="22"/>
          <w:szCs w:val="22"/>
        </w:rPr>
        <w:t>Partnership relevance;</w:t>
      </w:r>
    </w:p>
    <w:p w:rsidR="00DF4E40" w:rsidRPr="00304864" w:rsidRDefault="00DF4E40">
      <w:pPr>
        <w:pStyle w:val="ListParagraph"/>
        <w:numPr>
          <w:ilvl w:val="0"/>
          <w:numId w:val="80"/>
        </w:numPr>
        <w:rPr>
          <w:rFonts w:ascii="Arial" w:hAnsi="Arial" w:cs="Arial"/>
          <w:sz w:val="22"/>
          <w:szCs w:val="22"/>
        </w:rPr>
      </w:pPr>
      <w:r w:rsidRPr="00304864">
        <w:rPr>
          <w:rFonts w:ascii="Arial" w:hAnsi="Arial" w:cs="Arial"/>
          <w:sz w:val="22"/>
          <w:szCs w:val="22"/>
        </w:rPr>
        <w:t>Concrete and measurableresults;</w:t>
      </w:r>
    </w:p>
    <w:p w:rsidR="00DF4E40" w:rsidRPr="00304864" w:rsidRDefault="00DF4E40">
      <w:pPr>
        <w:pStyle w:val="ListParagraph"/>
        <w:numPr>
          <w:ilvl w:val="0"/>
          <w:numId w:val="80"/>
        </w:numPr>
        <w:rPr>
          <w:rFonts w:ascii="Arial" w:hAnsi="Arial" w:cs="Arial"/>
          <w:sz w:val="22"/>
          <w:szCs w:val="22"/>
        </w:rPr>
      </w:pPr>
      <w:r w:rsidRPr="00304864">
        <w:rPr>
          <w:rFonts w:ascii="Arial" w:hAnsi="Arial" w:cs="Arial"/>
          <w:sz w:val="22"/>
          <w:szCs w:val="22"/>
        </w:rPr>
        <w:t>Durableoutputs and results;</w:t>
      </w:r>
    </w:p>
    <w:p w:rsidR="00DF4E40" w:rsidRPr="00304864" w:rsidRDefault="00DF4E40">
      <w:pPr>
        <w:pStyle w:val="ListParagraph"/>
        <w:numPr>
          <w:ilvl w:val="0"/>
          <w:numId w:val="80"/>
        </w:numPr>
        <w:rPr>
          <w:rFonts w:ascii="Arial" w:hAnsi="Arial" w:cs="Arial"/>
          <w:sz w:val="22"/>
          <w:szCs w:val="22"/>
        </w:rPr>
      </w:pPr>
      <w:r w:rsidRPr="00304864">
        <w:rPr>
          <w:rFonts w:ascii="Arial" w:hAnsi="Arial" w:cs="Arial"/>
          <w:sz w:val="22"/>
          <w:szCs w:val="22"/>
        </w:rPr>
        <w:t>Coherentapproach;</w:t>
      </w:r>
    </w:p>
    <w:p w:rsidR="00DF4E40" w:rsidRPr="00A30AEC" w:rsidRDefault="00DF4E40">
      <w:pPr>
        <w:pStyle w:val="ListParagraph"/>
        <w:numPr>
          <w:ilvl w:val="0"/>
          <w:numId w:val="80"/>
        </w:numPr>
        <w:rPr>
          <w:rFonts w:ascii="Arial" w:hAnsi="Arial" w:cs="Arial"/>
          <w:sz w:val="22"/>
          <w:szCs w:val="22"/>
          <w:lang w:val="en-US"/>
        </w:rPr>
      </w:pPr>
      <w:r w:rsidRPr="00A30AEC">
        <w:rPr>
          <w:rFonts w:ascii="Arial" w:hAnsi="Arial" w:cs="Arial"/>
          <w:sz w:val="22"/>
          <w:szCs w:val="22"/>
          <w:lang w:val="en-US"/>
        </w:rPr>
        <w:t>Sound project communication strategy and tools;</w:t>
      </w:r>
    </w:p>
    <w:p w:rsidR="00DF4E40" w:rsidRPr="00304864" w:rsidRDefault="00DF4E40">
      <w:pPr>
        <w:pStyle w:val="ListParagraph"/>
        <w:numPr>
          <w:ilvl w:val="0"/>
          <w:numId w:val="80"/>
        </w:numPr>
        <w:rPr>
          <w:rFonts w:ascii="Arial" w:hAnsi="Arial" w:cs="Arial"/>
          <w:sz w:val="22"/>
          <w:szCs w:val="22"/>
        </w:rPr>
      </w:pPr>
      <w:r w:rsidRPr="00304864">
        <w:rPr>
          <w:rFonts w:ascii="Arial" w:hAnsi="Arial" w:cs="Arial"/>
          <w:sz w:val="22"/>
          <w:szCs w:val="22"/>
        </w:rPr>
        <w:t>Effective management;</w:t>
      </w:r>
    </w:p>
    <w:p w:rsidR="00DF4E40" w:rsidRPr="00304864" w:rsidRDefault="00DF4E40">
      <w:pPr>
        <w:pStyle w:val="ListParagraph"/>
        <w:numPr>
          <w:ilvl w:val="0"/>
          <w:numId w:val="80"/>
        </w:numPr>
        <w:rPr>
          <w:rFonts w:ascii="Arial" w:hAnsi="Arial" w:cs="Arial"/>
          <w:sz w:val="22"/>
          <w:szCs w:val="22"/>
        </w:rPr>
      </w:pPr>
      <w:r w:rsidRPr="00304864">
        <w:rPr>
          <w:rFonts w:ascii="Arial" w:hAnsi="Arial" w:cs="Arial"/>
          <w:sz w:val="22"/>
          <w:szCs w:val="22"/>
        </w:rPr>
        <w:t>Sound budget.</w:t>
      </w:r>
    </w:p>
    <w:p w:rsidR="00DF4E40" w:rsidRPr="00304864" w:rsidRDefault="00DF4E40">
      <w:pPr>
        <w:rPr>
          <w:rFonts w:ascii="Arial" w:hAnsi="Arial" w:cs="Arial"/>
          <w:sz w:val="22"/>
          <w:szCs w:val="22"/>
        </w:rPr>
      </w:pPr>
      <w:r w:rsidRPr="00304864">
        <w:rPr>
          <w:rFonts w:ascii="Arial" w:hAnsi="Arial" w:cs="Arial"/>
          <w:sz w:val="22"/>
          <w:szCs w:val="22"/>
        </w:rPr>
        <w:t>The MC proceeds with the selection of projects. The MA informs in writing and according to the e-cohesion principle each Lead Applicant about the results of the selection process. The results shall be also spread by internet as established in art.115 (2) of Regulation (EU) No 1303/2013.</w:t>
      </w:r>
    </w:p>
    <w:p w:rsidR="00DF4E40" w:rsidRDefault="00DF4E40">
      <w:pPr>
        <w:rPr>
          <w:rFonts w:ascii="Arial" w:hAnsi="Arial" w:cs="Arial"/>
          <w:sz w:val="22"/>
          <w:szCs w:val="22"/>
        </w:rPr>
      </w:pPr>
    </w:p>
    <w:p w:rsidR="00341914" w:rsidRPr="00304864" w:rsidRDefault="00341914">
      <w:pPr>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color w:val="17365D"/>
          <w:sz w:val="22"/>
          <w:szCs w:val="22"/>
        </w:rPr>
      </w:pPr>
      <w:bookmarkStart w:id="362" w:name="_Toc421076930"/>
      <w:r w:rsidRPr="00A30AEC">
        <w:rPr>
          <w:rFonts w:ascii="Arial" w:hAnsi="Arial" w:cs="Arial"/>
          <w:b w:val="0"/>
          <w:noProof w:val="0"/>
          <w:color w:val="17365D"/>
          <w:sz w:val="22"/>
          <w:szCs w:val="22"/>
          <w:lang w:eastAsia="en-US"/>
        </w:rPr>
        <w:t>Resolution of complaints</w:t>
      </w:r>
      <w:bookmarkEnd w:id="362"/>
    </w:p>
    <w:p w:rsidR="00DF4E40" w:rsidRPr="00304864" w:rsidRDefault="00DF4E40">
      <w:pPr>
        <w:rPr>
          <w:rFonts w:ascii="Arial" w:hAnsi="Arial" w:cs="Arial"/>
          <w:sz w:val="22"/>
          <w:szCs w:val="22"/>
        </w:rPr>
      </w:pPr>
      <w:r w:rsidRPr="00304864">
        <w:rPr>
          <w:rFonts w:ascii="Arial" w:hAnsi="Arial" w:cs="Arial"/>
          <w:sz w:val="22"/>
          <w:szCs w:val="22"/>
        </w:rPr>
        <w:t>The procedures set in place for the resolution of complaints are different in accordance with the object of the complaint:</w:t>
      </w:r>
    </w:p>
    <w:p w:rsidR="00DF4E40" w:rsidRPr="00A30AEC" w:rsidRDefault="00DF4E40" w:rsidP="00A30AEC">
      <w:pPr>
        <w:pStyle w:val="ListParagraph"/>
        <w:numPr>
          <w:ilvl w:val="0"/>
          <w:numId w:val="98"/>
        </w:numPr>
        <w:ind w:left="284" w:hanging="284"/>
        <w:rPr>
          <w:rFonts w:ascii="Arial" w:hAnsi="Arial" w:cs="Arial"/>
          <w:sz w:val="22"/>
          <w:szCs w:val="22"/>
          <w:lang w:val="en-US"/>
        </w:rPr>
      </w:pPr>
      <w:r w:rsidRPr="00A30AEC">
        <w:rPr>
          <w:rFonts w:ascii="Arial" w:hAnsi="Arial" w:cs="Arial"/>
          <w:sz w:val="22"/>
          <w:szCs w:val="22"/>
          <w:lang w:val="en-US"/>
        </w:rPr>
        <w:t>complaints related to assessment and selection:</w:t>
      </w:r>
    </w:p>
    <w:p w:rsidR="00DF4E40" w:rsidRPr="00304864" w:rsidRDefault="00DF4E40">
      <w:pPr>
        <w:numPr>
          <w:ilvl w:val="0"/>
          <w:numId w:val="99"/>
        </w:numPr>
        <w:rPr>
          <w:rFonts w:ascii="Arial" w:hAnsi="Arial" w:cs="Arial"/>
          <w:sz w:val="22"/>
          <w:szCs w:val="22"/>
        </w:rPr>
      </w:pPr>
      <w:r w:rsidRPr="00304864">
        <w:rPr>
          <w:rFonts w:ascii="Arial" w:hAnsi="Arial" w:cs="Arial"/>
          <w:sz w:val="22"/>
          <w:szCs w:val="22"/>
        </w:rPr>
        <w:t xml:space="preserve">Project Lead Applicants will be informed in writing about the reasons why an application was not considered as eligible or quality relevant for being approved. Any complaint related to the assessment shall be submitted by the Lead Applicant to the MA/JS that, in collaboration with the MC, will examine and provide its position regarding the merit of the complaint. The MC may also set up a task force or a sub-committee to deal with complaints. </w:t>
      </w:r>
    </w:p>
    <w:p w:rsidR="00DF4E40" w:rsidRPr="00A30AEC" w:rsidRDefault="00DF4E40" w:rsidP="00A30AEC">
      <w:pPr>
        <w:pStyle w:val="ListParagraph"/>
        <w:numPr>
          <w:ilvl w:val="0"/>
          <w:numId w:val="98"/>
        </w:numPr>
        <w:ind w:left="284" w:hanging="284"/>
        <w:rPr>
          <w:rFonts w:ascii="Arial" w:hAnsi="Arial" w:cs="Arial"/>
          <w:sz w:val="22"/>
          <w:szCs w:val="22"/>
          <w:lang w:val="en-US"/>
        </w:rPr>
      </w:pPr>
      <w:r w:rsidRPr="00A30AEC">
        <w:rPr>
          <w:rFonts w:ascii="Arial" w:hAnsi="Arial" w:cs="Arial"/>
          <w:sz w:val="22"/>
          <w:szCs w:val="22"/>
          <w:lang w:val="en-US"/>
        </w:rPr>
        <w:t>complaints related to decisions made by the MA/JS during project implementation:</w:t>
      </w:r>
    </w:p>
    <w:p w:rsidR="00DF4E40" w:rsidRPr="00304864" w:rsidRDefault="00DF4E40">
      <w:pPr>
        <w:numPr>
          <w:ilvl w:val="0"/>
          <w:numId w:val="99"/>
        </w:numPr>
        <w:rPr>
          <w:rFonts w:ascii="Arial" w:hAnsi="Arial" w:cs="Arial"/>
          <w:sz w:val="22"/>
          <w:szCs w:val="22"/>
        </w:rPr>
      </w:pPr>
      <w:r w:rsidRPr="00304864">
        <w:rPr>
          <w:rFonts w:ascii="Arial" w:hAnsi="Arial" w:cs="Arial"/>
          <w:sz w:val="22"/>
          <w:szCs w:val="22"/>
        </w:rPr>
        <w:t xml:space="preserve">Any complaints in relation to decisions made by the MA/JS during project implementation or by the MC decisions on the basis of the subsidy contract shall be submitted by the project Lead Partner to the MA/JS that will examine and provide an answer (in collaboration with the MC if necessary). </w:t>
      </w:r>
    </w:p>
    <w:p w:rsidR="00DF4E40" w:rsidRPr="00A30AEC" w:rsidRDefault="00DF4E40" w:rsidP="00A30AEC">
      <w:pPr>
        <w:pStyle w:val="ListParagraph"/>
        <w:numPr>
          <w:ilvl w:val="0"/>
          <w:numId w:val="98"/>
        </w:numPr>
        <w:ind w:left="284" w:hanging="284"/>
        <w:rPr>
          <w:rFonts w:ascii="Arial" w:hAnsi="Arial" w:cs="Arial"/>
          <w:sz w:val="22"/>
          <w:szCs w:val="22"/>
          <w:lang w:val="en-US"/>
        </w:rPr>
      </w:pPr>
      <w:r w:rsidRPr="00A30AEC">
        <w:rPr>
          <w:rFonts w:ascii="Arial" w:hAnsi="Arial" w:cs="Arial"/>
          <w:sz w:val="22"/>
          <w:szCs w:val="22"/>
          <w:lang w:val="en-US"/>
        </w:rPr>
        <w:t>complaints related to the national control system:</w:t>
      </w:r>
    </w:p>
    <w:p w:rsidR="00DF4E40" w:rsidRPr="00304864" w:rsidRDefault="00DF4E40" w:rsidP="00A30AEC">
      <w:pPr>
        <w:numPr>
          <w:ilvl w:val="0"/>
          <w:numId w:val="99"/>
        </w:numPr>
        <w:rPr>
          <w:rFonts w:ascii="Arial" w:hAnsi="Arial" w:cs="Arial"/>
          <w:sz w:val="22"/>
          <w:szCs w:val="22"/>
        </w:rPr>
      </w:pPr>
      <w:r w:rsidRPr="00304864">
        <w:rPr>
          <w:rFonts w:ascii="Arial" w:hAnsi="Arial" w:cs="Arial"/>
          <w:sz w:val="22"/>
          <w:szCs w:val="22"/>
        </w:rPr>
        <w:t xml:space="preserve">Project Lead Partners or partners that have complaints related to the national control system set up in accordance with Article 23(4) of the of Regulation (EU) No 1299/2013, can file a complaint to the national control coordination body of the relevant Partner State following national procedures set in place in accordance with Article 74(3) of Regulation (EU) No 1303/2013. </w:t>
      </w:r>
    </w:p>
    <w:p w:rsidR="00DF4E40" w:rsidRPr="00304864" w:rsidRDefault="00DF4E40">
      <w:pPr>
        <w:rPr>
          <w:rFonts w:ascii="Arial" w:hAnsi="Arial" w:cs="Arial"/>
          <w:sz w:val="22"/>
          <w:szCs w:val="22"/>
        </w:rPr>
      </w:pPr>
      <w:r w:rsidRPr="00304864">
        <w:rPr>
          <w:rFonts w:ascii="Arial" w:hAnsi="Arial" w:cs="Arial"/>
          <w:sz w:val="22"/>
          <w:szCs w:val="22"/>
        </w:rPr>
        <w:t xml:space="preserve">Further information on the procedure for the submission of complaints will be laid down in the relevant Programme documents and duly communicated both to applicants and beneficiaries. </w:t>
      </w:r>
    </w:p>
    <w:p w:rsidR="00DF4E40" w:rsidRPr="00304864" w:rsidRDefault="00DF4E40">
      <w:pPr>
        <w:autoSpaceDE w:val="0"/>
        <w:autoSpaceDN w:val="0"/>
        <w:adjustRightInd w:val="0"/>
        <w:jc w:val="left"/>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color w:val="17365D"/>
          <w:sz w:val="22"/>
          <w:szCs w:val="22"/>
        </w:rPr>
      </w:pPr>
      <w:bookmarkStart w:id="363" w:name="_Toc421076931"/>
      <w:r w:rsidRPr="00A30AEC">
        <w:rPr>
          <w:rFonts w:ascii="Arial" w:hAnsi="Arial" w:cs="Arial"/>
          <w:b w:val="0"/>
          <w:noProof w:val="0"/>
          <w:color w:val="17365D"/>
          <w:sz w:val="22"/>
          <w:szCs w:val="22"/>
          <w:lang w:eastAsia="en-US"/>
        </w:rPr>
        <w:t>Contracting procedures</w:t>
      </w:r>
      <w:bookmarkEnd w:id="363"/>
    </w:p>
    <w:p w:rsidR="00DF4E40" w:rsidRPr="00304864" w:rsidRDefault="00DF4E40">
      <w:pPr>
        <w:rPr>
          <w:rFonts w:ascii="Arial" w:hAnsi="Arial" w:cs="Arial"/>
          <w:sz w:val="22"/>
          <w:szCs w:val="22"/>
        </w:rPr>
      </w:pPr>
      <w:r w:rsidRPr="00304864">
        <w:rPr>
          <w:rFonts w:ascii="Arial" w:hAnsi="Arial" w:cs="Arial"/>
          <w:sz w:val="22"/>
          <w:szCs w:val="22"/>
        </w:rPr>
        <w:t>Following the decision of the MC to approve applications recommended for funding following the technical quality assessment performed by the MA/JS, the MA and the Lead Partner sign individual Subsidy Contract for each project. The contract includes also IPA funding allocated to the operation.</w:t>
      </w:r>
    </w:p>
    <w:p w:rsidR="00DF4E40" w:rsidRPr="00304864" w:rsidRDefault="00DF4E40">
      <w:pPr>
        <w:rPr>
          <w:rFonts w:ascii="Arial" w:hAnsi="Arial" w:cs="Arial"/>
          <w:sz w:val="22"/>
          <w:szCs w:val="22"/>
        </w:rPr>
      </w:pPr>
      <w:r w:rsidRPr="00304864">
        <w:rPr>
          <w:rFonts w:ascii="Arial" w:hAnsi="Arial" w:cs="Arial"/>
          <w:sz w:val="22"/>
          <w:szCs w:val="22"/>
        </w:rPr>
        <w:t>Non availability of IPA funds has no consequences on the approval of ERDF partners in the same project; the project would be implemented by ERDF partners without the IPA partners, if affected by the mentioned non availability of funds.</w:t>
      </w:r>
    </w:p>
    <w:p w:rsidR="00DF4E40" w:rsidRPr="00304864" w:rsidRDefault="00DF4E40">
      <w:pPr>
        <w:rPr>
          <w:rFonts w:ascii="Arial" w:hAnsi="Arial" w:cs="Arial"/>
          <w:sz w:val="22"/>
          <w:szCs w:val="22"/>
        </w:rPr>
      </w:pPr>
      <w:r w:rsidRPr="00304864">
        <w:rPr>
          <w:rFonts w:ascii="Arial" w:hAnsi="Arial" w:cs="Arial"/>
          <w:sz w:val="22"/>
          <w:szCs w:val="22"/>
        </w:rPr>
        <w:t xml:space="preserve">The MA will use a standard template for the subsidy contract approved by the MC and developed in compliance with the applicable laws of the Republic of Italy and the principles of the institution hosting the MA. </w:t>
      </w:r>
    </w:p>
    <w:p w:rsidR="00DF4E40" w:rsidRPr="00304864" w:rsidRDefault="00DF4E40">
      <w:pPr>
        <w:rPr>
          <w:rFonts w:ascii="Arial" w:hAnsi="Arial" w:cs="Arial"/>
          <w:sz w:val="22"/>
          <w:szCs w:val="22"/>
        </w:rPr>
      </w:pPr>
      <w:r w:rsidRPr="00304864">
        <w:rPr>
          <w:rFonts w:ascii="Arial" w:hAnsi="Arial" w:cs="Arial"/>
          <w:sz w:val="22"/>
          <w:szCs w:val="22"/>
        </w:rPr>
        <w:t>The subsidy contract is addressed to the Lead Partner, appointed by the partnership, in accordance to Article 13 of the of Regulation (EU) No 1299/2013, and is signed by the legal representative of the Lead Partner institution and by the MA.</w:t>
      </w:r>
    </w:p>
    <w:p w:rsidR="00DF4E40" w:rsidRPr="00304864" w:rsidRDefault="00DF4E40">
      <w:pPr>
        <w:rPr>
          <w:rFonts w:ascii="Arial" w:hAnsi="Arial" w:cs="Arial"/>
          <w:sz w:val="22"/>
          <w:szCs w:val="22"/>
        </w:rPr>
      </w:pPr>
      <w:r w:rsidRPr="00304864">
        <w:rPr>
          <w:rFonts w:ascii="Arial" w:hAnsi="Arial" w:cs="Arial"/>
          <w:sz w:val="22"/>
          <w:szCs w:val="22"/>
        </w:rPr>
        <w:t>The subsidy contract lays down all the necessary implementing arrangements for the operation. It will also include legal redress in case of litigation.</w:t>
      </w:r>
    </w:p>
    <w:p w:rsidR="00DF4E40" w:rsidRPr="00304864" w:rsidRDefault="00DF4E40">
      <w:pPr>
        <w:rPr>
          <w:rFonts w:ascii="Arial" w:hAnsi="Arial" w:cs="Arial"/>
          <w:sz w:val="22"/>
          <w:szCs w:val="22"/>
        </w:rPr>
      </w:pPr>
      <w:r w:rsidRPr="00304864">
        <w:rPr>
          <w:rFonts w:ascii="Arial" w:hAnsi="Arial" w:cs="Arial"/>
          <w:sz w:val="22"/>
          <w:szCs w:val="22"/>
        </w:rPr>
        <w:t>The approved application documents, including the final approved application form and the communication of the approval decision by the MC will form an integral part of the subsidy contract.</w:t>
      </w: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noProof w:val="0"/>
          <w:color w:val="17365D"/>
          <w:sz w:val="22"/>
          <w:szCs w:val="22"/>
          <w:lang w:eastAsia="en-US"/>
        </w:rPr>
      </w:pPr>
      <w:bookmarkStart w:id="364" w:name="_Toc365660157"/>
      <w:bookmarkStart w:id="365" w:name="_Toc420652580"/>
      <w:bookmarkStart w:id="366" w:name="_Toc421076932"/>
      <w:r w:rsidRPr="00A30AEC">
        <w:rPr>
          <w:rFonts w:ascii="Arial" w:hAnsi="Arial" w:cs="Arial"/>
          <w:b w:val="0"/>
          <w:noProof w:val="0"/>
          <w:color w:val="17365D"/>
          <w:sz w:val="22"/>
          <w:szCs w:val="22"/>
          <w:lang w:eastAsia="en-US"/>
        </w:rPr>
        <w:t>Arrangement for management verification and related quality controls</w:t>
      </w:r>
      <w:bookmarkEnd w:id="364"/>
      <w:bookmarkEnd w:id="365"/>
      <w:bookmarkEnd w:id="366"/>
    </w:p>
    <w:p w:rsidR="00DF4E40" w:rsidRPr="00304864" w:rsidRDefault="00DF4E40">
      <w:pPr>
        <w:autoSpaceDE w:val="0"/>
        <w:autoSpaceDN w:val="0"/>
        <w:adjustRightInd w:val="0"/>
        <w:rPr>
          <w:rFonts w:ascii="Arial" w:hAnsi="Arial" w:cs="Arial"/>
          <w:sz w:val="22"/>
          <w:szCs w:val="22"/>
        </w:rPr>
      </w:pPr>
      <w:bookmarkStart w:id="367" w:name="_Toc365660160"/>
      <w:r w:rsidRPr="00304864">
        <w:rPr>
          <w:rFonts w:ascii="Arial" w:hAnsi="Arial" w:cs="Arial"/>
          <w:sz w:val="22"/>
          <w:szCs w:val="22"/>
        </w:rPr>
        <w:t xml:space="preserve">In the framework of financial management and control, Partner States shall ensure that their management and control systems are set up in accordance with the provisions stated in EU </w:t>
      </w:r>
      <w:r w:rsidR="00977AA9">
        <w:rPr>
          <w:rFonts w:ascii="Arial" w:hAnsi="Arial" w:cs="Arial"/>
          <w:sz w:val="22"/>
          <w:szCs w:val="22"/>
        </w:rPr>
        <w:t>R</w:t>
      </w:r>
      <w:r w:rsidRPr="00304864">
        <w:rPr>
          <w:rFonts w:ascii="Arial" w:hAnsi="Arial" w:cs="Arial"/>
          <w:sz w:val="22"/>
          <w:szCs w:val="22"/>
        </w:rPr>
        <w:t xml:space="preserve">egulations and that the systems function effectively and properly.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Partner State participating in the ADRION Programme verifies that the co-financed products and services have been delivered and that expenditure declared by the beneficiaries has been paid and that it complies with applicable Union, Programme and national law, and the conditions for support to the operation (Art. 25(4) of Regulation (EU) No 1299/2013).</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Partner State shall designate the body or person responsible for carrying out such verifications in relation to beneficiaries on its territory (“controllers”) and shall also be responsible for verifications carried out in its territory.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For the ADRION Programme, such verifications are carried out by the controllers designated according to each Partner State control system (centralised or decentralised).</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Partner State</w:t>
      </w:r>
      <w:r w:rsidR="00B00771">
        <w:rPr>
          <w:rFonts w:ascii="Arial" w:hAnsi="Arial" w:cs="Arial"/>
          <w:sz w:val="22"/>
          <w:szCs w:val="22"/>
        </w:rPr>
        <w:t>s</w:t>
      </w:r>
      <w:r w:rsidRPr="00304864">
        <w:rPr>
          <w:rFonts w:ascii="Arial" w:hAnsi="Arial" w:cs="Arial"/>
          <w:sz w:val="22"/>
          <w:szCs w:val="22"/>
        </w:rPr>
        <w:t xml:space="preserve"> shall also ensure that the expenditure of a beneficiary can be verified within a period of three months from the submission of the documents by the beneficiary concerned.</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MA shall ensure that the expenditure of each beneficiary participating to an operation has been verified by a designated controller.</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In order to simplify administrative procedure and improve the management of the programme, the MA will promote harmonisation and coordination activities through the adoption of common standard levels and coordination activities between the national control systems by establishing, through the support of the JS, a network of bodies/authorities in charge of the first level control.</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Following these verifications, the JS receives from each project the regular progress report compiled by the Lead Partner including a payment claim according to pre-defined deadlines.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JS performs all the necessary checks in order to ensure the existence of the project and its compliance with the approved application according to the requirements set forth in the subsidy contract. Moreover, the MA checks the accuracy of payment claims and determines the amount of contribution to be paid in relation to the total amount of verified and certified expenses; the MA, in its additional functions of CA, validates the payment claim and adopts all the necessary measures in case of irregularities or frauds.</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effective functioning of the control system set in place by each Partner State shall be verified through different types of controls and according to the principle of proportionality.</w:t>
      </w:r>
    </w:p>
    <w:p w:rsidR="00DF4E40" w:rsidRPr="00304864" w:rsidRDefault="00DF4E40">
      <w:pPr>
        <w:autoSpaceDE w:val="0"/>
        <w:autoSpaceDN w:val="0"/>
        <w:adjustRightInd w:val="0"/>
        <w:rPr>
          <w:rFonts w:ascii="Arial" w:hAnsi="Arial" w:cs="Arial"/>
          <w:sz w:val="22"/>
          <w:szCs w:val="22"/>
        </w:rPr>
      </w:pPr>
    </w:p>
    <w:p w:rsidR="00DF4E40" w:rsidRPr="00A30AEC" w:rsidRDefault="00DF4E40">
      <w:pPr>
        <w:pStyle w:val="Heading3"/>
        <w:spacing w:before="0" w:after="120"/>
        <w:ind w:left="0" w:right="22"/>
        <w:jc w:val="left"/>
        <w:rPr>
          <w:rFonts w:ascii="Arial" w:hAnsi="Arial" w:cs="Arial"/>
          <w:b w:val="0"/>
          <w:noProof w:val="0"/>
          <w:color w:val="17365D"/>
          <w:sz w:val="22"/>
          <w:szCs w:val="22"/>
          <w:lang w:eastAsia="en-US"/>
        </w:rPr>
      </w:pPr>
      <w:bookmarkStart w:id="368" w:name="_Toc420652581"/>
      <w:bookmarkStart w:id="369" w:name="_Toc421076933"/>
      <w:r w:rsidRPr="00A30AEC">
        <w:rPr>
          <w:rFonts w:ascii="Arial" w:hAnsi="Arial" w:cs="Arial"/>
          <w:b w:val="0"/>
          <w:noProof w:val="0"/>
          <w:color w:val="17365D"/>
          <w:sz w:val="22"/>
          <w:szCs w:val="22"/>
          <w:lang w:eastAsia="en-US"/>
        </w:rPr>
        <w:t>Reimbursement from the managing authority to the lead partners</w:t>
      </w:r>
      <w:bookmarkEnd w:id="368"/>
      <w:bookmarkEnd w:id="369"/>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In accordance with Article 13 of the Regulation (EU) No 1299/2013, for each operation project partners shall appoint a Lead Partner. The Lead Partner shall assume overall responsibility for the application and implementation of the entire operation, including the handling of Union funds.</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National co-financing for operations must be provided by the project partners according to their respective national mechanisms. All operations have to be pre-financed by the project partners.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The MC may give the mandate to the MA to explore the option of a pre-financing mechanism for projects.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Expenditure of all partners has to be validated by the authorised national controllers.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Lead Partner collects the certificates of all project partners issued by their controllers and includes them in the above mentioned periodic activity and financial progress reports to the MA/JS. In these documents the Lead Partner reports on progress achieved by the project partnership and on related eligible and validated expenditure.</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Based on checks of the reports undertaken by the JS and in accordance with Article 21(2) of the Regulation (EU) No 1299/2013 and Article 132 of Regulation (EU) No 1303/2013, the MA shall ensure payments to the Lead Partner wh</w:t>
      </w:r>
      <w:r w:rsidR="00B00771">
        <w:rPr>
          <w:rFonts w:ascii="Arial" w:hAnsi="Arial" w:cs="Arial"/>
          <w:sz w:val="22"/>
          <w:szCs w:val="22"/>
        </w:rPr>
        <w:t>ich</w:t>
      </w:r>
      <w:r w:rsidRPr="00304864">
        <w:rPr>
          <w:rFonts w:ascii="Arial" w:hAnsi="Arial" w:cs="Arial"/>
          <w:sz w:val="22"/>
          <w:szCs w:val="22"/>
        </w:rPr>
        <w:t xml:space="preserve"> is responsible for transferring the Union contribution to the partners participating in the operation. </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In accordance with Article 80 of the of Regulation (EU) No 1303/2013 and with Article 28 of Regulation (EU) No 1299/2013, amounts set out in the Programme submitted by Partner States and statements of expenditure shall be expressed in Euro. All payments to the Lead Partners shall be made in Euro.</w:t>
      </w:r>
    </w:p>
    <w:p w:rsidR="00DF4E40" w:rsidRPr="00304864" w:rsidRDefault="00DF4E40">
      <w:pPr>
        <w:tabs>
          <w:tab w:val="left" w:pos="360"/>
        </w:tabs>
        <w:autoSpaceDE w:val="0"/>
        <w:autoSpaceDN w:val="0"/>
        <w:adjustRightInd w:val="0"/>
        <w:rPr>
          <w:rFonts w:ascii="Arial" w:hAnsi="Arial" w:cs="Arial"/>
          <w:sz w:val="22"/>
          <w:szCs w:val="22"/>
          <w:highlight w:val="yellow"/>
        </w:rPr>
      </w:pPr>
    </w:p>
    <w:p w:rsidR="00DF4E40" w:rsidRPr="00A30AEC" w:rsidRDefault="00DF4E40" w:rsidP="00A30AEC">
      <w:pPr>
        <w:pStyle w:val="Heading3"/>
        <w:spacing w:before="0" w:after="120"/>
        <w:ind w:left="0" w:right="22"/>
        <w:jc w:val="left"/>
        <w:rPr>
          <w:rFonts w:ascii="Arial" w:hAnsi="Arial" w:cs="Arial"/>
          <w:b w:val="0"/>
          <w:noProof w:val="0"/>
          <w:color w:val="17365D"/>
          <w:sz w:val="22"/>
          <w:szCs w:val="22"/>
          <w:lang w:eastAsia="en-US"/>
        </w:rPr>
      </w:pPr>
      <w:bookmarkStart w:id="370" w:name="_Toc420652582"/>
      <w:bookmarkStart w:id="371" w:name="_Toc421076934"/>
      <w:r w:rsidRPr="00A30AEC">
        <w:rPr>
          <w:rFonts w:ascii="Arial" w:hAnsi="Arial" w:cs="Arial"/>
          <w:b w:val="0"/>
          <w:noProof w:val="0"/>
          <w:color w:val="17365D"/>
          <w:sz w:val="22"/>
          <w:szCs w:val="22"/>
          <w:lang w:eastAsia="en-US"/>
        </w:rPr>
        <w:t xml:space="preserve">Contribution of the Partner States to the financing of </w:t>
      </w:r>
      <w:r w:rsidR="00977AA9" w:rsidRPr="00A30AEC">
        <w:rPr>
          <w:rFonts w:ascii="Arial" w:hAnsi="Arial" w:cs="Arial"/>
          <w:b w:val="0"/>
          <w:noProof w:val="0"/>
          <w:color w:val="17365D"/>
          <w:sz w:val="22"/>
          <w:szCs w:val="22"/>
          <w:lang w:eastAsia="en-US"/>
        </w:rPr>
        <w:t xml:space="preserve">the </w:t>
      </w:r>
      <w:r w:rsidR="008772FE">
        <w:rPr>
          <w:rFonts w:ascii="Arial" w:hAnsi="Arial" w:cs="Arial"/>
          <w:b w:val="0"/>
          <w:noProof w:val="0"/>
          <w:color w:val="17365D"/>
          <w:sz w:val="22"/>
          <w:szCs w:val="22"/>
          <w:lang w:eastAsia="en-US"/>
        </w:rPr>
        <w:t>t</w:t>
      </w:r>
      <w:r w:rsidRPr="00A30AEC">
        <w:rPr>
          <w:rFonts w:ascii="Arial" w:hAnsi="Arial" w:cs="Arial"/>
          <w:b w:val="0"/>
          <w:noProof w:val="0"/>
          <w:color w:val="17365D"/>
          <w:sz w:val="22"/>
          <w:szCs w:val="22"/>
          <w:lang w:eastAsia="en-US"/>
        </w:rPr>
        <w:t xml:space="preserve">echnical </w:t>
      </w:r>
      <w:r w:rsidR="008772FE">
        <w:rPr>
          <w:rFonts w:ascii="Arial" w:hAnsi="Arial" w:cs="Arial"/>
          <w:b w:val="0"/>
          <w:noProof w:val="0"/>
          <w:color w:val="17365D"/>
          <w:sz w:val="22"/>
          <w:szCs w:val="22"/>
          <w:lang w:eastAsia="en-US"/>
        </w:rPr>
        <w:t>a</w:t>
      </w:r>
      <w:r w:rsidRPr="00A30AEC">
        <w:rPr>
          <w:rFonts w:ascii="Arial" w:hAnsi="Arial" w:cs="Arial"/>
          <w:b w:val="0"/>
          <w:noProof w:val="0"/>
          <w:color w:val="17365D"/>
          <w:sz w:val="22"/>
          <w:szCs w:val="22"/>
          <w:lang w:eastAsia="en-US"/>
        </w:rPr>
        <w:t>ssistance</w:t>
      </w:r>
      <w:bookmarkEnd w:id="370"/>
      <w:bookmarkEnd w:id="371"/>
    </w:p>
    <w:p w:rsidR="00DF4E40" w:rsidRPr="00304864" w:rsidRDefault="00DF4E40">
      <w:pPr>
        <w:rPr>
          <w:rFonts w:ascii="Arial" w:hAnsi="Arial" w:cs="Arial"/>
          <w:sz w:val="22"/>
          <w:szCs w:val="22"/>
        </w:rPr>
      </w:pPr>
      <w:r w:rsidRPr="00304864">
        <w:rPr>
          <w:rFonts w:ascii="Arial" w:hAnsi="Arial" w:cs="Arial"/>
          <w:sz w:val="22"/>
          <w:szCs w:val="22"/>
        </w:rPr>
        <w:t xml:space="preserve">On programme level, the </w:t>
      </w:r>
      <w:r w:rsidR="008772FE">
        <w:rPr>
          <w:rFonts w:ascii="Arial" w:hAnsi="Arial" w:cs="Arial"/>
          <w:sz w:val="22"/>
          <w:szCs w:val="22"/>
        </w:rPr>
        <w:t>t</w:t>
      </w:r>
      <w:r w:rsidRPr="00304864">
        <w:rPr>
          <w:rFonts w:ascii="Arial" w:hAnsi="Arial" w:cs="Arial"/>
          <w:sz w:val="22"/>
          <w:szCs w:val="22"/>
        </w:rPr>
        <w:t xml:space="preserve">echnical </w:t>
      </w:r>
      <w:r w:rsidR="008772FE">
        <w:rPr>
          <w:rFonts w:ascii="Arial" w:hAnsi="Arial" w:cs="Arial"/>
          <w:sz w:val="22"/>
          <w:szCs w:val="22"/>
        </w:rPr>
        <w:t>a</w:t>
      </w:r>
      <w:r w:rsidRPr="00304864">
        <w:rPr>
          <w:rFonts w:ascii="Arial" w:hAnsi="Arial" w:cs="Arial"/>
          <w:sz w:val="22"/>
          <w:szCs w:val="22"/>
        </w:rPr>
        <w:t>ssistance (TA) is jointly financed by the Partner States. In accordance with Article 17 of Regulation (EU) No 1299/2013, the TA is financed by a maximum of 6% of the total ERDF amounts</w:t>
      </w:r>
      <w:r w:rsidR="00977AA9">
        <w:rPr>
          <w:rFonts w:ascii="Arial" w:hAnsi="Arial" w:cs="Arial"/>
          <w:sz w:val="22"/>
          <w:szCs w:val="22"/>
        </w:rPr>
        <w:t>.</w:t>
      </w:r>
      <w:r w:rsidRPr="00304864">
        <w:rPr>
          <w:rFonts w:ascii="Arial" w:hAnsi="Arial" w:cs="Arial"/>
          <w:sz w:val="22"/>
          <w:szCs w:val="22"/>
        </w:rPr>
        <w:t xml:space="preserve"> As far as </w:t>
      </w:r>
      <w:r w:rsidR="00977AA9">
        <w:rPr>
          <w:rFonts w:ascii="Arial" w:hAnsi="Arial" w:cs="Arial"/>
          <w:sz w:val="22"/>
          <w:szCs w:val="22"/>
        </w:rPr>
        <w:t xml:space="preserve">IPA </w:t>
      </w:r>
      <w:r w:rsidR="009E59B0">
        <w:rPr>
          <w:rFonts w:ascii="Arial" w:hAnsi="Arial" w:cs="Arial"/>
          <w:sz w:val="22"/>
          <w:szCs w:val="22"/>
          <w:lang w:eastAsia="fr-BE"/>
        </w:rPr>
        <w:t>Partner States</w:t>
      </w:r>
      <w:r w:rsidRPr="00304864">
        <w:rPr>
          <w:rFonts w:ascii="Arial" w:hAnsi="Arial" w:cs="Arial"/>
          <w:sz w:val="22"/>
          <w:szCs w:val="22"/>
        </w:rPr>
        <w:t xml:space="preserve"> are concerned and with reference to </w:t>
      </w:r>
      <w:r w:rsidR="00B00771">
        <w:rPr>
          <w:rFonts w:ascii="Arial" w:hAnsi="Arial" w:cs="Arial"/>
          <w:sz w:val="22"/>
          <w:szCs w:val="22"/>
        </w:rPr>
        <w:t>A</w:t>
      </w:r>
      <w:r w:rsidRPr="00304864">
        <w:rPr>
          <w:rFonts w:ascii="Arial" w:hAnsi="Arial" w:cs="Arial"/>
          <w:sz w:val="22"/>
          <w:szCs w:val="22"/>
        </w:rPr>
        <w:t>rt</w:t>
      </w:r>
      <w:r w:rsidR="00B00771">
        <w:rPr>
          <w:rFonts w:ascii="Arial" w:hAnsi="Arial" w:cs="Arial"/>
          <w:sz w:val="22"/>
          <w:szCs w:val="22"/>
        </w:rPr>
        <w:t>icle</w:t>
      </w:r>
      <w:r w:rsidRPr="00304864">
        <w:rPr>
          <w:rFonts w:ascii="Arial" w:hAnsi="Arial" w:cs="Arial"/>
          <w:sz w:val="22"/>
          <w:szCs w:val="22"/>
        </w:rPr>
        <w:t xml:space="preserve"> 26 of Regulation (EU) No 1299/2013, </w:t>
      </w:r>
      <w:r w:rsidR="00B00771">
        <w:rPr>
          <w:rFonts w:ascii="Arial" w:hAnsi="Arial" w:cs="Arial"/>
          <w:sz w:val="22"/>
          <w:szCs w:val="22"/>
        </w:rPr>
        <w:t>A</w:t>
      </w:r>
      <w:r w:rsidRPr="00304864">
        <w:rPr>
          <w:rFonts w:ascii="Arial" w:hAnsi="Arial" w:cs="Arial"/>
          <w:sz w:val="22"/>
          <w:szCs w:val="22"/>
        </w:rPr>
        <w:t>rt</w:t>
      </w:r>
      <w:r w:rsidR="00B00771">
        <w:rPr>
          <w:rFonts w:ascii="Arial" w:hAnsi="Arial" w:cs="Arial"/>
          <w:sz w:val="22"/>
          <w:szCs w:val="22"/>
        </w:rPr>
        <w:t>icle</w:t>
      </w:r>
      <w:r w:rsidRPr="00304864">
        <w:rPr>
          <w:rFonts w:ascii="Arial" w:hAnsi="Arial" w:cs="Arial"/>
          <w:sz w:val="22"/>
          <w:szCs w:val="22"/>
        </w:rPr>
        <w:t xml:space="preserve"> 17 of the same Regulation will apply. Details on the TA budget are laid out in Section 3.</w:t>
      </w:r>
    </w:p>
    <w:p w:rsidR="00DF4E40" w:rsidRPr="00304864" w:rsidRDefault="00DF4E40">
      <w:pPr>
        <w:rPr>
          <w:rFonts w:ascii="Arial" w:hAnsi="Arial" w:cs="Arial"/>
          <w:sz w:val="22"/>
          <w:szCs w:val="22"/>
        </w:rPr>
      </w:pPr>
      <w:r w:rsidRPr="00304864">
        <w:rPr>
          <w:rFonts w:ascii="Arial" w:hAnsi="Arial" w:cs="Arial"/>
          <w:sz w:val="22"/>
          <w:szCs w:val="22"/>
        </w:rPr>
        <w:t>Each Partner State shall transfer its national co-financing share for TA to the account of the MA. National co-financing of the TA budget is provided as advance payment starting at the latest with 2015 on an annual basis in proportion to the individual share of total ERDF and IPA funding of the Partner States.</w:t>
      </w:r>
    </w:p>
    <w:p w:rsidR="00DF4E40" w:rsidRPr="00304864" w:rsidRDefault="00DF4E40">
      <w:pPr>
        <w:rPr>
          <w:rFonts w:ascii="Arial" w:hAnsi="Arial" w:cs="Arial"/>
          <w:sz w:val="22"/>
          <w:szCs w:val="22"/>
        </w:rPr>
      </w:pPr>
      <w:r w:rsidRPr="00304864">
        <w:rPr>
          <w:rFonts w:ascii="Arial" w:hAnsi="Arial" w:cs="Arial"/>
          <w:sz w:val="22"/>
          <w:szCs w:val="22"/>
        </w:rPr>
        <w:t xml:space="preserve">A report on the payment situation shall be given by the MA to the MC on a regular basis. Use of interest raised by Union funds (after deduction of charges for transnational transactions) and </w:t>
      </w:r>
      <w:r w:rsidRPr="00A30AEC">
        <w:rPr>
          <w:rFonts w:ascii="Arial" w:hAnsi="Arial" w:cs="Arial"/>
          <w:i/>
          <w:sz w:val="22"/>
          <w:szCs w:val="22"/>
        </w:rPr>
        <w:t>ex-ante</w:t>
      </w:r>
      <w:r w:rsidRPr="00304864">
        <w:rPr>
          <w:rFonts w:ascii="Arial" w:hAnsi="Arial" w:cs="Arial"/>
          <w:sz w:val="22"/>
          <w:szCs w:val="22"/>
        </w:rPr>
        <w:t xml:space="preserve"> national contributions bank accounts, will be subject to a MC decision.</w:t>
      </w:r>
    </w:p>
    <w:p w:rsidR="00DF4E40" w:rsidRPr="00304864" w:rsidRDefault="00DF4E40">
      <w:pPr>
        <w:rPr>
          <w:rFonts w:ascii="Arial" w:hAnsi="Arial" w:cs="Arial"/>
          <w:sz w:val="22"/>
          <w:szCs w:val="22"/>
        </w:rPr>
      </w:pPr>
      <w:r w:rsidRPr="00304864">
        <w:rPr>
          <w:rFonts w:ascii="Arial" w:hAnsi="Arial" w:cs="Arial"/>
          <w:sz w:val="22"/>
          <w:szCs w:val="22"/>
        </w:rPr>
        <w:t>Further technical and financial details will be laid out in the TA Manual.</w:t>
      </w: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noProof w:val="0"/>
          <w:color w:val="17365D"/>
          <w:sz w:val="22"/>
          <w:szCs w:val="22"/>
          <w:lang w:eastAsia="en-US"/>
        </w:rPr>
      </w:pPr>
      <w:bookmarkStart w:id="372" w:name="_Toc420652583"/>
      <w:bookmarkStart w:id="373" w:name="_Toc421076935"/>
      <w:r w:rsidRPr="00A30AEC">
        <w:rPr>
          <w:rFonts w:ascii="Arial" w:hAnsi="Arial" w:cs="Arial"/>
          <w:b w:val="0"/>
          <w:noProof w:val="0"/>
          <w:color w:val="17365D"/>
          <w:sz w:val="22"/>
          <w:szCs w:val="22"/>
          <w:lang w:eastAsia="en-US"/>
        </w:rPr>
        <w:t>Information and communication</w:t>
      </w:r>
      <w:bookmarkEnd w:id="372"/>
      <w:bookmarkEnd w:id="373"/>
    </w:p>
    <w:p w:rsidR="00DF4E40" w:rsidRPr="00304864" w:rsidRDefault="00DF4E40">
      <w:pPr>
        <w:rPr>
          <w:rFonts w:ascii="Arial" w:hAnsi="Arial" w:cs="Arial"/>
          <w:sz w:val="22"/>
          <w:szCs w:val="22"/>
        </w:rPr>
      </w:pPr>
      <w:r w:rsidRPr="00304864">
        <w:rPr>
          <w:rFonts w:ascii="Arial" w:hAnsi="Arial" w:cs="Arial"/>
          <w:sz w:val="22"/>
          <w:szCs w:val="22"/>
        </w:rPr>
        <w:t xml:space="preserve">In line with Articles 115 and 116 of Regulation (EU) No 1303/2013, a communication strategy will be drafted and submitted to the MC no later than 6 months after the adoption of the Programme to ensure transparency towards and information of relevant partners and stakeholders. </w:t>
      </w:r>
    </w:p>
    <w:p w:rsidR="00DF4E40" w:rsidRPr="00304864" w:rsidRDefault="00DF4E40">
      <w:pPr>
        <w:rPr>
          <w:rFonts w:ascii="Arial" w:hAnsi="Arial" w:cs="Arial"/>
          <w:sz w:val="22"/>
          <w:szCs w:val="22"/>
        </w:rPr>
      </w:pPr>
      <w:r w:rsidRPr="00304864">
        <w:rPr>
          <w:rFonts w:ascii="Arial" w:hAnsi="Arial" w:cs="Arial"/>
          <w:sz w:val="22"/>
          <w:szCs w:val="22"/>
        </w:rPr>
        <w:t xml:space="preserve">The strategy will define specific communication objectives, target audiences, messages as well as tactics and tools to support the achievement of wider Programme goals. It will take into account detailed rules concerning information and communication measures as laid down in Article 115 and Annex XII of Regulation (EU) No 1303/2013. The strategy will be valid for the whole programming period, complemented by annual work plans. </w:t>
      </w:r>
    </w:p>
    <w:p w:rsidR="00DF4E40" w:rsidRPr="00304864" w:rsidRDefault="00DF4E40">
      <w:pPr>
        <w:rPr>
          <w:rFonts w:ascii="Arial" w:hAnsi="Arial" w:cs="Arial"/>
          <w:sz w:val="22"/>
          <w:szCs w:val="22"/>
        </w:rPr>
      </w:pPr>
      <w:r w:rsidRPr="00304864">
        <w:rPr>
          <w:rFonts w:ascii="Arial" w:hAnsi="Arial" w:cs="Arial"/>
          <w:sz w:val="22"/>
          <w:szCs w:val="22"/>
        </w:rPr>
        <w:t xml:space="preserve">The Programme and all projects communication activities shall comply with a coordinated branding introduced on a voluntary basis by ETC programmes for the 2014-2020 period. </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r w:rsidRPr="00304864">
        <w:rPr>
          <w:rFonts w:ascii="Arial" w:hAnsi="Arial" w:cs="Arial"/>
          <w:sz w:val="22"/>
          <w:szCs w:val="22"/>
        </w:rPr>
        <w:t>The overall responsibility for communications rests with the MA together with the JS. However, at national and regional levels, the NCPs play a crucial role in complementing transnational and European activities. Approved operations play in addition a key role in communicating project achievements on all levels.</w:t>
      </w:r>
    </w:p>
    <w:p w:rsidR="00DF4E40" w:rsidRPr="00304864" w:rsidRDefault="00DF4E40">
      <w:pPr>
        <w:rPr>
          <w:rFonts w:ascii="Arial" w:hAnsi="Arial" w:cs="Arial"/>
          <w:sz w:val="22"/>
          <w:szCs w:val="22"/>
        </w:rPr>
      </w:pPr>
      <w:r w:rsidRPr="00304864">
        <w:rPr>
          <w:rFonts w:ascii="Arial" w:hAnsi="Arial" w:cs="Arial"/>
          <w:sz w:val="22"/>
          <w:szCs w:val="22"/>
        </w:rPr>
        <w:t>The Partner States shall support the MA to ensure effective application of the information and publicity requirements by taking appropriate steps to disseminate information and provide publicity within their territory.</w:t>
      </w: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noProof w:val="0"/>
          <w:color w:val="17365D"/>
          <w:sz w:val="22"/>
          <w:szCs w:val="22"/>
          <w:lang w:eastAsia="en-US"/>
        </w:rPr>
      </w:pPr>
      <w:bookmarkStart w:id="374" w:name="_Toc420652584"/>
      <w:bookmarkStart w:id="375" w:name="_Toc421076936"/>
      <w:r w:rsidRPr="00A30AEC">
        <w:rPr>
          <w:rFonts w:ascii="Arial" w:hAnsi="Arial" w:cs="Arial"/>
          <w:b w:val="0"/>
          <w:noProof w:val="0"/>
          <w:color w:val="17365D"/>
          <w:sz w:val="22"/>
          <w:szCs w:val="22"/>
          <w:lang w:eastAsia="en-US"/>
        </w:rPr>
        <w:t>Programme evaluation</w:t>
      </w:r>
      <w:bookmarkEnd w:id="374"/>
      <w:bookmarkEnd w:id="375"/>
    </w:p>
    <w:p w:rsidR="00DF4E40" w:rsidRPr="00304864" w:rsidRDefault="00DF4E40">
      <w:pPr>
        <w:rPr>
          <w:rFonts w:ascii="Arial" w:hAnsi="Arial" w:cs="Arial"/>
          <w:sz w:val="22"/>
          <w:szCs w:val="22"/>
        </w:rPr>
      </w:pPr>
      <w:r w:rsidRPr="00304864">
        <w:rPr>
          <w:rFonts w:ascii="Arial" w:hAnsi="Arial" w:cs="Arial"/>
          <w:sz w:val="22"/>
          <w:szCs w:val="22"/>
        </w:rPr>
        <w:t xml:space="preserve">The Programme has been subject to an </w:t>
      </w:r>
      <w:r w:rsidRPr="00304864">
        <w:rPr>
          <w:rFonts w:ascii="Arial" w:hAnsi="Arial" w:cs="Arial"/>
          <w:i/>
          <w:sz w:val="22"/>
          <w:szCs w:val="22"/>
        </w:rPr>
        <w:t>ex-ante</w:t>
      </w:r>
      <w:r w:rsidRPr="00304864">
        <w:rPr>
          <w:rFonts w:ascii="Arial" w:hAnsi="Arial" w:cs="Arial"/>
          <w:sz w:val="22"/>
          <w:szCs w:val="22"/>
        </w:rPr>
        <w:t xml:space="preserve"> evaluation of independent evaluators with the aim to improve programme quality and to optimise the allocation of budget resources. The recommendations of this evaluation have been taken into account during the drafting of this Programme.</w:t>
      </w:r>
    </w:p>
    <w:p w:rsidR="00DF4E40" w:rsidRPr="00304864" w:rsidRDefault="00DF4E40">
      <w:pPr>
        <w:rPr>
          <w:rFonts w:ascii="Arial" w:hAnsi="Arial" w:cs="Arial"/>
          <w:sz w:val="22"/>
          <w:szCs w:val="22"/>
        </w:rPr>
      </w:pPr>
      <w:r w:rsidRPr="00304864">
        <w:rPr>
          <w:rFonts w:ascii="Arial" w:hAnsi="Arial" w:cs="Arial"/>
          <w:sz w:val="22"/>
          <w:szCs w:val="22"/>
        </w:rPr>
        <w:t>In accordance with Article 56 and 114 of Regulation (EU) No 1303/2013, the MA will draw up an evaluation plan which will be approved by the MC in line with provisions as laid down in Article 110(2)(c) of Regulation (EU) No 1303/2013. In accordance with Article 56 of the Regulation (EU) No 1303/2013, evaluations will be carried out to assess the effectiveness, efficiency and impact of the Programme. During the programming period, evaluation will assess how support from the funds has contributed to the objectives for each PA and also the territorial coverage of the Programme area. All evaluations, recommendations and follow-up actions will be examined and approved by the MC.</w:t>
      </w:r>
    </w:p>
    <w:p w:rsidR="00DF4E40" w:rsidRPr="00304864" w:rsidRDefault="00DF4E40">
      <w:pPr>
        <w:rPr>
          <w:rFonts w:ascii="Arial" w:hAnsi="Arial" w:cs="Arial"/>
          <w:sz w:val="22"/>
          <w:szCs w:val="22"/>
        </w:rPr>
      </w:pPr>
      <w:r w:rsidRPr="00304864">
        <w:rPr>
          <w:rFonts w:ascii="Arial" w:hAnsi="Arial" w:cs="Arial"/>
          <w:sz w:val="22"/>
          <w:szCs w:val="22"/>
        </w:rPr>
        <w:t xml:space="preserve">In compliance with Article 57 of the of Regulation (EU) No 1303/2013, the </w:t>
      </w:r>
      <w:r w:rsidRPr="00A30AEC">
        <w:rPr>
          <w:rFonts w:ascii="Arial" w:hAnsi="Arial" w:cs="Arial"/>
          <w:i/>
          <w:sz w:val="22"/>
          <w:szCs w:val="22"/>
        </w:rPr>
        <w:t>ex-post</w:t>
      </w:r>
      <w:r w:rsidRPr="00304864">
        <w:rPr>
          <w:rFonts w:ascii="Arial" w:hAnsi="Arial" w:cs="Arial"/>
          <w:sz w:val="22"/>
          <w:szCs w:val="22"/>
        </w:rPr>
        <w:t xml:space="preserve"> evaluation lies in the responsibility of the European Commission. </w:t>
      </w:r>
    </w:p>
    <w:p w:rsidR="00DF4E40" w:rsidRPr="00304864" w:rsidRDefault="00DF4E40">
      <w:pPr>
        <w:rPr>
          <w:rFonts w:ascii="Arial" w:hAnsi="Arial" w:cs="Arial"/>
          <w:sz w:val="22"/>
          <w:szCs w:val="22"/>
        </w:rPr>
      </w:pPr>
    </w:p>
    <w:p w:rsidR="00DF4E40" w:rsidRPr="00A30AEC" w:rsidRDefault="00DF4E40" w:rsidP="00A30AEC">
      <w:pPr>
        <w:pStyle w:val="Heading3"/>
        <w:spacing w:before="0" w:after="120"/>
        <w:ind w:left="0" w:right="22"/>
        <w:jc w:val="left"/>
        <w:rPr>
          <w:rFonts w:ascii="Arial" w:hAnsi="Arial" w:cs="Arial"/>
          <w:b w:val="0"/>
          <w:noProof w:val="0"/>
          <w:color w:val="17365D"/>
          <w:sz w:val="22"/>
          <w:szCs w:val="22"/>
          <w:lang w:eastAsia="en-US"/>
        </w:rPr>
      </w:pPr>
      <w:bookmarkStart w:id="376" w:name="_Toc420652585"/>
      <w:bookmarkStart w:id="377" w:name="_Toc421076937"/>
      <w:r w:rsidRPr="00A30AEC">
        <w:rPr>
          <w:rFonts w:ascii="Arial" w:hAnsi="Arial" w:cs="Arial"/>
          <w:b w:val="0"/>
          <w:noProof w:val="0"/>
          <w:color w:val="17365D"/>
          <w:sz w:val="22"/>
          <w:szCs w:val="22"/>
          <w:lang w:eastAsia="en-US"/>
        </w:rPr>
        <w:t>Computerised exchange of data</w:t>
      </w:r>
      <w:bookmarkEnd w:id="376"/>
      <w:bookmarkEnd w:id="377"/>
    </w:p>
    <w:p w:rsidR="00DF4E40" w:rsidRPr="00304864" w:rsidRDefault="00DF4E40">
      <w:pPr>
        <w:rPr>
          <w:rFonts w:ascii="Arial" w:hAnsi="Arial" w:cs="Arial"/>
          <w:sz w:val="22"/>
          <w:szCs w:val="22"/>
        </w:rPr>
      </w:pPr>
      <w:r w:rsidRPr="00304864">
        <w:rPr>
          <w:rFonts w:ascii="Arial" w:hAnsi="Arial" w:cs="Arial"/>
          <w:sz w:val="22"/>
          <w:szCs w:val="22"/>
        </w:rPr>
        <w:t xml:space="preserve">As stipulated in Articles 74 and 112 of the of Regulation (EU) No 1303/2013, data exchange with the European Commission will be carried out electronically through an electronic monitoring system (e-MS). </w:t>
      </w:r>
    </w:p>
    <w:p w:rsidR="00DF4E40" w:rsidRPr="00304864" w:rsidRDefault="00DF4E40">
      <w:pPr>
        <w:rPr>
          <w:rFonts w:ascii="Arial" w:hAnsi="Arial" w:cs="Arial"/>
          <w:sz w:val="22"/>
          <w:szCs w:val="22"/>
        </w:rPr>
      </w:pPr>
      <w:r w:rsidRPr="00304864">
        <w:rPr>
          <w:rFonts w:ascii="Arial" w:hAnsi="Arial" w:cs="Arial"/>
          <w:sz w:val="22"/>
          <w:szCs w:val="22"/>
        </w:rPr>
        <w:t xml:space="preserve">The e-MS shall provide data and information needed to fulfil management, monitoring and evaluation requirements. </w:t>
      </w:r>
    </w:p>
    <w:p w:rsidR="00DF4E40" w:rsidRPr="00304864" w:rsidRDefault="00DF4E40">
      <w:pPr>
        <w:rPr>
          <w:rFonts w:ascii="Arial" w:hAnsi="Arial" w:cs="Arial"/>
          <w:sz w:val="22"/>
          <w:szCs w:val="22"/>
        </w:rPr>
      </w:pPr>
      <w:r w:rsidRPr="00304864">
        <w:rPr>
          <w:rFonts w:ascii="Arial" w:hAnsi="Arial" w:cs="Arial"/>
          <w:sz w:val="22"/>
          <w:szCs w:val="22"/>
        </w:rPr>
        <w:t>In accordance with Article 122 of Regulation (EU) No 1303/2013, the ADRION Programme will ensure that no later than 31 December 2015, all exchanges of information between beneficiaries and the MA/CA and AA shall be carried out by means of an electronic data exchange system.</w:t>
      </w:r>
    </w:p>
    <w:p w:rsidR="00DF4E40" w:rsidRPr="00304864" w:rsidRDefault="00DF4E40">
      <w:pPr>
        <w:rPr>
          <w:rFonts w:ascii="Arial" w:hAnsi="Arial" w:cs="Arial"/>
          <w:sz w:val="22"/>
          <w:szCs w:val="22"/>
        </w:rPr>
      </w:pPr>
      <w:r w:rsidRPr="00304864">
        <w:rPr>
          <w:rFonts w:ascii="Arial" w:hAnsi="Arial" w:cs="Arial"/>
          <w:sz w:val="22"/>
          <w:szCs w:val="22"/>
        </w:rPr>
        <w:t xml:space="preserve">The </w:t>
      </w:r>
      <w:r w:rsidR="0000707A">
        <w:rPr>
          <w:rFonts w:ascii="Arial" w:hAnsi="Arial" w:cs="Arial"/>
          <w:sz w:val="22"/>
          <w:szCs w:val="22"/>
        </w:rPr>
        <w:t>A</w:t>
      </w:r>
      <w:r w:rsidRPr="00304864">
        <w:rPr>
          <w:rFonts w:ascii="Arial" w:hAnsi="Arial" w:cs="Arial"/>
          <w:sz w:val="22"/>
          <w:szCs w:val="22"/>
        </w:rPr>
        <w:t xml:space="preserve">DRION MA will ensure all the efforts to achieve a full Programme digitalization also according to the development of IPA regulations on this administrative matter.  </w:t>
      </w:r>
    </w:p>
    <w:p w:rsidR="00DF4E40" w:rsidRPr="00304864" w:rsidRDefault="00DF4E40">
      <w:pPr>
        <w:rPr>
          <w:rFonts w:ascii="Arial" w:hAnsi="Arial" w:cs="Arial"/>
          <w:sz w:val="22"/>
          <w:szCs w:val="22"/>
        </w:rPr>
      </w:pPr>
      <w:r w:rsidRPr="00304864">
        <w:rPr>
          <w:rFonts w:ascii="Arial" w:hAnsi="Arial" w:cs="Arial"/>
          <w:sz w:val="22"/>
          <w:szCs w:val="22"/>
        </w:rPr>
        <w:t>The e-MS will comply with the following aspects: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Data integrity and confidentiality;</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Authentication of the sender within the meaning of Directive 1999/93/EC4108;</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Storage in compliance with retention rules defined in Article 140 of Regulation (EU) No 1303/2013; secure transfer of data;</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Availability during and outside standard office hours (except for technical maintenance activities);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Accessibility to the e-MS by the beneficiaries either directly or via an interface for automatic synchronisation and recording of data with national, regional and local computer management systems;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Protection of privacy of personal data for individuals and commercial confidentiality for legal entities;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In order to transfer data to the European Commission, the administration system of the e-MS shall facilitate interoperability with the Union frameworks as required by Article 122(3) of Regulation (EU) No 1303/2013. </w:t>
      </w:r>
    </w:p>
    <w:p w:rsidR="00DF4E40" w:rsidRPr="00304864" w:rsidRDefault="00DF4E40">
      <w:pPr>
        <w:rPr>
          <w:rFonts w:ascii="Arial" w:hAnsi="Arial" w:cs="Arial"/>
          <w:sz w:val="22"/>
          <w:szCs w:val="22"/>
        </w:rPr>
      </w:pPr>
      <w:r w:rsidRPr="00304864">
        <w:rPr>
          <w:rFonts w:ascii="Arial" w:hAnsi="Arial" w:cs="Arial"/>
          <w:sz w:val="22"/>
          <w:szCs w:val="22"/>
        </w:rPr>
        <w:t>The computer system used shall meet accepted security and reliability standards. Accepted procedures that ensure reliability of the accounting, monitoring and financial reporting information in computerised form will be implemented.</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677D35" w:rsidRDefault="00BD58DC" w:rsidP="00A30AEC">
      <w:pPr>
        <w:pStyle w:val="Heading2"/>
        <w:spacing w:after="120"/>
      </w:pPr>
      <w:bookmarkStart w:id="378" w:name="_Toc366097060"/>
      <w:bookmarkStart w:id="379" w:name="_Toc377402590"/>
      <w:bookmarkStart w:id="380" w:name="_Toc420652586"/>
      <w:bookmarkStart w:id="381" w:name="_Toc421076938"/>
      <w:r>
        <w:t>5.4</w:t>
      </w:r>
      <w:r>
        <w:tab/>
      </w:r>
      <w:r w:rsidR="00DF4E40" w:rsidRPr="00304864">
        <w:t xml:space="preserve">Apportionment of liabilities among the Partner States in case of financial corrections imposed by the </w:t>
      </w:r>
      <w:r w:rsidR="0000707A">
        <w:t>m</w:t>
      </w:r>
      <w:r w:rsidR="00DF4E40" w:rsidRPr="00304864">
        <w:t xml:space="preserve">anaging </w:t>
      </w:r>
      <w:r w:rsidR="0000707A">
        <w:t>a</w:t>
      </w:r>
      <w:r w:rsidR="00DF4E40" w:rsidRPr="00304864">
        <w:t xml:space="preserve">uthority or the </w:t>
      </w:r>
      <w:r w:rsidR="0000707A">
        <w:t xml:space="preserve">European </w:t>
      </w:r>
      <w:r w:rsidR="00DF4E40" w:rsidRPr="00304864">
        <w:t>Commission</w:t>
      </w:r>
      <w:bookmarkStart w:id="382" w:name="_Toc420659333"/>
      <w:bookmarkStart w:id="383" w:name="_Toc420659517"/>
      <w:bookmarkStart w:id="384" w:name="_Toc420659334"/>
      <w:bookmarkStart w:id="385" w:name="_Toc420659518"/>
      <w:bookmarkEnd w:id="367"/>
      <w:bookmarkEnd w:id="378"/>
      <w:bookmarkEnd w:id="379"/>
      <w:bookmarkEnd w:id="380"/>
      <w:bookmarkEnd w:id="381"/>
      <w:bookmarkEnd w:id="382"/>
      <w:bookmarkEnd w:id="383"/>
      <w:bookmarkEnd w:id="384"/>
      <w:bookmarkEnd w:id="385"/>
    </w:p>
    <w:p w:rsidR="00677D35" w:rsidRPr="00A30AEC" w:rsidRDefault="00677D35">
      <w:pPr>
        <w:rPr>
          <w:rFonts w:ascii="Arial" w:hAnsi="Arial" w:cs="Arial"/>
          <w:sz w:val="22"/>
          <w:szCs w:val="22"/>
          <w:lang w:val="en-US"/>
        </w:rPr>
      </w:pPr>
      <w:r w:rsidRPr="00A30AEC">
        <w:rPr>
          <w:rFonts w:ascii="Arial" w:hAnsi="Arial" w:cs="Arial"/>
          <w:sz w:val="22"/>
          <w:szCs w:val="22"/>
          <w:lang w:val="en-US" w:eastAsia="it-IT"/>
        </w:rPr>
        <w:t>(Reference: point (a)(vi) of Article 8(4) of the ETC Regulation)</w:t>
      </w:r>
    </w:p>
    <w:p w:rsidR="00677D35" w:rsidRDefault="00677D35">
      <w:pPr>
        <w:rPr>
          <w:rFonts w:ascii="Arial" w:hAnsi="Arial" w:cs="Arial"/>
          <w:sz w:val="22"/>
          <w:szCs w:val="22"/>
        </w:rPr>
      </w:pPr>
    </w:p>
    <w:p w:rsidR="00DF4E40" w:rsidRPr="00677D35" w:rsidRDefault="00DF4E40">
      <w:pPr>
        <w:rPr>
          <w:rFonts w:ascii="Arial" w:hAnsi="Arial" w:cs="Arial"/>
          <w:sz w:val="22"/>
          <w:szCs w:val="22"/>
        </w:rPr>
      </w:pPr>
      <w:r w:rsidRPr="00677D35">
        <w:rPr>
          <w:rFonts w:ascii="Arial" w:hAnsi="Arial" w:cs="Arial"/>
          <w:sz w:val="22"/>
          <w:szCs w:val="22"/>
        </w:rPr>
        <w:t>Without prejudice to the Partner States’ responsibility for detecting and correcting irregularities and for recovering amounts unduly paid according to Article 122 (2) of Regulation (EU) No 1303/2013, the MA shall ensure that any amount paid out as a result of an irregularity is recovered from the project via the Lead Partner. According to Article 27 of Regulation (EU) No 1299/2013, the project partners shall repay the Lead Partner any amounts unduly paid.</w:t>
      </w:r>
    </w:p>
    <w:p w:rsidR="00DF4E40" w:rsidRPr="00304864" w:rsidRDefault="00DF4E40">
      <w:pPr>
        <w:rPr>
          <w:rFonts w:ascii="Arial" w:hAnsi="Arial" w:cs="Arial"/>
          <w:sz w:val="22"/>
          <w:szCs w:val="22"/>
        </w:rPr>
      </w:pPr>
      <w:r w:rsidRPr="00304864">
        <w:rPr>
          <w:rFonts w:ascii="Arial" w:hAnsi="Arial" w:cs="Arial"/>
          <w:sz w:val="22"/>
          <w:szCs w:val="22"/>
        </w:rPr>
        <w:t>The MA shall also recover funds from the Lead Partner (and the Lead Partner from the project partners) following a termination of the subsidy contract in full or in part based on the conditions defined in the Subsidy Contract.</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If the Lead Partner does not succeed in securing repayment from another project partner or if the MA does not succeed in securing repayment from the Lead Partner despite all measures adopted, the Partner State on whose territory the project partner concerned is located shall reimburse the MA any amounts unduly paid to that partner, according to the Article 27 (3) of Regulation (EU) No 1299/2013.</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The MA is responsible for reimbursing the amounts recovered to the general budget of the Union, in accordance with the apportionment of liabilities among the Partner States (please, see below). The MA will reimburse the funds to the European Commission once the amounts are recovered from the L</w:t>
      </w:r>
      <w:r w:rsidR="00327F0B">
        <w:rPr>
          <w:rFonts w:ascii="Arial" w:hAnsi="Arial" w:cs="Arial"/>
          <w:sz w:val="22"/>
          <w:szCs w:val="22"/>
        </w:rPr>
        <w:t xml:space="preserve">ead </w:t>
      </w:r>
      <w:r w:rsidRPr="00304864">
        <w:rPr>
          <w:rFonts w:ascii="Arial" w:hAnsi="Arial" w:cs="Arial"/>
          <w:sz w:val="22"/>
          <w:szCs w:val="22"/>
        </w:rPr>
        <w:t>P</w:t>
      </w:r>
      <w:r w:rsidR="00327F0B">
        <w:rPr>
          <w:rFonts w:ascii="Arial" w:hAnsi="Arial" w:cs="Arial"/>
          <w:sz w:val="22"/>
          <w:szCs w:val="22"/>
        </w:rPr>
        <w:t>artner</w:t>
      </w:r>
      <w:r w:rsidRPr="00304864">
        <w:rPr>
          <w:rFonts w:ascii="Arial" w:hAnsi="Arial" w:cs="Arial"/>
          <w:sz w:val="22"/>
          <w:szCs w:val="22"/>
        </w:rPr>
        <w:t>/P</w:t>
      </w:r>
      <w:r w:rsidR="00327F0B">
        <w:rPr>
          <w:rFonts w:ascii="Arial" w:hAnsi="Arial" w:cs="Arial"/>
          <w:sz w:val="22"/>
          <w:szCs w:val="22"/>
        </w:rPr>
        <w:t xml:space="preserve">roject </w:t>
      </w:r>
      <w:r w:rsidRPr="00304864">
        <w:rPr>
          <w:rFonts w:ascii="Arial" w:hAnsi="Arial" w:cs="Arial"/>
          <w:sz w:val="22"/>
          <w:szCs w:val="22"/>
        </w:rPr>
        <w:t>P</w:t>
      </w:r>
      <w:r w:rsidR="00327F0B">
        <w:rPr>
          <w:rFonts w:ascii="Arial" w:hAnsi="Arial" w:cs="Arial"/>
          <w:sz w:val="22"/>
          <w:szCs w:val="22"/>
        </w:rPr>
        <w:t>artner</w:t>
      </w:r>
      <w:r w:rsidRPr="00304864">
        <w:rPr>
          <w:rFonts w:ascii="Arial" w:hAnsi="Arial" w:cs="Arial"/>
          <w:sz w:val="22"/>
          <w:szCs w:val="22"/>
        </w:rPr>
        <w:t>/Partner State.</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Details on the procedure shall be included in the description of the management and control system to be established in accordance with Article 72 of Regulation (EU) No 1303/2013.</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In parallel to/after reimbursement of the irrecoverable amount by the Partner State to the MA, the Partner State holds the right to secure repayment from the project partner located on its territory, if necessary through legal action.</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 xml:space="preserve">For this purpose the MA and the Lead Partner shall assign their rights arising from the Subsidy Contract and the partnership agreement </w:t>
      </w:r>
      <w:r w:rsidR="0000707A">
        <w:rPr>
          <w:rFonts w:ascii="Arial" w:hAnsi="Arial" w:cs="Arial"/>
          <w:sz w:val="22"/>
          <w:szCs w:val="22"/>
        </w:rPr>
        <w:t>with</w:t>
      </w:r>
      <w:r w:rsidRPr="00304864">
        <w:rPr>
          <w:rFonts w:ascii="Arial" w:hAnsi="Arial" w:cs="Arial"/>
          <w:sz w:val="22"/>
          <w:szCs w:val="22"/>
        </w:rPr>
        <w:t>the Partner State concerned (ERDF partner as well as IPA II partner).</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In the case of irregularities discovered by the European Court of Auditors or by the European Commission, which result in certain expenditures being considered ineligible and in a financial correction being the subject of a European Commission decision on the basis of Articles 144 to 147 of Regulation (EU) No 1303/2013, the financial consequences for the Partner State are laid down in the section “liabilities and irregularities” below. Any related exchange of correspondence between the European Commission and the Partner State will be copied to the MA/JS; the latter will inform the AA and the GoA.</w:t>
      </w:r>
    </w:p>
    <w:p w:rsidR="00DF4E40" w:rsidRPr="00304864" w:rsidRDefault="00DF4E40">
      <w:pPr>
        <w:autoSpaceDE w:val="0"/>
        <w:autoSpaceDN w:val="0"/>
        <w:adjustRightInd w:val="0"/>
        <w:rPr>
          <w:rFonts w:ascii="Arial" w:hAnsi="Arial" w:cs="Arial"/>
          <w:sz w:val="22"/>
          <w:szCs w:val="22"/>
        </w:rPr>
      </w:pPr>
    </w:p>
    <w:p w:rsidR="00DF4E40" w:rsidRPr="00304864" w:rsidRDefault="00DF4E40">
      <w:pPr>
        <w:autoSpaceDE w:val="0"/>
        <w:autoSpaceDN w:val="0"/>
        <w:adjustRightInd w:val="0"/>
        <w:rPr>
          <w:rFonts w:ascii="Arial" w:hAnsi="Arial" w:cs="Arial"/>
          <w:sz w:val="22"/>
          <w:szCs w:val="22"/>
        </w:rPr>
      </w:pPr>
    </w:p>
    <w:p w:rsidR="00DF4E40" w:rsidRPr="00A30AEC" w:rsidRDefault="00DF4E40" w:rsidP="00A30AEC">
      <w:pPr>
        <w:rPr>
          <w:rFonts w:ascii="Arial" w:hAnsi="Arial" w:cs="Arial"/>
          <w:color w:val="17365D"/>
          <w:sz w:val="22"/>
          <w:szCs w:val="22"/>
        </w:rPr>
      </w:pPr>
      <w:bookmarkStart w:id="386" w:name="_Toc420652588"/>
      <w:r w:rsidRPr="00A30AEC">
        <w:rPr>
          <w:rFonts w:ascii="Arial" w:hAnsi="Arial" w:cs="Arial"/>
          <w:color w:val="17365D"/>
          <w:sz w:val="22"/>
          <w:szCs w:val="22"/>
        </w:rPr>
        <w:t>Apportionment of liabilities among the Partner States</w:t>
      </w:r>
      <w:bookmarkEnd w:id="386"/>
    </w:p>
    <w:p w:rsidR="00DF4E40" w:rsidRPr="00304864" w:rsidRDefault="00DF4E40">
      <w:pPr>
        <w:rPr>
          <w:rFonts w:ascii="Arial" w:hAnsi="Arial" w:cs="Arial"/>
          <w:sz w:val="22"/>
          <w:szCs w:val="22"/>
        </w:rPr>
      </w:pPr>
      <w:bookmarkStart w:id="387" w:name="_Toc365660161"/>
      <w:bookmarkStart w:id="388" w:name="_Toc366097061"/>
      <w:bookmarkStart w:id="389" w:name="_Toc377402591"/>
      <w:r w:rsidRPr="00304864">
        <w:rPr>
          <w:rFonts w:ascii="Arial" w:hAnsi="Arial" w:cs="Arial"/>
          <w:sz w:val="22"/>
          <w:szCs w:val="22"/>
        </w:rPr>
        <w:t>The Partner States will bear liability in connection with the use of the Programme ERDF and IPA funding as follows:</w:t>
      </w:r>
    </w:p>
    <w:p w:rsidR="00DF4E40" w:rsidRPr="00587306" w:rsidRDefault="00DF4E40" w:rsidP="00A30AEC">
      <w:pPr>
        <w:pStyle w:val="mStandard"/>
        <w:numPr>
          <w:ilvl w:val="0"/>
          <w:numId w:val="120"/>
        </w:numPr>
        <w:spacing w:before="0" w:after="120" w:line="240" w:lineRule="auto"/>
        <w:ind w:left="567" w:hanging="141"/>
        <w:rPr>
          <w:rFonts w:cs="Arial"/>
          <w:lang w:val="en-GB"/>
        </w:rPr>
      </w:pPr>
      <w:r w:rsidRPr="003E2F90">
        <w:rPr>
          <w:rFonts w:cs="Arial"/>
          <w:lang w:val="en-GB"/>
        </w:rPr>
        <w:t xml:space="preserve">For project-related expenditure granted to project partners located on </w:t>
      </w:r>
      <w:r w:rsidRPr="00587306">
        <w:rPr>
          <w:rFonts w:cs="Arial"/>
          <w:lang w:val="en-GB"/>
        </w:rPr>
        <w:t>its territory, liability will be borne individually by each State participating to the Programme;</w:t>
      </w:r>
    </w:p>
    <w:p w:rsidR="00DF4E40" w:rsidRPr="0082241B" w:rsidRDefault="00DF4E40" w:rsidP="00A30AEC">
      <w:pPr>
        <w:pStyle w:val="mStandard"/>
        <w:numPr>
          <w:ilvl w:val="0"/>
          <w:numId w:val="120"/>
        </w:numPr>
        <w:spacing w:before="0" w:after="120" w:line="240" w:lineRule="auto"/>
        <w:ind w:left="567" w:hanging="141"/>
        <w:rPr>
          <w:rFonts w:cs="Arial"/>
          <w:lang w:val="en-GB"/>
        </w:rPr>
      </w:pPr>
      <w:r w:rsidRPr="009956A4">
        <w:rPr>
          <w:rFonts w:cs="Arial"/>
          <w:lang w:val="en-GB"/>
        </w:rPr>
        <w:t xml:space="preserve">In case of a systemic irregularity or financial correction (the latter decided by the European Commission), the </w:t>
      </w:r>
      <w:r w:rsidRPr="00E30729">
        <w:rPr>
          <w:rFonts w:cs="Arial"/>
          <w:lang w:val="en-GB"/>
        </w:rPr>
        <w:t xml:space="preserve">Partner States will bear the financial consequences in proportion to the relevant irregularity detected on the respective participating State territory. Where the systemic irregularity or financial correction cannot be linked to a specific </w:t>
      </w:r>
      <w:r w:rsidR="00327F0B">
        <w:rPr>
          <w:rFonts w:cs="Arial"/>
          <w:lang w:val="en-GB"/>
        </w:rPr>
        <w:t>Partner</w:t>
      </w:r>
      <w:r w:rsidRPr="00B74FFA">
        <w:rPr>
          <w:rFonts w:cs="Arial"/>
          <w:lang w:val="en-GB"/>
        </w:rPr>
        <w:t xml:space="preserve">State territory, the </w:t>
      </w:r>
      <w:r w:rsidRPr="00E30729">
        <w:rPr>
          <w:rFonts w:cs="Arial"/>
          <w:lang w:val="en-GB"/>
        </w:rPr>
        <w:t>Partner States will be responsible in proportion to the ERDF/IPA contribution paid to the respective national project partners involved.</w:t>
      </w:r>
    </w:p>
    <w:p w:rsidR="00DF4E40" w:rsidRPr="00C71BD4" w:rsidRDefault="00DF4E40" w:rsidP="00A30AEC">
      <w:pPr>
        <w:pStyle w:val="mStandard"/>
        <w:numPr>
          <w:ilvl w:val="0"/>
          <w:numId w:val="120"/>
        </w:numPr>
        <w:spacing w:before="0" w:after="120" w:line="240" w:lineRule="auto"/>
        <w:ind w:left="567" w:hanging="141"/>
        <w:rPr>
          <w:rFonts w:cs="Arial"/>
          <w:lang w:val="en-GB"/>
        </w:rPr>
      </w:pPr>
      <w:r w:rsidRPr="00641971">
        <w:rPr>
          <w:rFonts w:cs="Arial"/>
          <w:lang w:val="en-GB"/>
        </w:rPr>
        <w:t>For the TA expenditure incurred by the MA, the lia</w:t>
      </w:r>
      <w:r w:rsidRPr="00CE2AC8">
        <w:rPr>
          <w:rFonts w:cs="Arial"/>
          <w:lang w:val="en-GB"/>
        </w:rPr>
        <w:t>bility related to administrative irregularities shall be borne by the MA.</w:t>
      </w:r>
    </w:p>
    <w:p w:rsidR="00DF4E40" w:rsidRPr="00304864" w:rsidRDefault="00DF4E40">
      <w:pPr>
        <w:rPr>
          <w:rFonts w:ascii="Arial" w:hAnsi="Arial" w:cs="Arial"/>
          <w:sz w:val="22"/>
          <w:szCs w:val="22"/>
        </w:rPr>
      </w:pPr>
      <w:r w:rsidRPr="00304864">
        <w:rPr>
          <w:rFonts w:ascii="Arial" w:hAnsi="Arial" w:cs="Arial"/>
          <w:sz w:val="22"/>
          <w:szCs w:val="22"/>
        </w:rPr>
        <w:t>If the MA/CA, JS or any Partner State becomes aware of irregularities, it shall without any delay inform the liable State or MA in its additional functions of CA, which shall ensure the transmission of information to the AA/GoA, where relevant.</w:t>
      </w:r>
    </w:p>
    <w:p w:rsidR="00DF4E40" w:rsidRPr="00304864" w:rsidRDefault="00DF4E40">
      <w:pPr>
        <w:rPr>
          <w:rFonts w:ascii="Arial" w:hAnsi="Arial" w:cs="Arial"/>
          <w:sz w:val="22"/>
          <w:szCs w:val="22"/>
        </w:rPr>
      </w:pPr>
      <w:r w:rsidRPr="00304864">
        <w:rPr>
          <w:rFonts w:ascii="Arial" w:hAnsi="Arial" w:cs="Arial"/>
          <w:sz w:val="22"/>
          <w:szCs w:val="22"/>
        </w:rPr>
        <w:t>In compliance with Article 122 of Regulation (EU) No 1303/2013, each Partner State is responsible for reporting irregularity committed by beneficiaries located on their territory to the European Commission and at the same time to the MA. If the Partner State does not comply with its duties arising from these provisions, the MA is entitled to suspend payments to all project partners located on the territory of the affected country.</w:t>
      </w:r>
    </w:p>
    <w:p w:rsidR="00DF4E40" w:rsidRPr="00304864" w:rsidRDefault="00DF4E40">
      <w:pPr>
        <w:rPr>
          <w:rFonts w:ascii="Arial" w:hAnsi="Arial" w:cs="Arial"/>
          <w:sz w:val="22"/>
          <w:szCs w:val="22"/>
        </w:rPr>
      </w:pPr>
      <w:r w:rsidRPr="00304864">
        <w:rPr>
          <w:rFonts w:ascii="Arial" w:hAnsi="Arial" w:cs="Arial"/>
          <w:sz w:val="22"/>
          <w:szCs w:val="22"/>
        </w:rPr>
        <w:t xml:space="preserve">The Financing Agreement with the </w:t>
      </w:r>
      <w:r w:rsidR="0000707A">
        <w:rPr>
          <w:rFonts w:ascii="Arial" w:hAnsi="Arial" w:cs="Arial"/>
          <w:sz w:val="22"/>
          <w:szCs w:val="22"/>
          <w:lang w:eastAsia="fr-BE"/>
        </w:rPr>
        <w:t xml:space="preserve">IPA </w:t>
      </w:r>
      <w:r w:rsidR="009E59B0">
        <w:rPr>
          <w:rFonts w:ascii="Arial" w:hAnsi="Arial" w:cs="Arial"/>
          <w:sz w:val="22"/>
          <w:szCs w:val="22"/>
          <w:lang w:eastAsia="fr-BE"/>
        </w:rPr>
        <w:t>Partner States</w:t>
      </w:r>
      <w:r w:rsidRPr="00304864">
        <w:rPr>
          <w:rFonts w:ascii="Arial" w:hAnsi="Arial" w:cs="Arial"/>
          <w:sz w:val="22"/>
          <w:szCs w:val="22"/>
        </w:rPr>
        <w:t xml:space="preserve"> shall clearly state that each beneficiary country hosting a project partner shall be responsible for preventing, detecting, making decisions on and correcting irregularities made by public private as well as private partners. </w:t>
      </w:r>
    </w:p>
    <w:p w:rsidR="00DF4E40" w:rsidRPr="00304864" w:rsidRDefault="00DF4E40">
      <w:pPr>
        <w:rPr>
          <w:rFonts w:ascii="Arial" w:hAnsi="Arial" w:cs="Arial"/>
          <w:sz w:val="22"/>
          <w:szCs w:val="22"/>
        </w:rPr>
      </w:pPr>
      <w:r w:rsidRPr="00304864">
        <w:rPr>
          <w:rFonts w:ascii="Arial" w:hAnsi="Arial" w:cs="Arial"/>
          <w:sz w:val="22"/>
          <w:szCs w:val="22"/>
        </w:rPr>
        <w:t xml:space="preserve">The ADRION Programme requires, when spending ERDF funds by means of public contract/concessions, the public bodies and public equivalent bodies of the </w:t>
      </w:r>
      <w:r w:rsidR="00327F0B">
        <w:rPr>
          <w:rFonts w:ascii="Arial" w:hAnsi="Arial" w:cs="Arial"/>
          <w:sz w:val="22"/>
          <w:szCs w:val="22"/>
        </w:rPr>
        <w:t>ERDF</w:t>
      </w:r>
      <w:r w:rsidR="009E59B0">
        <w:rPr>
          <w:rFonts w:ascii="Arial" w:hAnsi="Arial" w:cs="Arial"/>
          <w:sz w:val="22"/>
          <w:szCs w:val="22"/>
        </w:rPr>
        <w:t xml:space="preserve"> Partner</w:t>
      </w:r>
      <w:r w:rsidRPr="00304864">
        <w:rPr>
          <w:rFonts w:ascii="Arial" w:hAnsi="Arial" w:cs="Arial"/>
          <w:sz w:val="22"/>
          <w:szCs w:val="22"/>
        </w:rPr>
        <w:t xml:space="preserve"> States will have to respect EU public procurement rules and in particular (i) Directive 2004/18/EC and 2004/17/EC, (ii) Directives 2014/23/EU, 2014/24/EU and 2014/25/EU once transposed into national legislation; (iii) Directives 89/665/EEC and 92/13/EEC and (iv) the general public procurement principles derived from the Treaty on the Functioning of the EU. Public procurements in Albania, Bosnia </w:t>
      </w:r>
      <w:r w:rsidR="00674CA9">
        <w:rPr>
          <w:rFonts w:ascii="Arial" w:hAnsi="Arial" w:cs="Arial"/>
          <w:sz w:val="22"/>
          <w:szCs w:val="22"/>
        </w:rPr>
        <w:t xml:space="preserve">and </w:t>
      </w:r>
      <w:r w:rsidRPr="00304864">
        <w:rPr>
          <w:rFonts w:ascii="Arial" w:hAnsi="Arial" w:cs="Arial"/>
          <w:sz w:val="22"/>
          <w:szCs w:val="22"/>
        </w:rPr>
        <w:t xml:space="preserve">Herzegovina, Montenegro and Serbia should comply with EU external aid rules. </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BD58DC" w:rsidP="00A30AEC">
      <w:pPr>
        <w:pStyle w:val="Heading2"/>
        <w:spacing w:after="120"/>
      </w:pPr>
      <w:bookmarkStart w:id="390" w:name="_Toc420652589"/>
      <w:bookmarkStart w:id="391" w:name="_Toc421076939"/>
      <w:r>
        <w:t>5.5</w:t>
      </w:r>
      <w:r>
        <w:tab/>
      </w:r>
      <w:r w:rsidR="00DF4E40" w:rsidRPr="00304864">
        <w:t>Use of the Euro</w:t>
      </w:r>
      <w:bookmarkEnd w:id="387"/>
      <w:bookmarkEnd w:id="388"/>
      <w:bookmarkEnd w:id="389"/>
      <w:bookmarkEnd w:id="390"/>
      <w:bookmarkEnd w:id="391"/>
    </w:p>
    <w:p w:rsidR="00DF4E40" w:rsidRPr="00A30AEC" w:rsidRDefault="00DF4E40">
      <w:pPr>
        <w:pStyle w:val="Text2"/>
        <w:ind w:left="0"/>
        <w:rPr>
          <w:rFonts w:ascii="Arial" w:hAnsi="Arial" w:cs="Arial"/>
          <w:sz w:val="22"/>
          <w:szCs w:val="22"/>
        </w:rPr>
      </w:pPr>
      <w:r w:rsidRPr="00A30AEC">
        <w:rPr>
          <w:rFonts w:ascii="Arial" w:hAnsi="Arial" w:cs="Arial"/>
          <w:sz w:val="22"/>
          <w:szCs w:val="22"/>
        </w:rPr>
        <w:t>(Reference: Article 28 of Regulation (EU) No 1299/2013)</w:t>
      </w:r>
    </w:p>
    <w:p w:rsidR="00DF4E40" w:rsidRPr="00304864" w:rsidRDefault="00DF4E40">
      <w:pPr>
        <w:rPr>
          <w:rFonts w:ascii="Arial" w:hAnsi="Arial" w:cs="Arial"/>
          <w:sz w:val="22"/>
          <w:szCs w:val="22"/>
        </w:rPr>
      </w:pPr>
      <w:r w:rsidRPr="00304864">
        <w:rPr>
          <w:rFonts w:ascii="Arial" w:hAnsi="Arial" w:cs="Arial"/>
          <w:sz w:val="22"/>
          <w:szCs w:val="22"/>
        </w:rPr>
        <w:t>In accordance with Article 28 of Regulation (EU) No 1299/2013, and by way of derogation from Article 133 of Regulation (EU) No 1303/2013, expenditure incurred in a currency other than the Euro shall be converted into Euro by the beneficiaries – using the monthly accounting exchange rate of the E</w:t>
      </w:r>
      <w:r w:rsidR="0000707A">
        <w:rPr>
          <w:rFonts w:ascii="Arial" w:hAnsi="Arial" w:cs="Arial"/>
          <w:sz w:val="22"/>
          <w:szCs w:val="22"/>
        </w:rPr>
        <w:t xml:space="preserve">uropean </w:t>
      </w:r>
      <w:r w:rsidRPr="00304864">
        <w:rPr>
          <w:rFonts w:ascii="Arial" w:hAnsi="Arial" w:cs="Arial"/>
          <w:sz w:val="22"/>
          <w:szCs w:val="22"/>
        </w:rPr>
        <w:t>C</w:t>
      </w:r>
      <w:r w:rsidR="0000707A">
        <w:rPr>
          <w:rFonts w:ascii="Arial" w:hAnsi="Arial" w:cs="Arial"/>
          <w:sz w:val="22"/>
          <w:szCs w:val="22"/>
        </w:rPr>
        <w:t>ommisison</w:t>
      </w:r>
      <w:r w:rsidRPr="00304864">
        <w:rPr>
          <w:rFonts w:ascii="Arial" w:hAnsi="Arial" w:cs="Arial"/>
          <w:sz w:val="22"/>
          <w:szCs w:val="22"/>
        </w:rPr>
        <w:t xml:space="preserve"> in the month during which expenditure was submitted for verification to the MA or the controller (option b set up by the Article 28 of Regulation (EU) No 1299/2013. The conversion shall be verified by the controller in the Partner State where the partner is located. </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BD58DC" w:rsidP="00A30AEC">
      <w:pPr>
        <w:pStyle w:val="Heading2"/>
        <w:spacing w:after="120"/>
      </w:pPr>
      <w:bookmarkStart w:id="392" w:name="_Toc365660162"/>
      <w:bookmarkStart w:id="393" w:name="_Toc366097062"/>
      <w:bookmarkStart w:id="394" w:name="_Toc377402592"/>
      <w:bookmarkStart w:id="395" w:name="_Toc420652590"/>
      <w:bookmarkStart w:id="396" w:name="_Toc421076940"/>
      <w:r>
        <w:t xml:space="preserve">5.6 </w:t>
      </w:r>
      <w:r w:rsidR="00DF4E40" w:rsidRPr="00304864">
        <w:t>Involvement of partners</w:t>
      </w:r>
      <w:bookmarkEnd w:id="392"/>
      <w:bookmarkEnd w:id="393"/>
      <w:bookmarkEnd w:id="394"/>
      <w:bookmarkEnd w:id="395"/>
      <w:bookmarkEnd w:id="396"/>
    </w:p>
    <w:p w:rsidR="00DF4E40" w:rsidRPr="00A30AEC" w:rsidRDefault="00DF4E40">
      <w:pPr>
        <w:pStyle w:val="Text2"/>
        <w:ind w:left="0"/>
        <w:rPr>
          <w:rFonts w:ascii="Arial" w:hAnsi="Arial" w:cs="Arial"/>
          <w:sz w:val="22"/>
          <w:szCs w:val="22"/>
          <w:lang w:eastAsia="sv-SE"/>
        </w:rPr>
      </w:pPr>
      <w:r w:rsidRPr="00A30AEC">
        <w:rPr>
          <w:rFonts w:ascii="Arial" w:hAnsi="Arial" w:cs="Arial"/>
          <w:sz w:val="22"/>
          <w:szCs w:val="22"/>
        </w:rPr>
        <w:t>(Reference: point (c) of Article 8(4) of Regulation (EU) No 1299/2013)</w:t>
      </w:r>
    </w:p>
    <w:p w:rsidR="00DF4E40" w:rsidRPr="00A30AEC" w:rsidRDefault="00DF4E40">
      <w:pPr>
        <w:rPr>
          <w:rFonts w:ascii="Arial" w:hAnsi="Arial" w:cs="Arial"/>
          <w:bCs/>
          <w:i/>
          <w:iCs/>
          <w:color w:val="17365D"/>
          <w:sz w:val="22"/>
          <w:szCs w:val="22"/>
        </w:rPr>
      </w:pPr>
      <w:bookmarkStart w:id="397" w:name="_Toc365660163"/>
      <w:bookmarkStart w:id="398" w:name="_Toc366097063"/>
      <w:bookmarkStart w:id="399" w:name="_Toc377402593"/>
      <w:r w:rsidRPr="00A30AEC">
        <w:rPr>
          <w:rFonts w:ascii="Arial" w:hAnsi="Arial" w:cs="Arial"/>
          <w:bCs/>
          <w:i/>
          <w:iCs/>
          <w:color w:val="17365D"/>
          <w:sz w:val="22"/>
          <w:szCs w:val="22"/>
        </w:rPr>
        <w:t>Actions taken to involve the partners in the preparation of the cooperation programme, and the role of those partners in the preparation and implementation of the cooperation programme, including their involvement in the monitoring committee (regional and local authorities, competent urban and other public authorities, economic and social partners, relevant bodies representing civil society (including environmental partners), non-governmental organisations, and bodies responsible for promoting social inclusion, gender equality and non-discrimination).</w:t>
      </w:r>
    </w:p>
    <w:p w:rsidR="00DF4E40" w:rsidRPr="00304864" w:rsidRDefault="00DF4E40">
      <w:pPr>
        <w:rPr>
          <w:rFonts w:ascii="Arial" w:hAnsi="Arial" w:cs="Arial"/>
          <w:bCs/>
          <w:i/>
          <w:iCs/>
          <w:sz w:val="22"/>
          <w:szCs w:val="22"/>
        </w:rPr>
      </w:pPr>
    </w:p>
    <w:p w:rsidR="00DF4E40" w:rsidRPr="00A30AEC" w:rsidRDefault="00DF4E40" w:rsidP="00A30AEC">
      <w:pPr>
        <w:rPr>
          <w:rFonts w:ascii="Arial" w:hAnsi="Arial" w:cs="Arial"/>
          <w:color w:val="17365D"/>
          <w:sz w:val="22"/>
          <w:szCs w:val="22"/>
        </w:rPr>
      </w:pPr>
      <w:bookmarkStart w:id="400" w:name="_Toc365660164"/>
      <w:bookmarkStart w:id="401" w:name="_Toc420652591"/>
      <w:bookmarkEnd w:id="397"/>
      <w:bookmarkEnd w:id="398"/>
      <w:bookmarkEnd w:id="399"/>
      <w:r w:rsidRPr="00A30AEC">
        <w:rPr>
          <w:rFonts w:ascii="Arial" w:hAnsi="Arial" w:cs="Arial"/>
          <w:color w:val="17365D"/>
          <w:sz w:val="22"/>
          <w:szCs w:val="22"/>
        </w:rPr>
        <w:t>Summary of the process of the preparation of the cooperation programme</w:t>
      </w:r>
      <w:bookmarkEnd w:id="400"/>
      <w:bookmarkEnd w:id="401"/>
    </w:p>
    <w:p w:rsidR="00DF4E40" w:rsidRPr="00304864" w:rsidRDefault="00DF4E40">
      <w:pPr>
        <w:rPr>
          <w:rFonts w:ascii="Arial" w:hAnsi="Arial" w:cs="Arial"/>
          <w:sz w:val="22"/>
          <w:szCs w:val="22"/>
        </w:rPr>
      </w:pPr>
      <w:r w:rsidRPr="00304864">
        <w:rPr>
          <w:rFonts w:ascii="Arial" w:hAnsi="Arial" w:cs="Arial"/>
          <w:sz w:val="22"/>
          <w:szCs w:val="22"/>
        </w:rPr>
        <w:t xml:space="preserve">The ADRION </w:t>
      </w:r>
      <w:r w:rsidR="00327F0B">
        <w:rPr>
          <w:rFonts w:ascii="Arial" w:hAnsi="Arial" w:cs="Arial"/>
          <w:sz w:val="22"/>
          <w:szCs w:val="22"/>
        </w:rPr>
        <w:t>P</w:t>
      </w:r>
      <w:r w:rsidRPr="00304864">
        <w:rPr>
          <w:rFonts w:ascii="Arial" w:hAnsi="Arial" w:cs="Arial"/>
          <w:sz w:val="22"/>
          <w:szCs w:val="22"/>
        </w:rPr>
        <w:t>rogramme has been elaborated following the code of conduct elaborated by the European Commission.</w:t>
      </w:r>
    </w:p>
    <w:p w:rsidR="00DF4E40" w:rsidRPr="00304864" w:rsidRDefault="00DF4E40">
      <w:pPr>
        <w:rPr>
          <w:rFonts w:ascii="Arial" w:hAnsi="Arial" w:cs="Arial"/>
          <w:sz w:val="22"/>
          <w:szCs w:val="22"/>
        </w:rPr>
      </w:pPr>
      <w:r w:rsidRPr="00304864">
        <w:rPr>
          <w:rFonts w:ascii="Arial" w:hAnsi="Arial" w:cs="Arial"/>
          <w:sz w:val="22"/>
          <w:szCs w:val="22"/>
        </w:rPr>
        <w:t xml:space="preserve">In August 2013 the European Commission, in order to ensure the coherence with the forthcoming EUSAIR, decided to re-define the geographic scope of the South East Gateway programme so as to geographically match it with the strategy: the new ADRION Programme area was adapted to the 8 countries involved in the Strategy. </w:t>
      </w:r>
    </w:p>
    <w:p w:rsidR="00DF4E40" w:rsidRPr="00304864" w:rsidRDefault="00DF4E40">
      <w:pPr>
        <w:rPr>
          <w:rFonts w:ascii="Arial" w:hAnsi="Arial" w:cs="Arial"/>
          <w:sz w:val="22"/>
          <w:szCs w:val="22"/>
        </w:rPr>
      </w:pPr>
      <w:r w:rsidRPr="00304864">
        <w:rPr>
          <w:rFonts w:ascii="Arial" w:hAnsi="Arial" w:cs="Arial"/>
          <w:sz w:val="22"/>
          <w:szCs w:val="22"/>
        </w:rPr>
        <w:t xml:space="preserve">The cooperation programme preparation process lasted about one year starting in August 2013. The Task Force was reorganised and refocused on the ADRION Programme, which is composed of the 8 countries of the forthcoming macro-regional strategy. </w:t>
      </w:r>
    </w:p>
    <w:p w:rsidR="00DF4E40" w:rsidRPr="00304864" w:rsidRDefault="00DF4E40">
      <w:pPr>
        <w:rPr>
          <w:rFonts w:ascii="Arial" w:hAnsi="Arial" w:cs="Arial"/>
          <w:sz w:val="22"/>
          <w:szCs w:val="22"/>
        </w:rPr>
      </w:pPr>
      <w:r w:rsidRPr="00304864">
        <w:rPr>
          <w:rFonts w:ascii="Arial" w:hAnsi="Arial" w:cs="Arial"/>
          <w:sz w:val="22"/>
          <w:szCs w:val="22"/>
        </w:rPr>
        <w:t>The re-adjusted Task Force adopted internal Rules of Procedure setting up the mission, the decision making process and the composition of the Task Force.</w:t>
      </w:r>
    </w:p>
    <w:p w:rsidR="00DF4E40" w:rsidRPr="00304864" w:rsidRDefault="00DF4E40">
      <w:pPr>
        <w:rPr>
          <w:rFonts w:ascii="Arial" w:hAnsi="Arial" w:cs="Arial"/>
          <w:sz w:val="22"/>
          <w:szCs w:val="22"/>
        </w:rPr>
      </w:pPr>
      <w:r w:rsidRPr="00304864">
        <w:rPr>
          <w:rFonts w:ascii="Arial" w:hAnsi="Arial" w:cs="Arial"/>
          <w:sz w:val="22"/>
          <w:szCs w:val="22"/>
        </w:rPr>
        <w:t>In order to ensure a general coherence of the cooperation programme contents with the European regulatory framework, the indicative time plan of the programming process was constantly updated taking into account the evolution of draft EU Regulations and the consultation processes.</w:t>
      </w:r>
    </w:p>
    <w:p w:rsidR="00DF4E40" w:rsidRPr="00304864" w:rsidRDefault="00DF4E40">
      <w:pPr>
        <w:rPr>
          <w:rFonts w:ascii="Arial" w:hAnsi="Arial" w:cs="Arial"/>
          <w:sz w:val="22"/>
          <w:szCs w:val="22"/>
        </w:rPr>
      </w:pPr>
      <w:r w:rsidRPr="00304864">
        <w:rPr>
          <w:rFonts w:ascii="Arial" w:hAnsi="Arial" w:cs="Arial"/>
          <w:sz w:val="22"/>
          <w:szCs w:val="22"/>
        </w:rPr>
        <w:t>The Task Force launched a call for applications towards institutions willing to act as the future MA: the procedure was closed in May 2014 with the appointment of the Emilia-Romagna Region as the future MA of the ADRION Programme.</w:t>
      </w:r>
    </w:p>
    <w:p w:rsidR="00DF4E40" w:rsidRPr="00304864" w:rsidRDefault="00DF4E40">
      <w:pPr>
        <w:rPr>
          <w:rFonts w:ascii="Arial" w:hAnsi="Arial" w:cs="Arial"/>
          <w:sz w:val="22"/>
          <w:szCs w:val="22"/>
        </w:rPr>
      </w:pPr>
      <w:r w:rsidRPr="00304864">
        <w:rPr>
          <w:rFonts w:ascii="Arial" w:hAnsi="Arial" w:cs="Arial"/>
          <w:sz w:val="22"/>
          <w:szCs w:val="22"/>
        </w:rPr>
        <w:t xml:space="preserve">The Task Force decided to contract some external experts for the execution of specialised tasks related to the cooperation programme preparation such as the moderation and drafting process, the </w:t>
      </w:r>
      <w:r w:rsidRPr="00304864">
        <w:rPr>
          <w:rFonts w:ascii="Arial" w:hAnsi="Arial" w:cs="Arial"/>
          <w:i/>
          <w:sz w:val="22"/>
          <w:szCs w:val="22"/>
        </w:rPr>
        <w:t>ex-ante</w:t>
      </w:r>
      <w:r w:rsidRPr="00304864">
        <w:rPr>
          <w:rFonts w:ascii="Arial" w:hAnsi="Arial" w:cs="Arial"/>
          <w:sz w:val="22"/>
          <w:szCs w:val="22"/>
        </w:rPr>
        <w:t xml:space="preserve"> and the strategic environmental evaluation.</w:t>
      </w:r>
    </w:p>
    <w:p w:rsidR="00DF4E40" w:rsidRPr="00304864" w:rsidRDefault="00DF4E40">
      <w:pPr>
        <w:rPr>
          <w:rFonts w:ascii="Arial" w:hAnsi="Arial" w:cs="Arial"/>
          <w:sz w:val="22"/>
          <w:szCs w:val="22"/>
        </w:rPr>
      </w:pPr>
      <w:r w:rsidRPr="00304864">
        <w:rPr>
          <w:rFonts w:ascii="Arial" w:hAnsi="Arial" w:cs="Arial"/>
          <w:sz w:val="22"/>
          <w:szCs w:val="22"/>
        </w:rPr>
        <w:t>The Task Force set up a restricted working group in charge of accompanying the preparation of the P</w:t>
      </w:r>
      <w:r w:rsidR="004A0CC2">
        <w:rPr>
          <w:rFonts w:ascii="Arial" w:hAnsi="Arial" w:cs="Arial"/>
          <w:sz w:val="22"/>
          <w:szCs w:val="22"/>
        </w:rPr>
        <w:t>A</w:t>
      </w:r>
      <w:r w:rsidRPr="00304864">
        <w:rPr>
          <w:rFonts w:ascii="Arial" w:hAnsi="Arial" w:cs="Arial"/>
          <w:sz w:val="22"/>
          <w:szCs w:val="22"/>
        </w:rPr>
        <w:t xml:space="preserve"> 4 focused on TO11 addressing the support to the governance and implementation of EUSAIR under the coordination of Slovenia. Its members have been appointed by the Partner States, as well as by MA, European Commission desk officer and an INTERACT representative as external observers.</w:t>
      </w:r>
    </w:p>
    <w:p w:rsidR="00DF4E40" w:rsidRPr="00304864" w:rsidRDefault="00DF4E40">
      <w:pPr>
        <w:rPr>
          <w:rFonts w:ascii="Arial" w:hAnsi="Arial" w:cs="Arial"/>
          <w:sz w:val="22"/>
          <w:szCs w:val="22"/>
        </w:rPr>
      </w:pPr>
      <w:r w:rsidRPr="00304864">
        <w:rPr>
          <w:rFonts w:ascii="Arial" w:hAnsi="Arial" w:cs="Arial"/>
          <w:sz w:val="22"/>
          <w:szCs w:val="22"/>
        </w:rPr>
        <w:t>A total number of 8Task Force meetings took place during all the preparation process.</w:t>
      </w:r>
    </w:p>
    <w:p w:rsidR="00DF4E40" w:rsidRPr="00304864" w:rsidRDefault="00DF4E40">
      <w:pPr>
        <w:rPr>
          <w:rFonts w:ascii="Arial" w:hAnsi="Arial" w:cs="Arial"/>
          <w:sz w:val="22"/>
          <w:szCs w:val="22"/>
          <w:highlight w:val="cyan"/>
          <w:u w:val="single"/>
        </w:rPr>
      </w:pPr>
    </w:p>
    <w:p w:rsidR="00DF4E40" w:rsidRPr="00A30AEC" w:rsidRDefault="00DF4E40" w:rsidP="00A30AEC">
      <w:pPr>
        <w:rPr>
          <w:rFonts w:ascii="Arial" w:hAnsi="Arial" w:cs="Arial"/>
          <w:color w:val="17365D"/>
          <w:sz w:val="22"/>
          <w:szCs w:val="22"/>
        </w:rPr>
      </w:pPr>
      <w:bookmarkStart w:id="402" w:name="_Toc420652592"/>
      <w:r w:rsidRPr="00A30AEC">
        <w:rPr>
          <w:rFonts w:ascii="Arial" w:hAnsi="Arial" w:cs="Arial"/>
          <w:color w:val="17365D"/>
          <w:sz w:val="22"/>
          <w:szCs w:val="22"/>
        </w:rPr>
        <w:t>Description of the involvement of the partners</w:t>
      </w:r>
      <w:bookmarkEnd w:id="402"/>
    </w:p>
    <w:p w:rsidR="00DF4E40" w:rsidRPr="00304864" w:rsidRDefault="00DF4E40">
      <w:pPr>
        <w:rPr>
          <w:rFonts w:ascii="Arial" w:hAnsi="Arial" w:cs="Arial"/>
          <w:sz w:val="22"/>
          <w:szCs w:val="22"/>
        </w:rPr>
      </w:pPr>
      <w:r w:rsidRPr="00304864">
        <w:rPr>
          <w:rFonts w:ascii="Arial" w:hAnsi="Arial" w:cs="Arial"/>
          <w:sz w:val="22"/>
          <w:szCs w:val="22"/>
        </w:rPr>
        <w:t>The aim of the process was to validate strategic choices (thematic concentration) for the ADRION Programme and to collect additional inputs and suggestions as well as ideas on potential transnational actions to be supported. For the preparation of the ADRION Programme, partners have been involved through a consultation launched on the programme level.</w:t>
      </w:r>
    </w:p>
    <w:p w:rsidR="00DF4E40" w:rsidRPr="00304864" w:rsidRDefault="00DF4E40">
      <w:pPr>
        <w:rPr>
          <w:rFonts w:ascii="Arial" w:hAnsi="Arial" w:cs="Arial"/>
          <w:sz w:val="22"/>
          <w:szCs w:val="22"/>
        </w:rPr>
      </w:pPr>
      <w:r w:rsidRPr="00304864">
        <w:rPr>
          <w:rFonts w:ascii="Arial" w:hAnsi="Arial" w:cs="Arial"/>
          <w:sz w:val="22"/>
          <w:szCs w:val="22"/>
        </w:rPr>
        <w:t>The ADRION Programme launched on its website its own public online consultation on its priorities between the 27</w:t>
      </w:r>
      <w:r w:rsidRPr="00304864">
        <w:rPr>
          <w:rFonts w:ascii="Arial" w:hAnsi="Arial" w:cs="Arial"/>
          <w:sz w:val="22"/>
          <w:szCs w:val="22"/>
          <w:vertAlign w:val="superscript"/>
        </w:rPr>
        <w:t>th</w:t>
      </w:r>
      <w:r w:rsidRPr="00304864">
        <w:rPr>
          <w:rFonts w:ascii="Arial" w:hAnsi="Arial" w:cs="Arial"/>
          <w:sz w:val="22"/>
          <w:szCs w:val="22"/>
        </w:rPr>
        <w:t>June and 17</w:t>
      </w:r>
      <w:r w:rsidRPr="00304864">
        <w:rPr>
          <w:rFonts w:ascii="Arial" w:hAnsi="Arial" w:cs="Arial"/>
          <w:sz w:val="22"/>
          <w:szCs w:val="22"/>
          <w:vertAlign w:val="superscript"/>
        </w:rPr>
        <w:t>th</w:t>
      </w:r>
      <w:r w:rsidRPr="00304864">
        <w:rPr>
          <w:rFonts w:ascii="Arial" w:hAnsi="Arial" w:cs="Arial"/>
          <w:sz w:val="22"/>
          <w:szCs w:val="22"/>
        </w:rPr>
        <w:t xml:space="preserve"> July 2014 whose results have been presented to the Task Force on July 21</w:t>
      </w:r>
      <w:r w:rsidRPr="00304864">
        <w:rPr>
          <w:rFonts w:ascii="Arial" w:hAnsi="Arial" w:cs="Arial"/>
          <w:sz w:val="22"/>
          <w:szCs w:val="22"/>
          <w:vertAlign w:val="superscript"/>
        </w:rPr>
        <w:t>st</w:t>
      </w:r>
      <w:r w:rsidRPr="00304864">
        <w:rPr>
          <w:rFonts w:ascii="Arial" w:hAnsi="Arial" w:cs="Arial"/>
          <w:sz w:val="22"/>
          <w:szCs w:val="22"/>
        </w:rPr>
        <w:t xml:space="preserve"> 2014 in Bologna (Italy).</w:t>
      </w:r>
    </w:p>
    <w:p w:rsidR="00DF4E40" w:rsidRPr="00304864" w:rsidRDefault="00DF4E40">
      <w:pPr>
        <w:rPr>
          <w:rFonts w:ascii="Arial" w:hAnsi="Arial" w:cs="Arial"/>
          <w:sz w:val="22"/>
          <w:szCs w:val="22"/>
        </w:rPr>
      </w:pPr>
      <w:r w:rsidRPr="00304864">
        <w:rPr>
          <w:rFonts w:ascii="Arial" w:hAnsi="Arial" w:cs="Arial"/>
          <w:sz w:val="22"/>
          <w:szCs w:val="22"/>
        </w:rPr>
        <w:t>In the framework of the programming process the Task Force organised also two transnational thematic events in Italy (Ancona – 3</w:t>
      </w:r>
      <w:r w:rsidRPr="00304864">
        <w:rPr>
          <w:rFonts w:ascii="Arial" w:hAnsi="Arial" w:cs="Arial"/>
          <w:sz w:val="22"/>
          <w:szCs w:val="22"/>
          <w:vertAlign w:val="superscript"/>
        </w:rPr>
        <w:t>rd</w:t>
      </w:r>
      <w:r w:rsidRPr="00304864">
        <w:rPr>
          <w:rFonts w:ascii="Arial" w:hAnsi="Arial" w:cs="Arial"/>
          <w:sz w:val="22"/>
          <w:szCs w:val="22"/>
        </w:rPr>
        <w:t xml:space="preserve"> September 2014) and Croatia (Split – 5</w:t>
      </w:r>
      <w:r w:rsidRPr="00304864">
        <w:rPr>
          <w:rFonts w:ascii="Arial" w:hAnsi="Arial" w:cs="Arial"/>
          <w:sz w:val="22"/>
          <w:szCs w:val="22"/>
          <w:vertAlign w:val="superscript"/>
        </w:rPr>
        <w:t>th</w:t>
      </w:r>
      <w:r w:rsidRPr="00304864">
        <w:rPr>
          <w:rFonts w:ascii="Arial" w:hAnsi="Arial" w:cs="Arial"/>
          <w:sz w:val="22"/>
          <w:szCs w:val="22"/>
        </w:rPr>
        <w:t xml:space="preserve"> September 2014) aimed at collecting inputs from the public about their expectation from ADRION Programme and the possible additional results and actions for the fine-tuning of the programme strategy. The thematic workshops have been organized in one plenary and 3 working parallel sessions focusing on the Programme Pas (Innovative and Smart Region, Sustainable Region, Connected Region).</w:t>
      </w:r>
    </w:p>
    <w:p w:rsidR="00DF4E40" w:rsidRPr="00304864" w:rsidRDefault="00DF4E40">
      <w:pPr>
        <w:tabs>
          <w:tab w:val="num" w:pos="720"/>
        </w:tabs>
        <w:rPr>
          <w:rFonts w:ascii="Arial" w:hAnsi="Arial" w:cs="Arial"/>
          <w:sz w:val="22"/>
          <w:szCs w:val="22"/>
        </w:rPr>
      </w:pPr>
      <w:r w:rsidRPr="00304864">
        <w:rPr>
          <w:rFonts w:ascii="Arial" w:hAnsi="Arial" w:cs="Arial"/>
          <w:sz w:val="22"/>
          <w:szCs w:val="22"/>
        </w:rPr>
        <w:t xml:space="preserve">Based on the mailing list used for the online consultation, 2.611 persons received the invitation with the agenda and a registration form (both documents were also available on the SEE Programme website </w:t>
      </w:r>
      <w:hyperlink r:id="rId23" w:history="1">
        <w:r w:rsidRPr="00304864">
          <w:rPr>
            <w:rFonts w:ascii="Arial" w:hAnsi="Arial" w:cs="Arial"/>
            <w:sz w:val="22"/>
            <w:szCs w:val="22"/>
          </w:rPr>
          <w:t>www.southeast-europe.net</w:t>
        </w:r>
      </w:hyperlink>
      <w:r w:rsidRPr="00304864">
        <w:rPr>
          <w:rFonts w:ascii="Arial" w:hAnsi="Arial" w:cs="Arial"/>
          <w:sz w:val="22"/>
          <w:szCs w:val="22"/>
        </w:rPr>
        <w:t>). More than 200 stakeholders attended the 2 events (142 in Italy and 66 in Croatia, respectively).</w:t>
      </w:r>
    </w:p>
    <w:p w:rsidR="00DF4E40" w:rsidRPr="00304864" w:rsidRDefault="00DF4E40">
      <w:pPr>
        <w:tabs>
          <w:tab w:val="num" w:pos="720"/>
        </w:tabs>
        <w:rPr>
          <w:rFonts w:ascii="Arial" w:hAnsi="Arial" w:cs="Arial"/>
          <w:sz w:val="22"/>
          <w:szCs w:val="22"/>
        </w:rPr>
      </w:pPr>
      <w:r w:rsidRPr="00304864">
        <w:rPr>
          <w:rFonts w:ascii="Arial" w:hAnsi="Arial" w:cs="Arial"/>
          <w:sz w:val="22"/>
          <w:szCs w:val="22"/>
        </w:rPr>
        <w:t>The participants represented a balanced a mix of backgrounds, i.e. from academia, local authorities, development agencies and privates. The participants were active and contributed opinions and ideas to all components of the programme. These inputs have been translated in concrete revision of the draft version of the cooperation programme and mainly focused on:</w:t>
      </w:r>
    </w:p>
    <w:p w:rsidR="00DF4E40" w:rsidRPr="00A30AEC" w:rsidRDefault="00DF4E40" w:rsidP="00A30AEC">
      <w:pPr>
        <w:numPr>
          <w:ilvl w:val="0"/>
          <w:numId w:val="136"/>
        </w:numPr>
        <w:rPr>
          <w:rFonts w:ascii="Arial" w:hAnsi="Arial" w:cs="Arial"/>
          <w:sz w:val="22"/>
          <w:szCs w:val="22"/>
          <w:lang w:eastAsia="de-AT"/>
        </w:rPr>
      </w:pPr>
      <w:r w:rsidRPr="00A30AEC">
        <w:rPr>
          <w:rFonts w:ascii="Arial" w:hAnsi="Arial" w:cs="Arial"/>
          <w:sz w:val="22"/>
          <w:szCs w:val="22"/>
          <w:lang w:eastAsia="de-AT"/>
        </w:rPr>
        <w:t xml:space="preserve">The needs of the programme area, </w:t>
      </w:r>
    </w:p>
    <w:p w:rsidR="00DF4E40" w:rsidRPr="00A30AEC" w:rsidRDefault="00DF4E40" w:rsidP="00A30AEC">
      <w:pPr>
        <w:numPr>
          <w:ilvl w:val="0"/>
          <w:numId w:val="136"/>
        </w:numPr>
        <w:rPr>
          <w:rFonts w:ascii="Arial" w:hAnsi="Arial" w:cs="Arial"/>
          <w:sz w:val="22"/>
          <w:szCs w:val="22"/>
          <w:lang w:eastAsia="de-AT"/>
        </w:rPr>
      </w:pPr>
      <w:r w:rsidRPr="00A30AEC">
        <w:rPr>
          <w:rFonts w:ascii="Arial" w:hAnsi="Arial" w:cs="Arial"/>
          <w:sz w:val="22"/>
          <w:szCs w:val="22"/>
          <w:lang w:eastAsia="de-AT"/>
        </w:rPr>
        <w:t>The additional thematic areas to be included as focus of the PAs,</w:t>
      </w:r>
    </w:p>
    <w:p w:rsidR="00DF4E40" w:rsidRPr="00A30AEC" w:rsidRDefault="00DF4E40" w:rsidP="00A30AEC">
      <w:pPr>
        <w:numPr>
          <w:ilvl w:val="0"/>
          <w:numId w:val="136"/>
        </w:numPr>
        <w:rPr>
          <w:rFonts w:ascii="Arial" w:hAnsi="Arial" w:cs="Arial"/>
          <w:sz w:val="22"/>
          <w:szCs w:val="22"/>
          <w:lang w:eastAsia="de-AT"/>
        </w:rPr>
      </w:pPr>
      <w:r w:rsidRPr="00A30AEC">
        <w:rPr>
          <w:rFonts w:ascii="Arial" w:hAnsi="Arial" w:cs="Arial"/>
          <w:sz w:val="22"/>
          <w:szCs w:val="22"/>
          <w:lang w:eastAsia="de-AT"/>
        </w:rPr>
        <w:t>Some suggestions for improving the Programme management and implementation.</w:t>
      </w:r>
    </w:p>
    <w:p w:rsidR="00DF4E40" w:rsidRPr="00304864" w:rsidRDefault="00DF4E40">
      <w:pPr>
        <w:tabs>
          <w:tab w:val="num" w:pos="720"/>
        </w:tabs>
        <w:rPr>
          <w:rFonts w:ascii="Arial" w:hAnsi="Arial" w:cs="Arial"/>
          <w:sz w:val="22"/>
          <w:szCs w:val="22"/>
        </w:rPr>
      </w:pPr>
      <w:r w:rsidRPr="00304864">
        <w:rPr>
          <w:rFonts w:ascii="Arial" w:hAnsi="Arial" w:cs="Arial"/>
          <w:sz w:val="22"/>
          <w:szCs w:val="22"/>
        </w:rPr>
        <w:t>All the presentations both of the plenary sessions and of the working groups as well as the list of participants were published on the SEE Programme website.</w:t>
      </w:r>
    </w:p>
    <w:p w:rsidR="00DF4E40" w:rsidRPr="00304864" w:rsidRDefault="00DF4E40">
      <w:pPr>
        <w:rPr>
          <w:rFonts w:ascii="Arial" w:hAnsi="Arial" w:cs="Arial"/>
          <w:sz w:val="22"/>
          <w:szCs w:val="22"/>
        </w:rPr>
      </w:pPr>
      <w:r w:rsidRPr="00B74FFA">
        <w:rPr>
          <w:rFonts w:ascii="Arial" w:hAnsi="Arial" w:cs="Arial"/>
          <w:sz w:val="22"/>
          <w:szCs w:val="22"/>
        </w:rPr>
        <w:t>Between July and October 2014 the consultation of the Environment</w:t>
      </w:r>
      <w:r w:rsidR="00327F0B" w:rsidRPr="00B74FFA">
        <w:rPr>
          <w:rFonts w:ascii="Arial" w:hAnsi="Arial" w:cs="Arial"/>
          <w:sz w:val="22"/>
          <w:szCs w:val="22"/>
        </w:rPr>
        <w:t>al</w:t>
      </w:r>
      <w:r w:rsidRPr="00B74FFA">
        <w:rPr>
          <w:rFonts w:ascii="Arial" w:hAnsi="Arial" w:cs="Arial"/>
          <w:sz w:val="22"/>
          <w:szCs w:val="22"/>
        </w:rPr>
        <w:t xml:space="preserve"> Authorit</w:t>
      </w:r>
      <w:r w:rsidR="00327F0B" w:rsidRPr="00B74FFA">
        <w:rPr>
          <w:rFonts w:ascii="Arial" w:hAnsi="Arial" w:cs="Arial"/>
          <w:sz w:val="22"/>
          <w:szCs w:val="22"/>
        </w:rPr>
        <w:t xml:space="preserve">ies </w:t>
      </w:r>
      <w:r w:rsidRPr="00B74FFA">
        <w:rPr>
          <w:rFonts w:ascii="Arial" w:hAnsi="Arial" w:cs="Arial"/>
          <w:sz w:val="22"/>
          <w:szCs w:val="22"/>
        </w:rPr>
        <w:t>of the Partner States concerning the impact of the programme on the environment has also been achieved.</w:t>
      </w:r>
    </w:p>
    <w:p w:rsidR="00DF4E40" w:rsidRPr="00304864" w:rsidRDefault="00DF4E40">
      <w:pPr>
        <w:rPr>
          <w:rFonts w:ascii="Arial" w:hAnsi="Arial" w:cs="Arial"/>
          <w:sz w:val="22"/>
          <w:szCs w:val="22"/>
        </w:rPr>
      </w:pPr>
    </w:p>
    <w:p w:rsidR="00DF4E40" w:rsidRPr="00A30AEC" w:rsidRDefault="00DF4E40" w:rsidP="00A30AEC">
      <w:pPr>
        <w:rPr>
          <w:rFonts w:ascii="Arial" w:hAnsi="Arial" w:cs="Arial"/>
          <w:color w:val="17365D"/>
          <w:sz w:val="22"/>
          <w:szCs w:val="22"/>
        </w:rPr>
      </w:pPr>
      <w:r w:rsidRPr="00A30AEC">
        <w:rPr>
          <w:rFonts w:ascii="Arial" w:hAnsi="Arial" w:cs="Arial"/>
          <w:color w:val="17365D"/>
          <w:sz w:val="22"/>
          <w:szCs w:val="22"/>
        </w:rPr>
        <w:t>Selection of partners</w:t>
      </w:r>
    </w:p>
    <w:p w:rsidR="00DF4E40" w:rsidRPr="00304864" w:rsidRDefault="00DF4E40">
      <w:pPr>
        <w:rPr>
          <w:rFonts w:ascii="Arial" w:hAnsi="Arial" w:cs="Arial"/>
          <w:sz w:val="22"/>
          <w:szCs w:val="22"/>
        </w:rPr>
      </w:pPr>
      <w:r w:rsidRPr="00304864">
        <w:rPr>
          <w:rFonts w:ascii="Arial" w:hAnsi="Arial" w:cs="Arial"/>
          <w:sz w:val="22"/>
          <w:szCs w:val="22"/>
        </w:rPr>
        <w:t>The consultation within the ADRION Programme has followed the “</w:t>
      </w:r>
      <w:r w:rsidRPr="00304864">
        <w:rPr>
          <w:rFonts w:ascii="Arial" w:hAnsi="Arial" w:cs="Arial"/>
          <w:i/>
          <w:sz w:val="22"/>
          <w:szCs w:val="22"/>
        </w:rPr>
        <w:t>General principles and minimum standards for consultation of interested parties by the Commission</w:t>
      </w:r>
      <w:r w:rsidRPr="00304864">
        <w:rPr>
          <w:rFonts w:ascii="Arial" w:hAnsi="Arial" w:cs="Arial"/>
          <w:sz w:val="22"/>
          <w:szCs w:val="22"/>
        </w:rPr>
        <w:t xml:space="preserve">” (“Towards a reinforced culture of consultation and dialogue – General principles and minimum standards for consultation of interested parties by the </w:t>
      </w:r>
      <w:r w:rsidR="000C7309">
        <w:rPr>
          <w:rFonts w:ascii="Arial" w:hAnsi="Arial" w:cs="Arial"/>
          <w:sz w:val="22"/>
          <w:szCs w:val="22"/>
        </w:rPr>
        <w:t xml:space="preserve">European </w:t>
      </w:r>
      <w:r w:rsidRPr="00304864">
        <w:rPr>
          <w:rFonts w:ascii="Arial" w:hAnsi="Arial" w:cs="Arial"/>
          <w:sz w:val="22"/>
          <w:szCs w:val="22"/>
        </w:rPr>
        <w:t>Commission”. Brussels, 11.12.2002 COM(2002) 704 final). Thus the Programme has ensured that the principles of openness and accountability, effectiveness and coherence have been applied when consulting its stakeholders.</w:t>
      </w:r>
    </w:p>
    <w:p w:rsidR="00DF4E40" w:rsidRPr="00304864" w:rsidRDefault="00DF4E40">
      <w:pPr>
        <w:rPr>
          <w:rFonts w:ascii="Arial" w:hAnsi="Arial" w:cs="Arial"/>
          <w:sz w:val="22"/>
          <w:szCs w:val="22"/>
        </w:rPr>
      </w:pPr>
      <w:r w:rsidRPr="00304864">
        <w:rPr>
          <w:rFonts w:ascii="Arial" w:hAnsi="Arial" w:cs="Arial"/>
          <w:sz w:val="22"/>
          <w:szCs w:val="22"/>
        </w:rPr>
        <w:t xml:space="preserve">There were four types of stakeholders to be consulted: </w:t>
      </w:r>
    </w:p>
    <w:p w:rsidR="00DF4E40" w:rsidRPr="00304864" w:rsidRDefault="00DF4E40">
      <w:pPr>
        <w:rPr>
          <w:rFonts w:ascii="Arial" w:hAnsi="Arial" w:cs="Arial"/>
          <w:sz w:val="22"/>
          <w:szCs w:val="22"/>
        </w:rPr>
      </w:pPr>
      <w:r w:rsidRPr="00304864">
        <w:rPr>
          <w:rFonts w:ascii="Arial" w:hAnsi="Arial" w:cs="Arial"/>
          <w:sz w:val="22"/>
          <w:szCs w:val="22"/>
        </w:rPr>
        <w:t xml:space="preserve">(a) </w:t>
      </w:r>
      <w:r w:rsidR="0000707A">
        <w:rPr>
          <w:rFonts w:ascii="Arial" w:hAnsi="Arial" w:cs="Arial"/>
          <w:sz w:val="22"/>
          <w:szCs w:val="22"/>
        </w:rPr>
        <w:t>S</w:t>
      </w:r>
      <w:r w:rsidRPr="00304864">
        <w:rPr>
          <w:rFonts w:ascii="Arial" w:hAnsi="Arial" w:cs="Arial"/>
          <w:sz w:val="22"/>
          <w:szCs w:val="22"/>
        </w:rPr>
        <w:t>takeholders included in the national/regional lists provided by the Partner States;</w:t>
      </w:r>
    </w:p>
    <w:p w:rsidR="00DF4E40" w:rsidRPr="00304864" w:rsidRDefault="00DF4E40">
      <w:pPr>
        <w:rPr>
          <w:rFonts w:ascii="Arial" w:hAnsi="Arial" w:cs="Arial"/>
          <w:sz w:val="22"/>
          <w:szCs w:val="22"/>
        </w:rPr>
      </w:pPr>
      <w:r w:rsidRPr="00304864">
        <w:rPr>
          <w:rFonts w:ascii="Arial" w:hAnsi="Arial" w:cs="Arial"/>
          <w:sz w:val="22"/>
          <w:szCs w:val="22"/>
        </w:rPr>
        <w:t>(b) SEE and IPA CBC Adriatic project partners;</w:t>
      </w:r>
    </w:p>
    <w:p w:rsidR="00DF4E40" w:rsidRPr="00304864" w:rsidRDefault="00DF4E40">
      <w:pPr>
        <w:rPr>
          <w:rFonts w:ascii="Arial" w:hAnsi="Arial" w:cs="Arial"/>
          <w:sz w:val="22"/>
          <w:szCs w:val="22"/>
        </w:rPr>
      </w:pPr>
      <w:r w:rsidRPr="00304864">
        <w:rPr>
          <w:rFonts w:ascii="Arial" w:hAnsi="Arial" w:cs="Arial"/>
          <w:sz w:val="22"/>
          <w:szCs w:val="22"/>
        </w:rPr>
        <w:t>(c) Programme’s target groups having a possibility to connect to the websites (programme, regions, states);</w:t>
      </w:r>
    </w:p>
    <w:p w:rsidR="00DF4E40" w:rsidRPr="00304864" w:rsidRDefault="00DF4E40">
      <w:pPr>
        <w:rPr>
          <w:rFonts w:ascii="Arial" w:hAnsi="Arial" w:cs="Arial"/>
          <w:sz w:val="22"/>
          <w:szCs w:val="22"/>
        </w:rPr>
      </w:pPr>
      <w:r w:rsidRPr="00304864">
        <w:rPr>
          <w:rFonts w:ascii="Arial" w:hAnsi="Arial" w:cs="Arial"/>
          <w:sz w:val="22"/>
          <w:szCs w:val="22"/>
        </w:rPr>
        <w:t>(d) Key implementers of the EUSAIR governance structure.</w:t>
      </w:r>
    </w:p>
    <w:p w:rsidR="00DF4E40" w:rsidRPr="00304864" w:rsidRDefault="00DF4E40">
      <w:pPr>
        <w:rPr>
          <w:rFonts w:ascii="Arial" w:hAnsi="Arial" w:cs="Arial"/>
          <w:sz w:val="22"/>
          <w:szCs w:val="22"/>
        </w:rPr>
      </w:pPr>
      <w:r w:rsidRPr="00304864">
        <w:rPr>
          <w:rFonts w:ascii="Arial" w:hAnsi="Arial" w:cs="Arial"/>
          <w:sz w:val="22"/>
          <w:szCs w:val="22"/>
        </w:rPr>
        <w:t xml:space="preserve">The notification about the survey was sent out by e-mail to 2.611 addresses. </w:t>
      </w:r>
    </w:p>
    <w:p w:rsidR="00DF4E40" w:rsidRPr="00304864" w:rsidRDefault="00DF4E40">
      <w:pPr>
        <w:rPr>
          <w:rFonts w:ascii="Arial" w:hAnsi="Arial" w:cs="Arial"/>
          <w:b/>
          <w:sz w:val="22"/>
          <w:szCs w:val="22"/>
          <w:lang w:eastAsia="fr-BE"/>
        </w:rPr>
      </w:pPr>
    </w:p>
    <w:p w:rsidR="00DF4E40" w:rsidRPr="00A30AEC" w:rsidRDefault="00DF4E40">
      <w:pPr>
        <w:rPr>
          <w:rFonts w:ascii="Arial" w:hAnsi="Arial" w:cs="Arial"/>
          <w:color w:val="17365D"/>
          <w:sz w:val="22"/>
          <w:szCs w:val="22"/>
        </w:rPr>
      </w:pPr>
      <w:r w:rsidRPr="00A30AEC">
        <w:rPr>
          <w:rFonts w:ascii="Arial" w:hAnsi="Arial" w:cs="Arial"/>
          <w:color w:val="17365D"/>
          <w:sz w:val="22"/>
          <w:szCs w:val="22"/>
        </w:rPr>
        <w:t>List of partners involved in the consultation process</w:t>
      </w:r>
    </w:p>
    <w:p w:rsidR="00DF4E40" w:rsidRPr="00304864" w:rsidRDefault="00DF4E40">
      <w:pPr>
        <w:rPr>
          <w:rFonts w:ascii="Arial" w:hAnsi="Arial" w:cs="Arial"/>
          <w:sz w:val="22"/>
          <w:szCs w:val="22"/>
        </w:rPr>
      </w:pPr>
      <w:r w:rsidRPr="00304864">
        <w:rPr>
          <w:rFonts w:ascii="Arial" w:hAnsi="Arial" w:cs="Arial"/>
          <w:sz w:val="22"/>
          <w:szCs w:val="22"/>
        </w:rPr>
        <w:t xml:space="preserve">The survey has been launched </w:t>
      </w:r>
      <w:r w:rsidRPr="00304864">
        <w:rPr>
          <w:rFonts w:ascii="Arial" w:hAnsi="Arial" w:cs="Arial"/>
          <w:bCs/>
          <w:sz w:val="22"/>
          <w:szCs w:val="22"/>
        </w:rPr>
        <w:t>on July 2</w:t>
      </w:r>
      <w:r w:rsidRPr="00304864">
        <w:rPr>
          <w:rFonts w:ascii="Arial" w:hAnsi="Arial" w:cs="Arial"/>
          <w:bCs/>
          <w:sz w:val="22"/>
          <w:szCs w:val="22"/>
          <w:vertAlign w:val="superscript"/>
        </w:rPr>
        <w:t>nd</w:t>
      </w:r>
      <w:r w:rsidRPr="00304864">
        <w:rPr>
          <w:rFonts w:ascii="Arial" w:hAnsi="Arial" w:cs="Arial"/>
          <w:bCs/>
          <w:sz w:val="22"/>
          <w:szCs w:val="22"/>
        </w:rPr>
        <w:t xml:space="preserve"> until 18</w:t>
      </w:r>
      <w:r w:rsidRPr="00304864">
        <w:rPr>
          <w:rFonts w:ascii="Arial" w:hAnsi="Arial" w:cs="Arial"/>
          <w:bCs/>
          <w:sz w:val="22"/>
          <w:szCs w:val="22"/>
          <w:vertAlign w:val="superscript"/>
        </w:rPr>
        <w:t>th</w:t>
      </w:r>
      <w:r w:rsidRPr="00304864">
        <w:rPr>
          <w:rFonts w:ascii="Arial" w:hAnsi="Arial" w:cs="Arial"/>
          <w:bCs/>
          <w:sz w:val="22"/>
          <w:szCs w:val="22"/>
        </w:rPr>
        <w:t xml:space="preserve"> of July 2014 (16 days) </w:t>
      </w:r>
      <w:r w:rsidRPr="00304864">
        <w:rPr>
          <w:rFonts w:ascii="Arial" w:hAnsi="Arial" w:cs="Arial"/>
          <w:sz w:val="22"/>
          <w:szCs w:val="22"/>
        </w:rPr>
        <w:t xml:space="preserve">through an online tool provided by the drafting team. </w:t>
      </w:r>
    </w:p>
    <w:p w:rsidR="00DF4E40" w:rsidRPr="00304864" w:rsidRDefault="00DF4E40">
      <w:pPr>
        <w:rPr>
          <w:rFonts w:ascii="Arial" w:hAnsi="Arial" w:cs="Arial"/>
          <w:sz w:val="22"/>
          <w:szCs w:val="22"/>
        </w:rPr>
      </w:pPr>
      <w:r w:rsidRPr="00304864">
        <w:rPr>
          <w:rFonts w:ascii="Arial" w:hAnsi="Arial" w:cs="Arial"/>
          <w:sz w:val="22"/>
          <w:szCs w:val="22"/>
        </w:rPr>
        <w:t xml:space="preserve">The invitation was sent to 2.611 stakeholders. The mailing list has been based upon both the inputs received from the Task Force members, on the SEE database and on the online registration. </w:t>
      </w:r>
    </w:p>
    <w:p w:rsidR="00DF4E40" w:rsidRPr="00304864" w:rsidRDefault="00DF4E40">
      <w:pPr>
        <w:rPr>
          <w:rFonts w:ascii="Arial" w:hAnsi="Arial" w:cs="Arial"/>
          <w:sz w:val="22"/>
          <w:szCs w:val="22"/>
        </w:rPr>
      </w:pPr>
      <w:r w:rsidRPr="00304864">
        <w:rPr>
          <w:rFonts w:ascii="Arial" w:hAnsi="Arial" w:cs="Arial"/>
          <w:sz w:val="22"/>
          <w:szCs w:val="22"/>
        </w:rPr>
        <w:t>The response rate was normal considering a rather short timeframe: 322 recipients answered the survey, which is about 12 %. The respondents/population ratio of the eligible regions confirms the overall balance within the eligible area in terms of participation.</w:t>
      </w:r>
    </w:p>
    <w:p w:rsidR="00DF4E40" w:rsidRPr="00304864" w:rsidRDefault="00DF4E40">
      <w:pPr>
        <w:rPr>
          <w:rFonts w:ascii="Arial" w:hAnsi="Arial" w:cs="Arial"/>
          <w:sz w:val="22"/>
          <w:szCs w:val="22"/>
        </w:rPr>
      </w:pPr>
      <w:r w:rsidRPr="00304864">
        <w:rPr>
          <w:rFonts w:ascii="Arial" w:hAnsi="Arial" w:cs="Arial"/>
          <w:sz w:val="22"/>
          <w:szCs w:val="22"/>
        </w:rPr>
        <w:t>When it comes to participation rates per category of respondents (table 2), 31% are from research and education bodies, 23% from central/regional PA, 14% from local public authorities, 13% from development agencies/NGOs, 8% from chambers, unions and associations, 7% are undertaking profit oriented and finally 4% represent respondents from outside the Programme area.</w:t>
      </w:r>
    </w:p>
    <w:p w:rsidR="00DF4E40" w:rsidRPr="00304864" w:rsidRDefault="00DF4E40">
      <w:pPr>
        <w:rPr>
          <w:rFonts w:ascii="Arial" w:hAnsi="Arial" w:cs="Arial"/>
          <w:sz w:val="22"/>
          <w:szCs w:val="22"/>
        </w:rPr>
      </w:pPr>
      <w:r w:rsidRPr="00304864">
        <w:rPr>
          <w:rFonts w:ascii="Arial" w:hAnsi="Arial" w:cs="Arial"/>
          <w:sz w:val="22"/>
          <w:szCs w:val="22"/>
        </w:rPr>
        <w:t xml:space="preserve">The overall balance of return rate per category ensures that data can be fairly compared but the high percentage of </w:t>
      </w:r>
      <w:r w:rsidR="0000707A">
        <w:rPr>
          <w:rFonts w:ascii="Arial" w:hAnsi="Arial" w:cs="Arial"/>
          <w:sz w:val="22"/>
          <w:szCs w:val="22"/>
        </w:rPr>
        <w:t>c</w:t>
      </w:r>
      <w:r w:rsidRPr="00304864">
        <w:rPr>
          <w:rFonts w:ascii="Arial" w:hAnsi="Arial" w:cs="Arial"/>
          <w:sz w:val="22"/>
          <w:szCs w:val="22"/>
        </w:rPr>
        <w:t>entral/</w:t>
      </w:r>
      <w:r w:rsidR="0000707A">
        <w:rPr>
          <w:rFonts w:ascii="Arial" w:hAnsi="Arial" w:cs="Arial"/>
          <w:sz w:val="22"/>
          <w:szCs w:val="22"/>
        </w:rPr>
        <w:t>r</w:t>
      </w:r>
      <w:r w:rsidRPr="00304864">
        <w:rPr>
          <w:rFonts w:ascii="Arial" w:hAnsi="Arial" w:cs="Arial"/>
          <w:sz w:val="22"/>
          <w:szCs w:val="22"/>
        </w:rPr>
        <w:t xml:space="preserve">egional PA (TO6) and Research and education institutions (TO1) has certainly influenced the ranking of the TOs and IPs. </w:t>
      </w:r>
    </w:p>
    <w:p w:rsidR="00DF4E40" w:rsidRPr="00304864" w:rsidRDefault="00DF4E40">
      <w:pPr>
        <w:pStyle w:val="Text3"/>
        <w:ind w:left="0"/>
        <w:rPr>
          <w:rFonts w:ascii="Arial" w:hAnsi="Arial" w:cs="Arial"/>
          <w:b/>
          <w:sz w:val="22"/>
          <w:szCs w:val="22"/>
          <w:lang w:eastAsia="fr-BE"/>
        </w:rPr>
      </w:pPr>
    </w:p>
    <w:p w:rsidR="00DF4E40" w:rsidRPr="00A30AEC" w:rsidRDefault="00DF4E40" w:rsidP="00A30AEC">
      <w:pPr>
        <w:rPr>
          <w:rFonts w:ascii="Arial" w:hAnsi="Arial" w:cs="Arial"/>
          <w:color w:val="17365D"/>
          <w:sz w:val="22"/>
          <w:szCs w:val="22"/>
        </w:rPr>
      </w:pPr>
      <w:r w:rsidRPr="00A30AEC">
        <w:rPr>
          <w:rFonts w:ascii="Arial" w:hAnsi="Arial" w:cs="Arial"/>
          <w:color w:val="17365D"/>
          <w:sz w:val="22"/>
          <w:szCs w:val="22"/>
        </w:rPr>
        <w:t>Action taken to facilitate the participation of partners</w:t>
      </w:r>
    </w:p>
    <w:p w:rsidR="00DF4E40" w:rsidRPr="00304864" w:rsidRDefault="00DF4E40">
      <w:pPr>
        <w:rPr>
          <w:rFonts w:ascii="Arial" w:hAnsi="Arial" w:cs="Arial"/>
          <w:sz w:val="22"/>
          <w:szCs w:val="22"/>
        </w:rPr>
      </w:pPr>
      <w:r w:rsidRPr="00304864">
        <w:rPr>
          <w:rFonts w:ascii="Arial" w:hAnsi="Arial" w:cs="Arial"/>
          <w:sz w:val="22"/>
          <w:szCs w:val="22"/>
        </w:rPr>
        <w:t>The ADRION Programme informed partners about the launch of the consultation process on the SEE website and national authorities informed through their own institutional websites relevant bodies, authorities and partners in their respective country.</w:t>
      </w:r>
    </w:p>
    <w:p w:rsidR="00DF4E40" w:rsidRPr="00304864" w:rsidRDefault="00DF4E40">
      <w:pPr>
        <w:rPr>
          <w:rFonts w:ascii="Arial" w:hAnsi="Arial" w:cs="Arial"/>
          <w:sz w:val="22"/>
          <w:szCs w:val="22"/>
        </w:rPr>
      </w:pPr>
      <w:r w:rsidRPr="00304864">
        <w:rPr>
          <w:rFonts w:ascii="Arial" w:hAnsi="Arial" w:cs="Arial"/>
          <w:sz w:val="22"/>
          <w:szCs w:val="22"/>
        </w:rPr>
        <w:t>The stakeholders included in the lists provided by the Partner States, the project partners, the subscribers of the ADRION newsletter and the programme’s bodies have been invited to answer the survey via an e-mail. The email included a short explanatory note and the link to the programme website for access to the consultation. Several reminders were sent during the consultation period.</w:t>
      </w:r>
    </w:p>
    <w:p w:rsidR="00A30AEC" w:rsidRPr="00304864" w:rsidRDefault="00A30AEC">
      <w:pPr>
        <w:rPr>
          <w:rFonts w:ascii="Arial" w:hAnsi="Arial" w:cs="Arial"/>
          <w:sz w:val="22"/>
          <w:szCs w:val="22"/>
        </w:rPr>
      </w:pPr>
    </w:p>
    <w:p w:rsidR="00DF4E40" w:rsidRPr="00A30AEC" w:rsidRDefault="00DF4E40" w:rsidP="00A30AEC">
      <w:pPr>
        <w:rPr>
          <w:rFonts w:ascii="Arial" w:hAnsi="Arial" w:cs="Arial"/>
          <w:color w:val="17365D"/>
          <w:sz w:val="22"/>
          <w:szCs w:val="22"/>
        </w:rPr>
      </w:pPr>
      <w:r w:rsidRPr="00A30AEC">
        <w:rPr>
          <w:rFonts w:ascii="Arial" w:hAnsi="Arial" w:cs="Arial"/>
          <w:color w:val="17365D"/>
          <w:sz w:val="22"/>
          <w:szCs w:val="22"/>
        </w:rPr>
        <w:t>Main added value of the partnership in the preparation of the cooperation programme</w:t>
      </w:r>
    </w:p>
    <w:p w:rsidR="00DF4E40" w:rsidRPr="00304864" w:rsidRDefault="00DF4E40">
      <w:pPr>
        <w:rPr>
          <w:rFonts w:ascii="Arial" w:hAnsi="Arial" w:cs="Arial"/>
          <w:sz w:val="22"/>
          <w:szCs w:val="22"/>
        </w:rPr>
      </w:pPr>
      <w:r w:rsidRPr="00304864">
        <w:rPr>
          <w:rFonts w:ascii="Arial" w:hAnsi="Arial" w:cs="Arial"/>
          <w:sz w:val="22"/>
          <w:szCs w:val="22"/>
        </w:rPr>
        <w:t>In the preparation of the cooperation programme, the main added value of partners has been to provide detailed information on priorities and coherent eligible actions at territorial level for a wide range of institutions and bodies. It helped to highlight priorities and to rank issues to be taken into account in the strategy of the programme.</w:t>
      </w:r>
    </w:p>
    <w:p w:rsidR="00DF4E40" w:rsidRPr="00304864" w:rsidRDefault="00DF4E40">
      <w:pPr>
        <w:rPr>
          <w:rFonts w:ascii="Arial" w:hAnsi="Arial" w:cs="Arial"/>
          <w:sz w:val="22"/>
          <w:szCs w:val="22"/>
        </w:rPr>
      </w:pPr>
      <w:r w:rsidRPr="00304864">
        <w:rPr>
          <w:rFonts w:ascii="Arial" w:hAnsi="Arial" w:cs="Arial"/>
          <w:sz w:val="22"/>
          <w:szCs w:val="22"/>
        </w:rPr>
        <w:t>Partners also helped to better identify types of actions and actions that should be supported within each IP. This was necessary to propose operational and need-based types of actions able to generate concrete and measurable results.</w:t>
      </w:r>
    </w:p>
    <w:p w:rsidR="00DF4E40" w:rsidRPr="00304864" w:rsidRDefault="00DF4E40">
      <w:pPr>
        <w:rPr>
          <w:rFonts w:ascii="Arial" w:hAnsi="Arial" w:cs="Arial"/>
          <w:sz w:val="22"/>
          <w:szCs w:val="22"/>
        </w:rPr>
      </w:pPr>
    </w:p>
    <w:p w:rsidR="00DF4E40" w:rsidRPr="00A30AEC" w:rsidRDefault="00DF4E40">
      <w:pPr>
        <w:rPr>
          <w:rFonts w:ascii="Arial" w:hAnsi="Arial" w:cs="Arial"/>
          <w:color w:val="17365D"/>
          <w:sz w:val="22"/>
          <w:szCs w:val="22"/>
        </w:rPr>
      </w:pPr>
      <w:r w:rsidRPr="00A30AEC">
        <w:rPr>
          <w:rFonts w:ascii="Arial" w:hAnsi="Arial" w:cs="Arial"/>
          <w:color w:val="17365D"/>
          <w:sz w:val="22"/>
          <w:szCs w:val="22"/>
        </w:rPr>
        <w:t>Main results of the consultation with partners</w:t>
      </w:r>
    </w:p>
    <w:p w:rsidR="00DF4E40" w:rsidRPr="00304864" w:rsidRDefault="00DF4E40">
      <w:pPr>
        <w:rPr>
          <w:rFonts w:ascii="Arial" w:hAnsi="Arial" w:cs="Arial"/>
          <w:sz w:val="22"/>
          <w:szCs w:val="22"/>
        </w:rPr>
      </w:pPr>
      <w:r w:rsidRPr="00304864">
        <w:rPr>
          <w:rFonts w:ascii="Arial" w:hAnsi="Arial" w:cs="Arial"/>
          <w:sz w:val="22"/>
          <w:szCs w:val="22"/>
        </w:rPr>
        <w:t>The ranking of TO</w:t>
      </w:r>
      <w:r w:rsidR="0000707A">
        <w:rPr>
          <w:rFonts w:ascii="Arial" w:hAnsi="Arial" w:cs="Arial"/>
          <w:sz w:val="22"/>
          <w:szCs w:val="22"/>
        </w:rPr>
        <w:t>s</w:t>
      </w:r>
      <w:r w:rsidRPr="00304864">
        <w:rPr>
          <w:rFonts w:ascii="Arial" w:hAnsi="Arial" w:cs="Arial"/>
          <w:sz w:val="22"/>
          <w:szCs w:val="22"/>
        </w:rPr>
        <w:t xml:space="preserve"> is overall in line with the pre-selection made by the Task Force</w:t>
      </w:r>
      <w:r w:rsidRPr="00304864">
        <w:rPr>
          <w:rFonts w:ascii="Arial" w:hAnsi="Arial" w:cs="Arial"/>
          <w:b/>
          <w:sz w:val="22"/>
          <w:szCs w:val="22"/>
        </w:rPr>
        <w:t xml:space="preserve">, </w:t>
      </w:r>
      <w:r w:rsidRPr="00304864">
        <w:rPr>
          <w:rFonts w:ascii="Arial" w:hAnsi="Arial" w:cs="Arial"/>
          <w:sz w:val="22"/>
          <w:szCs w:val="22"/>
        </w:rPr>
        <w:t>TO1 (research), TO6 (environment), which is considered more than highly relevant for the ADRION area, followed by TO10 (education) and TO7(transports) which are ranked 3</w:t>
      </w:r>
      <w:r w:rsidRPr="00304864">
        <w:rPr>
          <w:rFonts w:ascii="Arial" w:hAnsi="Arial" w:cs="Arial"/>
          <w:sz w:val="22"/>
          <w:szCs w:val="22"/>
          <w:vertAlign w:val="superscript"/>
        </w:rPr>
        <w:t>rd</w:t>
      </w:r>
      <w:r w:rsidRPr="00304864">
        <w:rPr>
          <w:rFonts w:ascii="Arial" w:hAnsi="Arial" w:cs="Arial"/>
          <w:sz w:val="22"/>
          <w:szCs w:val="22"/>
        </w:rPr>
        <w:t xml:space="preserve"> and 4</w:t>
      </w:r>
      <w:r w:rsidRPr="00304864">
        <w:rPr>
          <w:rFonts w:ascii="Arial" w:hAnsi="Arial" w:cs="Arial"/>
          <w:sz w:val="22"/>
          <w:szCs w:val="22"/>
          <w:vertAlign w:val="superscript"/>
        </w:rPr>
        <w:t>th</w:t>
      </w:r>
      <w:r w:rsidRPr="00304864">
        <w:rPr>
          <w:rFonts w:ascii="Arial" w:hAnsi="Arial" w:cs="Arial"/>
          <w:sz w:val="22"/>
          <w:szCs w:val="22"/>
        </w:rPr>
        <w:t xml:space="preserve">. </w:t>
      </w:r>
    </w:p>
    <w:p w:rsidR="00DF4E40" w:rsidRPr="00304864" w:rsidRDefault="00DF4E40">
      <w:pPr>
        <w:rPr>
          <w:rFonts w:ascii="Arial" w:hAnsi="Arial" w:cs="Arial"/>
          <w:sz w:val="22"/>
          <w:szCs w:val="22"/>
        </w:rPr>
      </w:pPr>
      <w:r w:rsidRPr="00304864">
        <w:rPr>
          <w:rFonts w:ascii="Arial" w:hAnsi="Arial" w:cs="Arial"/>
          <w:sz w:val="22"/>
          <w:szCs w:val="22"/>
        </w:rPr>
        <w:t>TO4 (low-carbon) is positioned as 7</w:t>
      </w:r>
      <w:r w:rsidRPr="00304864">
        <w:rPr>
          <w:rFonts w:ascii="Arial" w:hAnsi="Arial" w:cs="Arial"/>
          <w:sz w:val="22"/>
          <w:szCs w:val="22"/>
          <w:vertAlign w:val="superscript"/>
        </w:rPr>
        <w:t>th</w:t>
      </w:r>
      <w:r w:rsidRPr="00304864">
        <w:rPr>
          <w:rFonts w:ascii="Arial" w:hAnsi="Arial" w:cs="Arial"/>
          <w:sz w:val="22"/>
          <w:szCs w:val="22"/>
        </w:rPr>
        <w:t xml:space="preserve"> objective but it is even so considered more than relevant by the respondents. It should be noted that, although TO9 (social inclusion) is the last ranked, the spread between the top and the bottom of the list is about 5% as no TO is deemed as scarcely relevant or useless.</w:t>
      </w:r>
    </w:p>
    <w:p w:rsidR="00DF4E40" w:rsidRPr="00304864" w:rsidRDefault="00DF4E40">
      <w:pPr>
        <w:pStyle w:val="Text3"/>
        <w:ind w:left="0"/>
        <w:rPr>
          <w:rFonts w:ascii="Arial" w:hAnsi="Arial" w:cs="Arial"/>
          <w:sz w:val="22"/>
          <w:szCs w:val="22"/>
        </w:rPr>
      </w:pPr>
      <w:r w:rsidRPr="00304864">
        <w:rPr>
          <w:rFonts w:ascii="Arial" w:hAnsi="Arial" w:cs="Arial"/>
          <w:bCs/>
          <w:sz w:val="22"/>
          <w:szCs w:val="22"/>
        </w:rPr>
        <w:t>TO11 (governance) ranked 5</w:t>
      </w:r>
      <w:r w:rsidRPr="00304864">
        <w:rPr>
          <w:rFonts w:ascii="Arial" w:hAnsi="Arial" w:cs="Arial"/>
          <w:bCs/>
          <w:sz w:val="22"/>
          <w:szCs w:val="22"/>
          <w:vertAlign w:val="superscript"/>
        </w:rPr>
        <w:t>th</w:t>
      </w:r>
      <w:r w:rsidRPr="00304864">
        <w:rPr>
          <w:rFonts w:ascii="Arial" w:hAnsi="Arial" w:cs="Arial"/>
          <w:sz w:val="22"/>
          <w:szCs w:val="22"/>
        </w:rPr>
        <w:t>, regarding the proposed actions few themes have been identified such as “</w:t>
      </w:r>
      <w:r w:rsidRPr="00304864">
        <w:rPr>
          <w:rFonts w:ascii="Arial" w:hAnsi="Arial" w:cs="Arial"/>
          <w:iCs/>
          <w:sz w:val="22"/>
          <w:szCs w:val="22"/>
        </w:rPr>
        <w:t>improvement of administrative and governance capacity”</w:t>
      </w:r>
      <w:r w:rsidRPr="00304864">
        <w:rPr>
          <w:rFonts w:ascii="Arial" w:hAnsi="Arial" w:cs="Arial"/>
          <w:sz w:val="22"/>
          <w:szCs w:val="22"/>
        </w:rPr>
        <w:t xml:space="preserve"> or “</w:t>
      </w:r>
      <w:r w:rsidRPr="00304864">
        <w:rPr>
          <w:rFonts w:ascii="Arial" w:hAnsi="Arial" w:cs="Arial"/>
          <w:iCs/>
          <w:sz w:val="22"/>
          <w:szCs w:val="22"/>
        </w:rPr>
        <w:t>strengthening of thematic clusters role</w:t>
      </w:r>
      <w:r w:rsidRPr="00304864">
        <w:rPr>
          <w:rFonts w:ascii="Arial" w:hAnsi="Arial" w:cs="Arial"/>
          <w:sz w:val="22"/>
          <w:szCs w:val="22"/>
        </w:rPr>
        <w:t xml:space="preserve">” </w:t>
      </w:r>
      <w:r w:rsidRPr="00304864">
        <w:rPr>
          <w:rFonts w:ascii="Arial" w:hAnsi="Arial" w:cs="Arial"/>
          <w:iCs/>
          <w:sz w:val="22"/>
          <w:szCs w:val="22"/>
        </w:rPr>
        <w:t xml:space="preserve">and “enhancing the multilevel governance” </w:t>
      </w:r>
      <w:r w:rsidRPr="00304864">
        <w:rPr>
          <w:rFonts w:ascii="Arial" w:hAnsi="Arial" w:cs="Arial"/>
          <w:sz w:val="22"/>
          <w:szCs w:val="22"/>
        </w:rPr>
        <w:t>for a total of 16 specific inputs, whilst attention to “training and education” (TO11) on capacity building is felt important by stakeholders.</w:t>
      </w:r>
    </w:p>
    <w:p w:rsidR="00DF4E40" w:rsidRPr="00304864" w:rsidRDefault="00DF4E40">
      <w:pPr>
        <w:rPr>
          <w:rFonts w:ascii="Arial" w:hAnsi="Arial" w:cs="Arial"/>
          <w:sz w:val="22"/>
          <w:szCs w:val="22"/>
        </w:rPr>
      </w:pPr>
      <w:r w:rsidRPr="00304864">
        <w:rPr>
          <w:rFonts w:ascii="Arial" w:hAnsi="Arial" w:cs="Arial"/>
          <w:sz w:val="22"/>
          <w:szCs w:val="22"/>
        </w:rPr>
        <w:t>As for Investment Priorities (IPs) preferences, the results per category are overall consistent with the choices made through the question related to the choice of TOs:</w:t>
      </w:r>
    </w:p>
    <w:p w:rsidR="00DF4E40" w:rsidRPr="00304864" w:rsidRDefault="00DF4E40">
      <w:pPr>
        <w:rPr>
          <w:rFonts w:ascii="Arial" w:hAnsi="Arial" w:cs="Arial"/>
          <w:sz w:val="22"/>
          <w:szCs w:val="22"/>
        </w:rPr>
      </w:pPr>
      <w:r w:rsidRPr="00304864">
        <w:rPr>
          <w:rFonts w:ascii="Arial" w:hAnsi="Arial" w:cs="Arial"/>
          <w:i/>
          <w:sz w:val="22"/>
          <w:szCs w:val="22"/>
        </w:rPr>
        <w:t>TO1 - Research: IP 1.a and 1.b</w:t>
      </w:r>
      <w:r w:rsidRPr="00304864">
        <w:rPr>
          <w:rFonts w:ascii="Arial" w:hAnsi="Arial" w:cs="Arial"/>
          <w:sz w:val="22"/>
          <w:szCs w:val="22"/>
        </w:rPr>
        <w:t>: apart from respondents from the category “other”, innovation is ranked first by all, research and education and development agencies/NGOs in particular. The spread between the two I</w:t>
      </w:r>
      <w:r w:rsidR="0000707A">
        <w:rPr>
          <w:rFonts w:ascii="Arial" w:hAnsi="Arial" w:cs="Arial"/>
          <w:sz w:val="22"/>
          <w:szCs w:val="22"/>
        </w:rPr>
        <w:t>Ps</w:t>
      </w:r>
      <w:r w:rsidRPr="00304864">
        <w:rPr>
          <w:rFonts w:ascii="Arial" w:hAnsi="Arial" w:cs="Arial"/>
          <w:sz w:val="22"/>
          <w:szCs w:val="22"/>
        </w:rPr>
        <w:t xml:space="preserve"> is limited (8% on average).</w:t>
      </w:r>
    </w:p>
    <w:p w:rsidR="00DF4E40" w:rsidRPr="00304864" w:rsidRDefault="00DF4E40">
      <w:pPr>
        <w:rPr>
          <w:rFonts w:ascii="Arial" w:hAnsi="Arial" w:cs="Arial"/>
          <w:sz w:val="22"/>
          <w:szCs w:val="22"/>
        </w:rPr>
      </w:pPr>
      <w:r w:rsidRPr="00304864">
        <w:rPr>
          <w:rFonts w:ascii="Arial" w:hAnsi="Arial" w:cs="Arial"/>
          <w:i/>
          <w:sz w:val="22"/>
          <w:szCs w:val="22"/>
        </w:rPr>
        <w:t>TO4 – Low carbon: IP 4.c and 4.</w:t>
      </w:r>
      <w:r w:rsidRPr="00304864">
        <w:rPr>
          <w:rFonts w:ascii="Arial" w:hAnsi="Arial" w:cs="Arial"/>
          <w:sz w:val="22"/>
          <w:szCs w:val="22"/>
        </w:rPr>
        <w:t>e: Results are a little bit more varied. Efficiency is ranked first compared to the urban IP, but a few differences are detected among the categories of respondents as profit-oriented respondents considered, on average, the urban IP as more relevant than the efficiency one and for respondents outside the Programme area the two I</w:t>
      </w:r>
      <w:r w:rsidR="0000707A">
        <w:rPr>
          <w:rFonts w:ascii="Arial" w:hAnsi="Arial" w:cs="Arial"/>
          <w:sz w:val="22"/>
          <w:szCs w:val="22"/>
        </w:rPr>
        <w:t>P</w:t>
      </w:r>
      <w:r w:rsidRPr="00304864">
        <w:rPr>
          <w:rFonts w:ascii="Arial" w:hAnsi="Arial" w:cs="Arial"/>
          <w:sz w:val="22"/>
          <w:szCs w:val="22"/>
        </w:rPr>
        <w:t>s are equally relevant.</w:t>
      </w:r>
    </w:p>
    <w:p w:rsidR="00DF4E40" w:rsidRPr="00304864" w:rsidRDefault="00DF4E40">
      <w:pPr>
        <w:rPr>
          <w:rFonts w:ascii="Arial" w:hAnsi="Arial" w:cs="Arial"/>
          <w:sz w:val="22"/>
          <w:szCs w:val="22"/>
        </w:rPr>
      </w:pPr>
      <w:r w:rsidRPr="00304864">
        <w:rPr>
          <w:rFonts w:ascii="Arial" w:hAnsi="Arial" w:cs="Arial"/>
          <w:i/>
          <w:sz w:val="22"/>
          <w:szCs w:val="22"/>
        </w:rPr>
        <w:t>TO6 – Environment IP 6.c, 6.d and 6.</w:t>
      </w:r>
      <w:r w:rsidRPr="00304864">
        <w:rPr>
          <w:rFonts w:ascii="Arial" w:hAnsi="Arial" w:cs="Arial"/>
          <w:sz w:val="22"/>
          <w:szCs w:val="22"/>
        </w:rPr>
        <w:t>e: Respondents equally lean on the heritage and biodiversity I</w:t>
      </w:r>
      <w:r w:rsidR="0000707A">
        <w:rPr>
          <w:rFonts w:ascii="Arial" w:hAnsi="Arial" w:cs="Arial"/>
          <w:sz w:val="22"/>
          <w:szCs w:val="22"/>
        </w:rPr>
        <w:t>P</w:t>
      </w:r>
      <w:r w:rsidRPr="00304864">
        <w:rPr>
          <w:rFonts w:ascii="Arial" w:hAnsi="Arial" w:cs="Arial"/>
          <w:sz w:val="22"/>
          <w:szCs w:val="22"/>
        </w:rPr>
        <w:t>s, while urban environment is ranked second. Local PA, research and education and chambers, unions and associations privileged the heritage IP while central/regional PA, development agencies/NGOs, profit-oriented and other respondents rather selected the biodiversity priority. Urban IP is never ranked first among the three available choices but local PA and research and education bodies classed it second soon after the heritage priority.</w:t>
      </w:r>
    </w:p>
    <w:p w:rsidR="00DF4E40" w:rsidRPr="00304864" w:rsidRDefault="004235A9">
      <w:pPr>
        <w:rPr>
          <w:rFonts w:ascii="Arial" w:hAnsi="Arial" w:cs="Arial"/>
          <w:sz w:val="22"/>
          <w:szCs w:val="22"/>
        </w:rPr>
      </w:pPr>
      <w:r>
        <w:rPr>
          <w:rFonts w:ascii="Arial" w:hAnsi="Arial" w:cs="Arial"/>
          <w:i/>
          <w:sz w:val="22"/>
          <w:szCs w:val="22"/>
        </w:rPr>
        <w:t>TO</w:t>
      </w:r>
      <w:r w:rsidR="00DF4E40" w:rsidRPr="00304864">
        <w:rPr>
          <w:rFonts w:ascii="Arial" w:hAnsi="Arial" w:cs="Arial"/>
          <w:i/>
          <w:sz w:val="22"/>
          <w:szCs w:val="22"/>
        </w:rPr>
        <w:t xml:space="preserve">7 – </w:t>
      </w:r>
      <w:r w:rsidR="0036192A">
        <w:rPr>
          <w:rFonts w:ascii="Arial" w:hAnsi="Arial" w:cs="Arial"/>
          <w:i/>
          <w:sz w:val="22"/>
          <w:szCs w:val="22"/>
        </w:rPr>
        <w:t>T</w:t>
      </w:r>
      <w:r w:rsidR="00DF4E40" w:rsidRPr="00304864">
        <w:rPr>
          <w:rFonts w:ascii="Arial" w:hAnsi="Arial" w:cs="Arial"/>
          <w:i/>
          <w:sz w:val="22"/>
          <w:szCs w:val="22"/>
        </w:rPr>
        <w:t>ransport</w:t>
      </w:r>
      <w:r w:rsidR="00DF4E40" w:rsidRPr="00304864">
        <w:rPr>
          <w:rFonts w:ascii="Arial" w:hAnsi="Arial" w:cs="Arial"/>
          <w:sz w:val="22"/>
          <w:szCs w:val="22"/>
        </w:rPr>
        <w:t>: the IP related to TO7 is deemed more than highly relevant by almost all the categories of respondents apart from those from central/regional authorities and research and education area, which consider it relevant.</w:t>
      </w:r>
    </w:p>
    <w:p w:rsidR="00DF4E40" w:rsidRPr="00304864" w:rsidRDefault="00DF4E40">
      <w:pPr>
        <w:rPr>
          <w:rFonts w:ascii="Arial" w:hAnsi="Arial" w:cs="Arial"/>
          <w:sz w:val="22"/>
          <w:szCs w:val="22"/>
        </w:rPr>
      </w:pPr>
      <w:r w:rsidRPr="00304864">
        <w:rPr>
          <w:rFonts w:ascii="Arial" w:hAnsi="Arial" w:cs="Arial"/>
          <w:sz w:val="22"/>
          <w:szCs w:val="22"/>
        </w:rPr>
        <w:t xml:space="preserve">Overall, the top three (3) IP list was composed by </w:t>
      </w:r>
    </w:p>
    <w:p w:rsidR="00DF4E40" w:rsidRPr="00304864" w:rsidRDefault="00DF4E40" w:rsidP="00A30AEC">
      <w:pPr>
        <w:numPr>
          <w:ilvl w:val="0"/>
          <w:numId w:val="137"/>
        </w:numPr>
        <w:rPr>
          <w:rFonts w:ascii="Arial" w:hAnsi="Arial" w:cs="Arial"/>
          <w:sz w:val="22"/>
          <w:szCs w:val="22"/>
        </w:rPr>
      </w:pPr>
      <w:r w:rsidRPr="00304864">
        <w:rPr>
          <w:rFonts w:ascii="Arial" w:hAnsi="Arial" w:cs="Arial"/>
          <w:sz w:val="22"/>
          <w:szCs w:val="22"/>
        </w:rPr>
        <w:t xml:space="preserve">IP 1.b innovation (TO1), </w:t>
      </w:r>
    </w:p>
    <w:p w:rsidR="00DF4E40" w:rsidRPr="00304864" w:rsidRDefault="00DF4E40" w:rsidP="00A30AEC">
      <w:pPr>
        <w:numPr>
          <w:ilvl w:val="0"/>
          <w:numId w:val="137"/>
        </w:numPr>
        <w:rPr>
          <w:rFonts w:ascii="Arial" w:hAnsi="Arial" w:cs="Arial"/>
          <w:sz w:val="22"/>
          <w:szCs w:val="22"/>
        </w:rPr>
      </w:pPr>
      <w:r w:rsidRPr="00304864">
        <w:rPr>
          <w:rFonts w:ascii="Arial" w:hAnsi="Arial" w:cs="Arial"/>
          <w:sz w:val="22"/>
          <w:szCs w:val="22"/>
        </w:rPr>
        <w:t xml:space="preserve">IP 1.a infrastructure (TO1) </w:t>
      </w:r>
    </w:p>
    <w:p w:rsidR="00DF4E40" w:rsidRPr="00304864" w:rsidRDefault="00DF4E40" w:rsidP="00A30AEC">
      <w:pPr>
        <w:numPr>
          <w:ilvl w:val="0"/>
          <w:numId w:val="137"/>
        </w:numPr>
        <w:rPr>
          <w:rFonts w:ascii="Arial" w:hAnsi="Arial" w:cs="Arial"/>
          <w:sz w:val="22"/>
          <w:szCs w:val="22"/>
        </w:rPr>
      </w:pPr>
      <w:r w:rsidRPr="00304864">
        <w:rPr>
          <w:rFonts w:ascii="Arial" w:hAnsi="Arial" w:cs="Arial"/>
          <w:sz w:val="22"/>
          <w:szCs w:val="22"/>
        </w:rPr>
        <w:t>IP 7.c transport (TO7) although the single priority under TO7 might partially bias the ranking as a single choice was available.</w:t>
      </w:r>
    </w:p>
    <w:p w:rsidR="00DF4E40" w:rsidRPr="00304864" w:rsidRDefault="00DF4E40">
      <w:pPr>
        <w:rPr>
          <w:rFonts w:ascii="Arial" w:hAnsi="Arial" w:cs="Arial"/>
          <w:sz w:val="22"/>
          <w:szCs w:val="22"/>
        </w:rPr>
      </w:pPr>
      <w:r w:rsidRPr="00304864">
        <w:rPr>
          <w:rFonts w:ascii="Arial" w:hAnsi="Arial" w:cs="Arial"/>
          <w:sz w:val="22"/>
          <w:szCs w:val="22"/>
        </w:rPr>
        <w:t>Based on the consultation results, the Task Force agreed to focus the programme strategy on only 3 TOs and to include some of the intervention areas covered by the TO4 (Low-carbon such as the energy efficiency) as one potential horizontal focus under PA1 and PA3.</w:t>
      </w:r>
    </w:p>
    <w:p w:rsidR="00DF4E40" w:rsidRPr="00304864" w:rsidRDefault="00DF4E40">
      <w:pPr>
        <w:rPr>
          <w:rFonts w:ascii="Arial" w:hAnsi="Arial" w:cs="Arial"/>
          <w:sz w:val="22"/>
          <w:szCs w:val="22"/>
        </w:rPr>
      </w:pPr>
      <w:r w:rsidRPr="00304864">
        <w:rPr>
          <w:rFonts w:ascii="Arial" w:hAnsi="Arial" w:cs="Arial"/>
          <w:sz w:val="22"/>
          <w:szCs w:val="22"/>
        </w:rPr>
        <w:t>The improvement of administrative and governance capacity, even if specifically addressed by the TO11, will be considered as a cross-cutting theme for all the PAs as TO10.</w:t>
      </w:r>
    </w:p>
    <w:p w:rsidR="00DF4E40" w:rsidRPr="00304864" w:rsidRDefault="00DF4E40">
      <w:pPr>
        <w:rPr>
          <w:rFonts w:ascii="Arial" w:hAnsi="Arial" w:cs="Arial"/>
          <w:sz w:val="22"/>
          <w:szCs w:val="22"/>
        </w:rPr>
      </w:pPr>
    </w:p>
    <w:p w:rsidR="00DF4E40" w:rsidRPr="00A30AEC" w:rsidRDefault="00DF4E40" w:rsidP="00A30AEC">
      <w:pPr>
        <w:rPr>
          <w:rFonts w:ascii="Arial" w:hAnsi="Arial" w:cs="Arial"/>
          <w:color w:val="17365D"/>
          <w:sz w:val="22"/>
          <w:szCs w:val="22"/>
        </w:rPr>
      </w:pPr>
      <w:bookmarkStart w:id="403" w:name="_Toc365660165"/>
      <w:bookmarkStart w:id="404" w:name="_Toc420652593"/>
      <w:r w:rsidRPr="00A30AEC">
        <w:rPr>
          <w:rFonts w:ascii="Arial" w:hAnsi="Arial" w:cs="Arial"/>
          <w:color w:val="17365D"/>
          <w:sz w:val="22"/>
          <w:szCs w:val="22"/>
        </w:rPr>
        <w:t xml:space="preserve">Description of the involvement of partners in the implementation of the cooperation programme and involvement in the </w:t>
      </w:r>
      <w:bookmarkEnd w:id="403"/>
      <w:r w:rsidRPr="00A30AEC">
        <w:rPr>
          <w:rFonts w:ascii="Arial" w:hAnsi="Arial" w:cs="Arial"/>
          <w:color w:val="17365D"/>
          <w:sz w:val="22"/>
          <w:szCs w:val="22"/>
        </w:rPr>
        <w:t>MC</w:t>
      </w:r>
      <w:bookmarkEnd w:id="404"/>
    </w:p>
    <w:p w:rsidR="00DF4E40" w:rsidRPr="00304864" w:rsidRDefault="00DF4E40">
      <w:pPr>
        <w:rPr>
          <w:rFonts w:ascii="Arial" w:hAnsi="Arial" w:cs="Arial"/>
          <w:sz w:val="22"/>
          <w:szCs w:val="22"/>
          <w:lang w:eastAsia="sv-SE"/>
        </w:rPr>
      </w:pPr>
      <w:r w:rsidRPr="00304864">
        <w:rPr>
          <w:rFonts w:ascii="Arial" w:hAnsi="Arial" w:cs="Arial"/>
          <w:sz w:val="22"/>
          <w:szCs w:val="22"/>
          <w:lang w:eastAsia="sv-SE"/>
        </w:rPr>
        <w:t>The involvement of relevant partners in the implementation of the ADRION Programme will be foreseen for the following reasons:</w:t>
      </w:r>
    </w:p>
    <w:p w:rsidR="00DF4E40" w:rsidRPr="00304864" w:rsidRDefault="00DF4E40" w:rsidP="00A30AEC">
      <w:pPr>
        <w:numPr>
          <w:ilvl w:val="1"/>
          <w:numId w:val="138"/>
        </w:numPr>
        <w:ind w:left="709" w:hanging="283"/>
        <w:rPr>
          <w:rFonts w:ascii="Arial" w:hAnsi="Arial" w:cs="Arial"/>
          <w:sz w:val="22"/>
          <w:szCs w:val="22"/>
          <w:lang w:eastAsia="sv-SE"/>
        </w:rPr>
      </w:pPr>
      <w:r w:rsidRPr="00304864">
        <w:rPr>
          <w:rFonts w:ascii="Arial" w:hAnsi="Arial" w:cs="Arial"/>
          <w:sz w:val="22"/>
          <w:szCs w:val="22"/>
          <w:lang w:eastAsia="sv-SE"/>
        </w:rPr>
        <w:t>To enhance ownership of the programme among the partners, in order to make use of the knowledge and expertise of these partners and to increase transparency in decision-making processes;</w:t>
      </w:r>
    </w:p>
    <w:p w:rsidR="00DF4E40" w:rsidRPr="00304864" w:rsidRDefault="00DF4E40" w:rsidP="00A30AEC">
      <w:pPr>
        <w:numPr>
          <w:ilvl w:val="1"/>
          <w:numId w:val="138"/>
        </w:numPr>
        <w:ind w:left="709" w:hanging="283"/>
        <w:rPr>
          <w:rFonts w:ascii="Arial" w:hAnsi="Arial" w:cs="Arial"/>
          <w:sz w:val="22"/>
          <w:szCs w:val="22"/>
          <w:lang w:eastAsia="sv-SE"/>
        </w:rPr>
      </w:pPr>
      <w:r w:rsidRPr="00304864">
        <w:rPr>
          <w:rFonts w:ascii="Arial" w:hAnsi="Arial" w:cs="Arial"/>
          <w:sz w:val="22"/>
          <w:szCs w:val="22"/>
          <w:lang w:eastAsia="sv-SE"/>
        </w:rPr>
        <w:t xml:space="preserve">To improve the coordination with other </w:t>
      </w:r>
      <w:r w:rsidR="00327F0B" w:rsidRPr="00304864">
        <w:rPr>
          <w:rFonts w:ascii="Arial" w:hAnsi="Arial" w:cs="Arial"/>
          <w:sz w:val="22"/>
          <w:szCs w:val="22"/>
        </w:rPr>
        <w:t xml:space="preserve">European Structural and Investment </w:t>
      </w:r>
      <w:r w:rsidR="00327F0B">
        <w:rPr>
          <w:rFonts w:ascii="Arial" w:hAnsi="Arial" w:cs="Arial"/>
          <w:sz w:val="22"/>
          <w:szCs w:val="22"/>
        </w:rPr>
        <w:t>(</w:t>
      </w:r>
      <w:r w:rsidRPr="00304864">
        <w:rPr>
          <w:rFonts w:ascii="Arial" w:hAnsi="Arial" w:cs="Arial"/>
          <w:sz w:val="22"/>
          <w:szCs w:val="22"/>
          <w:lang w:eastAsia="sv-SE"/>
        </w:rPr>
        <w:t>ESI</w:t>
      </w:r>
      <w:r w:rsidR="00327F0B">
        <w:rPr>
          <w:rFonts w:ascii="Arial" w:hAnsi="Arial" w:cs="Arial"/>
          <w:sz w:val="22"/>
          <w:szCs w:val="22"/>
          <w:lang w:eastAsia="sv-SE"/>
        </w:rPr>
        <w:t>)</w:t>
      </w:r>
      <w:r w:rsidRPr="00304864">
        <w:rPr>
          <w:rFonts w:ascii="Arial" w:hAnsi="Arial" w:cs="Arial"/>
          <w:sz w:val="22"/>
          <w:szCs w:val="22"/>
          <w:lang w:eastAsia="sv-SE"/>
        </w:rPr>
        <w:t xml:space="preserve"> and IPA II Funds as well as with relevant funding instruments under the umbrella of the Common Strategic Framework (CSF) and macro-regional strategies.</w:t>
      </w:r>
    </w:p>
    <w:p w:rsidR="00DF4E40" w:rsidRPr="00304864" w:rsidRDefault="00DF4E40">
      <w:pPr>
        <w:rPr>
          <w:rFonts w:ascii="Arial" w:hAnsi="Arial" w:cs="Arial"/>
          <w:sz w:val="22"/>
          <w:szCs w:val="22"/>
          <w:lang w:eastAsia="sv-SE"/>
        </w:rPr>
      </w:pPr>
      <w:r w:rsidRPr="00304864">
        <w:rPr>
          <w:rFonts w:ascii="Arial" w:hAnsi="Arial" w:cs="Arial"/>
          <w:sz w:val="22"/>
          <w:szCs w:val="22"/>
          <w:lang w:eastAsia="sv-SE"/>
        </w:rPr>
        <w:t xml:space="preserve">Due to the large area covered by the programme the participation of relevant partners in the programme </w:t>
      </w:r>
      <w:r w:rsidR="0000707A">
        <w:rPr>
          <w:rFonts w:ascii="Arial" w:hAnsi="Arial" w:cs="Arial"/>
          <w:sz w:val="22"/>
          <w:szCs w:val="22"/>
          <w:lang w:eastAsia="sv-SE"/>
        </w:rPr>
        <w:t xml:space="preserve">the </w:t>
      </w:r>
      <w:r w:rsidRPr="00304864">
        <w:rPr>
          <w:rFonts w:ascii="Arial" w:hAnsi="Arial" w:cs="Arial"/>
          <w:sz w:val="22"/>
          <w:szCs w:val="22"/>
          <w:lang w:eastAsia="sv-SE"/>
        </w:rPr>
        <w:t xml:space="preserve">MC - according to Articles 5(2) and 47 of the Regulation (EU) No 1303/2013 - will be organised through national coordination committees or other mechanisms/bodies as provided for by the respective national rules) preparing and supporting the MC members in the execution of MC tasks, including the preparation of calls for proposals and programme progress reports as well as the monitoring and evaluation of the programme. </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Default="00DF4E40">
      <w:pPr>
        <w:pStyle w:val="Heading1"/>
      </w:pPr>
      <w:bookmarkStart w:id="405" w:name="_Toc365660166"/>
      <w:bookmarkStart w:id="406" w:name="_Toc366097064"/>
      <w:bookmarkStart w:id="407" w:name="_Toc377402594"/>
      <w:bookmarkStart w:id="408" w:name="_Toc420652594"/>
      <w:bookmarkStart w:id="409" w:name="_Toc421076941"/>
      <w:r w:rsidRPr="00304864">
        <w:t>Section 6. Coordination</w:t>
      </w:r>
      <w:bookmarkEnd w:id="405"/>
      <w:bookmarkEnd w:id="406"/>
      <w:bookmarkEnd w:id="407"/>
      <w:bookmarkEnd w:id="408"/>
      <w:bookmarkEnd w:id="409"/>
    </w:p>
    <w:p w:rsidR="00677D35" w:rsidRPr="00A30AEC" w:rsidRDefault="00677D35" w:rsidP="00A30AEC">
      <w:pPr>
        <w:pStyle w:val="Text1"/>
        <w:ind w:left="0"/>
        <w:rPr>
          <w:rFonts w:cs="Arial"/>
        </w:rPr>
      </w:pPr>
      <w:r w:rsidRPr="00A30AEC">
        <w:rPr>
          <w:rFonts w:ascii="Arial" w:hAnsi="Arial" w:cs="Arial"/>
          <w:sz w:val="22"/>
          <w:szCs w:val="22"/>
        </w:rPr>
        <w:t>(Reference: point (a) of Article 8(5) of the ETC Regulation)</w:t>
      </w:r>
    </w:p>
    <w:p w:rsidR="00677D35" w:rsidRPr="00A30AEC" w:rsidRDefault="00677D35" w:rsidP="00A30AEC">
      <w:pPr>
        <w:pStyle w:val="Text1"/>
        <w:ind w:left="0"/>
        <w:rPr>
          <w:rFonts w:cs="Arial"/>
          <w:i/>
        </w:rPr>
      </w:pPr>
    </w:p>
    <w:p w:rsidR="00DF4E40" w:rsidRPr="00A30AEC" w:rsidRDefault="00DF4E40">
      <w:pPr>
        <w:rPr>
          <w:rFonts w:ascii="Arial" w:hAnsi="Arial" w:cs="Arial"/>
          <w:color w:val="17365D"/>
          <w:sz w:val="22"/>
          <w:szCs w:val="22"/>
        </w:rPr>
      </w:pPr>
      <w:bookmarkStart w:id="410" w:name="_Toc365660167"/>
      <w:bookmarkStart w:id="411" w:name="_Toc420652595"/>
      <w:r w:rsidRPr="00A30AEC">
        <w:rPr>
          <w:rFonts w:ascii="Arial" w:hAnsi="Arial" w:cs="Arial"/>
          <w:color w:val="17365D"/>
          <w:sz w:val="22"/>
          <w:szCs w:val="22"/>
        </w:rPr>
        <w:t>Coordination with the other ESI Funds (ERDF, ESF, Cohesion Fund, EAFRD, EMFF), particularly in relation to programmes under the Investment for Growth and Jobs Goal</w:t>
      </w:r>
      <w:bookmarkEnd w:id="410"/>
      <w:bookmarkEnd w:id="411"/>
    </w:p>
    <w:p w:rsidR="00DF4E40" w:rsidRPr="00304864" w:rsidRDefault="00DF4E40">
      <w:pPr>
        <w:rPr>
          <w:rFonts w:ascii="Arial" w:hAnsi="Arial" w:cs="Arial"/>
          <w:sz w:val="22"/>
          <w:szCs w:val="22"/>
        </w:rPr>
      </w:pPr>
      <w:r w:rsidRPr="00304864">
        <w:rPr>
          <w:rFonts w:ascii="Arial" w:hAnsi="Arial" w:cs="Arial"/>
          <w:sz w:val="22"/>
          <w:szCs w:val="22"/>
        </w:rPr>
        <w:t xml:space="preserve">In compliance with Article 10 and Annex I of the </w:t>
      </w:r>
      <w:r w:rsidRPr="00304864">
        <w:rPr>
          <w:rFonts w:ascii="Arial" w:hAnsi="Arial" w:cs="Arial"/>
          <w:sz w:val="22"/>
          <w:szCs w:val="22"/>
          <w:lang w:eastAsia="sv-SE"/>
        </w:rPr>
        <w:t>Regulation (EU) No 1303/2013</w:t>
      </w:r>
      <w:r w:rsidRPr="00304864">
        <w:rPr>
          <w:rFonts w:ascii="Arial" w:hAnsi="Arial" w:cs="Arial"/>
          <w:sz w:val="22"/>
          <w:szCs w:val="22"/>
        </w:rPr>
        <w:t>, coordination and use of synergies with other European Structural and Investment (ESI) Funds as well as with other relevant Union policies, strategies and instruments, including those in the framework of the Union's External Action Member States, have to be pursued. This section gives an overview on the principles followed for implementing the ADRION Programme in a complementary and coordinated manner with the relevant instruments and funds in accordance with the principles of subsidiarity and proportionality</w:t>
      </w:r>
      <w:r w:rsidR="0000707A">
        <w:rPr>
          <w:rFonts w:ascii="Arial" w:hAnsi="Arial" w:cs="Arial"/>
          <w:sz w:val="22"/>
          <w:szCs w:val="22"/>
        </w:rPr>
        <w:t>.</w:t>
      </w:r>
    </w:p>
    <w:p w:rsidR="00DF4E40" w:rsidRPr="00304864" w:rsidRDefault="00DF4E40">
      <w:pPr>
        <w:rPr>
          <w:rFonts w:ascii="Arial" w:hAnsi="Arial" w:cs="Arial"/>
          <w:sz w:val="22"/>
          <w:szCs w:val="22"/>
        </w:rPr>
      </w:pPr>
      <w:r w:rsidRPr="00304864">
        <w:rPr>
          <w:rFonts w:ascii="Arial" w:hAnsi="Arial" w:cs="Arial"/>
          <w:sz w:val="22"/>
          <w:szCs w:val="22"/>
        </w:rPr>
        <w:t xml:space="preserve">For the elaboration of the ADRION </w:t>
      </w:r>
      <w:r w:rsidR="0000707A">
        <w:rPr>
          <w:rFonts w:ascii="Arial" w:hAnsi="Arial" w:cs="Arial"/>
          <w:sz w:val="22"/>
          <w:szCs w:val="22"/>
        </w:rPr>
        <w:t>P</w:t>
      </w:r>
      <w:r w:rsidRPr="00304864">
        <w:rPr>
          <w:rFonts w:ascii="Arial" w:hAnsi="Arial" w:cs="Arial"/>
          <w:sz w:val="22"/>
          <w:szCs w:val="22"/>
        </w:rPr>
        <w:t xml:space="preserve">rogramme, the choice of TOs, IPs and SOs took into account the priorities highlighted in the Partnership Agreements of the </w:t>
      </w:r>
      <w:r w:rsidRPr="00304864">
        <w:rPr>
          <w:rFonts w:ascii="Arial" w:hAnsi="Arial" w:cs="Arial"/>
          <w:sz w:val="22"/>
          <w:szCs w:val="22"/>
          <w:lang w:eastAsia="fr-BE"/>
        </w:rPr>
        <w:t xml:space="preserve">EU </w:t>
      </w:r>
      <w:r w:rsidR="009E59B0">
        <w:rPr>
          <w:rFonts w:ascii="Arial" w:hAnsi="Arial" w:cs="Arial"/>
          <w:sz w:val="22"/>
          <w:szCs w:val="22"/>
          <w:lang w:eastAsia="fr-BE"/>
        </w:rPr>
        <w:t>Partner</w:t>
      </w:r>
      <w:r w:rsidRPr="00304864">
        <w:rPr>
          <w:rFonts w:ascii="Arial" w:hAnsi="Arial" w:cs="Arial"/>
          <w:sz w:val="22"/>
          <w:szCs w:val="22"/>
          <w:lang w:eastAsia="fr-BE"/>
        </w:rPr>
        <w:t xml:space="preserve">States </w:t>
      </w:r>
      <w:r w:rsidRPr="00304864">
        <w:rPr>
          <w:rFonts w:ascii="Arial" w:hAnsi="Arial" w:cs="Arial"/>
          <w:sz w:val="22"/>
          <w:szCs w:val="22"/>
        </w:rPr>
        <w:t xml:space="preserve">and the Strategy Country paper </w:t>
      </w:r>
      <w:r w:rsidR="0000707A">
        <w:rPr>
          <w:rFonts w:ascii="Arial" w:hAnsi="Arial" w:cs="Arial"/>
          <w:sz w:val="22"/>
          <w:szCs w:val="22"/>
        </w:rPr>
        <w:t xml:space="preserve">of the IPA </w:t>
      </w:r>
      <w:r w:rsidR="009E59B0">
        <w:rPr>
          <w:rFonts w:ascii="Arial" w:hAnsi="Arial" w:cs="Arial"/>
          <w:sz w:val="22"/>
          <w:szCs w:val="22"/>
          <w:lang w:eastAsia="fr-BE"/>
        </w:rPr>
        <w:t>Partner States</w:t>
      </w:r>
      <w:r w:rsidRPr="00304864">
        <w:rPr>
          <w:rFonts w:ascii="Arial" w:hAnsi="Arial" w:cs="Arial"/>
          <w:sz w:val="22"/>
          <w:szCs w:val="22"/>
        </w:rPr>
        <w:t xml:space="preserve"> involved as well as the main challenges pinpointed in the regional and national programmes of Investment for Growth and Jobs.</w:t>
      </w:r>
    </w:p>
    <w:p w:rsidR="00DF4E40" w:rsidRPr="00304864" w:rsidRDefault="00DF4E40">
      <w:pPr>
        <w:rPr>
          <w:rFonts w:ascii="Arial" w:hAnsi="Arial" w:cs="Arial"/>
          <w:sz w:val="22"/>
          <w:szCs w:val="22"/>
        </w:rPr>
      </w:pPr>
      <w:r w:rsidRPr="00304864">
        <w:rPr>
          <w:rFonts w:ascii="Arial" w:hAnsi="Arial" w:cs="Arial"/>
          <w:sz w:val="22"/>
          <w:szCs w:val="22"/>
        </w:rPr>
        <w:t xml:space="preserve">ETC programmes have great potential for facilitating the implementation of national and regional programmes supported by the ERDF, ESF, Cohesion Fund, EAFRD and EMFF by allowing stakeholders to tackle common challenges and needs beyond administrative borders. Coordination and complementarity with other ESI funds is fundamental, especially in terms of investment planning and preparation which can be accomplished at regional and local levels based on operations supported by the ADRION Programme. </w:t>
      </w:r>
    </w:p>
    <w:p w:rsidR="00DF4E40" w:rsidRPr="00304864" w:rsidRDefault="00DF4E40">
      <w:pPr>
        <w:rPr>
          <w:rFonts w:ascii="Arial" w:hAnsi="Arial" w:cs="Arial"/>
          <w:color w:val="000000"/>
          <w:sz w:val="22"/>
          <w:szCs w:val="22"/>
        </w:rPr>
      </w:pPr>
      <w:r w:rsidRPr="00304864">
        <w:rPr>
          <w:rFonts w:ascii="Arial" w:hAnsi="Arial" w:cs="Arial"/>
          <w:color w:val="000000"/>
          <w:sz w:val="22"/>
          <w:szCs w:val="22"/>
        </w:rPr>
        <w:t>The ADRION Programme will seek coordination through the following measures: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Applicants proposing actions with a focus on investment preparation will have to explain how to link to other national and regional programmes of the Investments for Growth and Jobs goal supported by the ERDF and ESF as well as with the Cohesion Fund, EAFRD (in particular with reference to the Leader initiative) and EMFF programmes;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National coordination committees (or other mechanisms/bodies as provided by national rules) supporting the MC members (as described in Section 5.6) will involve representatives of institutions participating in the implementation of national and regional programmes supported by the ESI funds, seeking (to the possible extent) to achieve coordination at all stages of the programme lifetime;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The MA and the JS in cooperation with the ADRION network of NCPs will communicate outputs and results of ADRION operations through relevant tools and measures implemented both at the transnational and national levels as defined in the programme communication strategy.</w:t>
      </w:r>
    </w:p>
    <w:p w:rsidR="00DF4E40" w:rsidRPr="00304864" w:rsidRDefault="00DF4E40">
      <w:pPr>
        <w:rPr>
          <w:rFonts w:ascii="Arial" w:hAnsi="Arial" w:cs="Arial"/>
          <w:sz w:val="22"/>
          <w:szCs w:val="22"/>
        </w:rPr>
      </w:pPr>
      <w:r w:rsidRPr="00304864">
        <w:rPr>
          <w:rFonts w:ascii="Arial" w:hAnsi="Arial" w:cs="Arial"/>
          <w:sz w:val="22"/>
          <w:szCs w:val="22"/>
        </w:rPr>
        <w:t>Regarding coordination with other ESI funds, special attention will be given to the possibility of synergies with other programmes of the ETC objective. In this regard, the ADRION Programme will seek exchanges with the managing authorities of other geographically overlapping ETC programmes. Efficient coordination with these neighbouring transnational programmes shall be accomplished through the: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Exchange of information during the assessment of applications in order to detect and to avoid potential overlapping and duplications, as well as to activate synergies between complementary operations being implemented in different cooperation areas;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Exchange of information during the monitoring of the implementation of approved operations, in order to set up cross-fertilisation actions (including events and trainings for beneficiaries) which allow the unfolding of synergies between operations that tackle same challenges and address shared needs of stakeholders located in different cooperation areas;</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Use of the geographical flexibility, as provided for in Article 20(2) of the Regulation (EU) No 1299/2013 that allows to develop transnational operations with a geographical scope going beyond the Programme area, thus establishing links, creating opportunities</w:t>
      </w:r>
      <w:r w:rsidRPr="00A30AEC">
        <w:rPr>
          <w:rFonts w:cs="Arial"/>
          <w:lang w:val="en-US"/>
        </w:rPr>
        <w:t xml:space="preserve"> and promoting sustainable development within and across areas sharing common features (e.g. corridors and macro regions).</w:t>
      </w:r>
    </w:p>
    <w:p w:rsidR="00DF4E40" w:rsidRPr="00304864" w:rsidRDefault="00DF4E40">
      <w:pPr>
        <w:rPr>
          <w:rFonts w:ascii="Arial" w:hAnsi="Arial" w:cs="Arial"/>
          <w:sz w:val="22"/>
          <w:szCs w:val="22"/>
        </w:rPr>
      </w:pPr>
    </w:p>
    <w:p w:rsidR="00DF4E40" w:rsidRPr="00A30AEC" w:rsidRDefault="00DF4E40">
      <w:pPr>
        <w:rPr>
          <w:rFonts w:ascii="Arial" w:hAnsi="Arial" w:cs="Arial"/>
          <w:color w:val="17365D"/>
          <w:sz w:val="22"/>
          <w:szCs w:val="22"/>
        </w:rPr>
      </w:pPr>
      <w:bookmarkStart w:id="412" w:name="_Toc365660168"/>
      <w:bookmarkStart w:id="413" w:name="_Toc420652596"/>
      <w:r w:rsidRPr="00A30AEC">
        <w:rPr>
          <w:rFonts w:ascii="Arial" w:hAnsi="Arial" w:cs="Arial"/>
          <w:color w:val="17365D"/>
          <w:sz w:val="22"/>
          <w:szCs w:val="22"/>
        </w:rPr>
        <w:t>Coordination with other Union instruments (Horizon 2020, LIFE , the Connecting Europe Facility, COSME, Erasmus for All, Asylum, Migration and Integration Fund, Programme for Social Change and Innovation etc.)</w:t>
      </w:r>
      <w:bookmarkEnd w:id="412"/>
      <w:bookmarkEnd w:id="413"/>
    </w:p>
    <w:p w:rsidR="00DF4E40" w:rsidRPr="00304864" w:rsidRDefault="00DF4E40">
      <w:pPr>
        <w:rPr>
          <w:rFonts w:ascii="Arial" w:hAnsi="Arial" w:cs="Arial"/>
          <w:sz w:val="22"/>
          <w:szCs w:val="22"/>
        </w:rPr>
      </w:pPr>
      <w:r w:rsidRPr="00304864">
        <w:rPr>
          <w:rFonts w:ascii="Arial" w:hAnsi="Arial" w:cs="Arial"/>
          <w:sz w:val="22"/>
          <w:szCs w:val="22"/>
        </w:rPr>
        <w:t>The coordination between ETC programmes and other Union instruments has the potential to raise the impact of Union policies at national and regional level supporting local, regional and national investments that effectively contribute to the EU2020 strategy. This potential is particularly visible in the following thematic areas addressed by the ADRION Programme: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Research, innovation and entrepreneurship, where transnational cooperation operations can prepare and increase capacity of regional innovation systems, paving the way to excellence in research and innovation and thereby preparing a fertile seedbed for Horizon 2020 and COSME. The ADRION projects could also include ‘Downstream actions’ to exploit R&amp;I results from Horizon 2020 and preceding programmes, with particular emphasis on creating an innovation-friendly environment for business and industry, including SMEs. For COSME the Programme envisage “Upstream actions” to prepare the SMEs to Access to better conditions for business creation &amp; growth</w:t>
      </w:r>
      <w:r w:rsidR="0000707A" w:rsidRPr="00A30AEC">
        <w:rPr>
          <w:rFonts w:cs="Arial"/>
          <w:lang w:val="en-GB"/>
        </w:rPr>
        <w: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 more detailed description will be provided under the terms of references of the ADRION calls according to each PA and SOs. At the same time this will also contribute to the effective implementation of the national and/or regional strategic policy frameworks for research and innovation in the context of smart specialisation strategies;</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Environment protection and climate change, where transnational cooperation operations can build capacity and improve the readiness of regions to develop and apply innovative solutions for environment protection and management, resource efficiency and climate change mitigation and adaptation, thus complementing actions of LIFE</w:t>
      </w:r>
      <w:r w:rsidRPr="00A30AEC">
        <w:rPr>
          <w:rFonts w:cs="Arial"/>
          <w:lang w:val="en-US"/>
        </w:rPr>
        <w:t xml:space="preserve"> and Horizon 2020;</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Transport, where transnational cooperation operations can stimulate investment in regional connectivity, closing gaps that are affecting remote regions when accessing the TEN-T corridors and, therefore, complementing the actions of the Connecting Europe Facility. Moreover, considering that the ADRION </w:t>
      </w:r>
      <w:r w:rsidR="0000707A" w:rsidRPr="00A30AEC">
        <w:rPr>
          <w:rFonts w:cs="Arial"/>
          <w:lang w:val="en-GB"/>
        </w:rPr>
        <w:t>P</w:t>
      </w:r>
      <w:r w:rsidRPr="00A30AEC">
        <w:rPr>
          <w:rFonts w:cs="Arial"/>
          <w:lang w:val="en-GB"/>
        </w:rPr>
        <w:t xml:space="preserve">rogramme aims at a addressing issues such as maritime transport and port infrastructure, a specific complementarity will be verified with the Internal Security Fund – Borders and Visa, through which the EU provides support to the EU Member States border management and maritime border surveillance systems in the Programme region. </w:t>
      </w:r>
    </w:p>
    <w:p w:rsidR="00DF4E40" w:rsidRPr="00304864" w:rsidRDefault="00DF4E40">
      <w:pPr>
        <w:rPr>
          <w:rFonts w:ascii="Arial" w:hAnsi="Arial" w:cs="Arial"/>
          <w:sz w:val="22"/>
          <w:szCs w:val="22"/>
        </w:rPr>
      </w:pPr>
      <w:r w:rsidRPr="00304864">
        <w:rPr>
          <w:rFonts w:ascii="Arial" w:hAnsi="Arial" w:cs="Arial"/>
          <w:sz w:val="22"/>
          <w:szCs w:val="22"/>
        </w:rPr>
        <w:t>The ADRION Programme will seek coordination through the following measures: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When submitting proposals, applicants will have to describe the coherence and complementarity with other Union instruments of relevance for the topics addressed by the proposals. Evidence of the added value brought by transnational cooperation will have to be demonstrated in particular with regard to Horizon 2020, COSME, LIFE, the Connecting Europe Facility, Creative Europe and Erasmus for all. The coherence with the above mentioned Instruments to be described by the applicants shall be also based on the multi-annual and annual work programmes as well as guidelines developed within these instruments;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Exchanges with and advice from the European Commission services and other European and national institutions involved in the management of Union instruments will be sought by the MA and JS in order to exchange good practice and to jointly spread information targeting common relevant stakeholders. A particular potential to activate synergies is seen with the </w:t>
      </w:r>
      <w:r w:rsidR="000C7309">
        <w:rPr>
          <w:rFonts w:cs="Arial"/>
          <w:lang w:val="en-GB"/>
        </w:rPr>
        <w:t xml:space="preserve">European </w:t>
      </w:r>
      <w:r w:rsidRPr="00A30AEC">
        <w:rPr>
          <w:rFonts w:cs="Arial"/>
          <w:lang w:val="en-GB"/>
        </w:rPr>
        <w:t>Commission’s thematic DGs (especially in the fields of R&amp;D, SME development and entrepreneurship, Tourism, Environment, Energy) and with European agencies;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Communication tools and measures will be set in place by the MA and the JS in cooperation with the network of NCPs to allow for communicating outputs and results achieved by ADRION operations in order to make them available to thematic stakeholders addressed by Union instruments. Where applicable, NCPs of the EU programmes (e.g. LIFE, Horizon 2020, etc.) will be directly involved in national and transnational information events organised by the Programme;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Furthermore, the Western Balkan Investment Framework can be a further financial instrument that can be involved in the coordination</w:t>
      </w:r>
      <w:r w:rsidR="0000707A" w:rsidRPr="00A30AEC">
        <w:rPr>
          <w:rFonts w:cs="Arial"/>
          <w:lang w:val="en-GB"/>
        </w:rPr>
        <w:t>.</w:t>
      </w:r>
    </w:p>
    <w:p w:rsidR="00DF4E40" w:rsidRPr="00A30AEC" w:rsidRDefault="00DF4E40">
      <w:pPr>
        <w:pStyle w:val="ListParagraph"/>
        <w:ind w:left="360"/>
        <w:rPr>
          <w:rFonts w:ascii="Arial" w:hAnsi="Arial" w:cs="Arial"/>
          <w:sz w:val="22"/>
          <w:szCs w:val="22"/>
          <w:lang w:val="en-US"/>
        </w:rPr>
      </w:pPr>
    </w:p>
    <w:p w:rsidR="00DF4E40" w:rsidRPr="00A30AEC" w:rsidRDefault="00DF4E40">
      <w:pPr>
        <w:rPr>
          <w:rFonts w:ascii="Arial" w:hAnsi="Arial" w:cs="Arial"/>
          <w:color w:val="17365D"/>
          <w:sz w:val="22"/>
          <w:szCs w:val="22"/>
        </w:rPr>
      </w:pPr>
      <w:bookmarkStart w:id="414" w:name="_Toc365660169"/>
      <w:bookmarkStart w:id="415" w:name="_Toc420652597"/>
      <w:r w:rsidRPr="00A30AEC">
        <w:rPr>
          <w:rFonts w:ascii="Arial" w:hAnsi="Arial" w:cs="Arial"/>
          <w:color w:val="17365D"/>
          <w:sz w:val="22"/>
          <w:szCs w:val="22"/>
        </w:rPr>
        <w:t>Coordination with CEF, ENI, IPA and EDF</w:t>
      </w:r>
      <w:bookmarkEnd w:id="414"/>
      <w:bookmarkEnd w:id="415"/>
    </w:p>
    <w:p w:rsidR="00DF4E40" w:rsidRPr="00304864" w:rsidRDefault="00DF4E40">
      <w:pPr>
        <w:rPr>
          <w:rFonts w:ascii="Arial" w:hAnsi="Arial" w:cs="Arial"/>
          <w:sz w:val="22"/>
          <w:szCs w:val="22"/>
        </w:rPr>
      </w:pPr>
      <w:r w:rsidRPr="00304864">
        <w:rPr>
          <w:rFonts w:ascii="Arial" w:hAnsi="Arial" w:cs="Arial"/>
          <w:sz w:val="22"/>
          <w:szCs w:val="22"/>
        </w:rPr>
        <w:t>In order to strengthen its transnational dimension and improve the cooperation with other programmes like, Balkan Med, M</w:t>
      </w:r>
      <w:r w:rsidR="0000707A">
        <w:rPr>
          <w:rFonts w:ascii="Arial" w:hAnsi="Arial" w:cs="Arial"/>
          <w:sz w:val="22"/>
          <w:szCs w:val="22"/>
        </w:rPr>
        <w:t>ED</w:t>
      </w:r>
      <w:r w:rsidRPr="00304864">
        <w:rPr>
          <w:rFonts w:ascii="Arial" w:hAnsi="Arial" w:cs="Arial"/>
          <w:sz w:val="22"/>
          <w:szCs w:val="22"/>
        </w:rPr>
        <w:t>, Danube involving IPA II countries will take into account the objectives and results of these programmes when implementing its capitalisation activities, strategic projects and in self-evaluation.</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bookmarkStart w:id="416" w:name="_Toc365660170"/>
      <w:r w:rsidRPr="00304864">
        <w:rPr>
          <w:rFonts w:ascii="Arial" w:hAnsi="Arial" w:cs="Arial"/>
          <w:sz w:val="22"/>
          <w:szCs w:val="22"/>
        </w:rPr>
        <w:t>The ADRION Programme will seek coordination with ENI CBC MED and Alpine Space if relevant for some of the eligible area.</w:t>
      </w:r>
    </w:p>
    <w:p w:rsidR="00DF4E40" w:rsidRPr="00304864" w:rsidRDefault="00DF4E40">
      <w:pPr>
        <w:rPr>
          <w:rFonts w:ascii="Arial" w:hAnsi="Arial" w:cs="Arial"/>
          <w:sz w:val="22"/>
          <w:szCs w:val="22"/>
        </w:rPr>
      </w:pPr>
      <w:r w:rsidRPr="00304864">
        <w:rPr>
          <w:rFonts w:ascii="Arial" w:hAnsi="Arial" w:cs="Arial"/>
          <w:sz w:val="22"/>
          <w:szCs w:val="22"/>
        </w:rPr>
        <w:t>the Coordination will be implemented through the following measures: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MAs and JSs of IPA and ENI CBC programmes will be addressed by the ADRION Programme improving exchanges of information on applications and approved operations, in order to activate synergies between complementary operations being implemented at the EU external borders</w:t>
      </w:r>
      <w:r w:rsidR="000C7309">
        <w:rPr>
          <w:rFonts w:cs="Arial"/>
          <w:lang w:val="en-GB"/>
        </w:rPr>
        <w: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Taking into consideration also the forthcoming implementation of IPA Rural Development II (IPARD II) programmes in Albania, Montenegro and Serbia, the ADRION Programme will ensure that overlapping between activities financed by the respective programmes (ADRION and at one side, IPARD programmes at the other side) will be avoided and all the potential complementarities assessed.</w:t>
      </w:r>
    </w:p>
    <w:p w:rsidR="00DF4E40" w:rsidRPr="00304864" w:rsidRDefault="00DF4E40">
      <w:pPr>
        <w:rPr>
          <w:rFonts w:ascii="Arial" w:hAnsi="Arial" w:cs="Arial"/>
          <w:sz w:val="22"/>
          <w:szCs w:val="22"/>
        </w:rPr>
      </w:pPr>
    </w:p>
    <w:p w:rsidR="00DF4E40" w:rsidRPr="00A30AEC" w:rsidRDefault="00DF4E40">
      <w:pPr>
        <w:rPr>
          <w:rFonts w:ascii="Arial" w:hAnsi="Arial" w:cs="Arial"/>
          <w:color w:val="17365D"/>
          <w:sz w:val="22"/>
          <w:szCs w:val="22"/>
        </w:rPr>
      </w:pPr>
      <w:bookmarkStart w:id="417" w:name="_Toc420652598"/>
      <w:r w:rsidRPr="00A30AEC">
        <w:rPr>
          <w:rFonts w:ascii="Arial" w:hAnsi="Arial" w:cs="Arial"/>
          <w:color w:val="17365D"/>
          <w:sz w:val="22"/>
          <w:szCs w:val="22"/>
        </w:rPr>
        <w:t>Coordination with relevant national funding instruments that contribute to the same or similar objectives as the cooperation programme or complement its interventions</w:t>
      </w:r>
      <w:bookmarkEnd w:id="416"/>
      <w:bookmarkEnd w:id="417"/>
    </w:p>
    <w:p w:rsidR="00DF4E40" w:rsidRPr="00304864" w:rsidRDefault="00DF4E40">
      <w:pPr>
        <w:rPr>
          <w:rFonts w:ascii="Arial" w:hAnsi="Arial" w:cs="Arial"/>
          <w:sz w:val="22"/>
          <w:szCs w:val="22"/>
        </w:rPr>
      </w:pPr>
      <w:bookmarkStart w:id="418" w:name="_Toc365660171"/>
      <w:r w:rsidRPr="00304864">
        <w:rPr>
          <w:rFonts w:ascii="Arial" w:hAnsi="Arial" w:cs="Arial"/>
          <w:sz w:val="22"/>
          <w:szCs w:val="22"/>
        </w:rPr>
        <w:t xml:space="preserve">Transnational operations supported by the ADRION Programme have the potential to improve the implementation of national, regional and local policies. </w:t>
      </w:r>
    </w:p>
    <w:p w:rsidR="00DF4E40" w:rsidRPr="00304864" w:rsidRDefault="00DF4E40">
      <w:pPr>
        <w:rPr>
          <w:rFonts w:ascii="Arial" w:hAnsi="Arial" w:cs="Arial"/>
          <w:sz w:val="22"/>
          <w:szCs w:val="22"/>
        </w:rPr>
      </w:pPr>
      <w:r w:rsidRPr="00304864">
        <w:rPr>
          <w:rFonts w:ascii="Arial" w:hAnsi="Arial" w:cs="Arial"/>
          <w:sz w:val="22"/>
          <w:szCs w:val="22"/>
        </w:rPr>
        <w:t>The ADRION Programme will seek coordination with relevant national funding instruments by setting up the following measures: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When submitting proposals, applicants will have to describe the coherence and complementarity with national policies and funding instruments, within the application form, giving evidence of the added value brought by transnational cooperation;</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National coordination committees (or other mechanisms/bodies as provided by national rules) supporting the MC members will, to the possible extent, include representatives of institutions involved in setting-up and/or implementing national, regional and local funding instruments to guarantee mutual information especially about outputs and results of transnational operations that could support the effective implementation of national, regional and local policies and funding instruments.</w:t>
      </w:r>
    </w:p>
    <w:p w:rsidR="00DF4E40" w:rsidRPr="00304864" w:rsidRDefault="00DF4E40">
      <w:pPr>
        <w:rPr>
          <w:rFonts w:ascii="Arial" w:hAnsi="Arial" w:cs="Arial"/>
          <w:sz w:val="22"/>
          <w:szCs w:val="22"/>
        </w:rPr>
      </w:pPr>
    </w:p>
    <w:p w:rsidR="00DF4E40" w:rsidRPr="00A30AEC" w:rsidRDefault="00DF4E40">
      <w:pPr>
        <w:rPr>
          <w:rFonts w:ascii="Arial" w:hAnsi="Arial" w:cs="Arial"/>
          <w:color w:val="17365D"/>
          <w:sz w:val="22"/>
          <w:szCs w:val="22"/>
        </w:rPr>
      </w:pPr>
      <w:bookmarkStart w:id="419" w:name="_Toc420652599"/>
      <w:r w:rsidRPr="00A30AEC">
        <w:rPr>
          <w:rFonts w:ascii="Arial" w:hAnsi="Arial" w:cs="Arial"/>
          <w:color w:val="17365D"/>
          <w:sz w:val="22"/>
          <w:szCs w:val="22"/>
        </w:rPr>
        <w:t xml:space="preserve">Coordination with </w:t>
      </w:r>
      <w:r w:rsidR="00AA3E9A" w:rsidRPr="00A30AEC">
        <w:rPr>
          <w:rFonts w:ascii="Arial" w:hAnsi="Arial" w:cs="Arial"/>
          <w:color w:val="17365D"/>
          <w:sz w:val="22"/>
          <w:szCs w:val="22"/>
        </w:rPr>
        <w:t>the European Investment Bank</w:t>
      </w:r>
      <w:bookmarkEnd w:id="418"/>
      <w:bookmarkEnd w:id="419"/>
    </w:p>
    <w:p w:rsidR="00DF4E40" w:rsidRPr="00304864" w:rsidRDefault="00DF4E40">
      <w:pPr>
        <w:rPr>
          <w:rFonts w:ascii="Arial" w:hAnsi="Arial" w:cs="Arial"/>
          <w:sz w:val="22"/>
          <w:szCs w:val="22"/>
        </w:rPr>
      </w:pPr>
      <w:r w:rsidRPr="00304864">
        <w:rPr>
          <w:rFonts w:ascii="Arial" w:hAnsi="Arial" w:cs="Arial"/>
          <w:sz w:val="22"/>
          <w:szCs w:val="22"/>
        </w:rPr>
        <w:t>Transnational cooperation can contribute to making results of operations ready for benefitting of instruments of the European Investment Bank (EIB), both in terms of technical preparation and execution of large-scale investment (i.e. make them “bankable”). Synergies can be activated especially in the following thematic areas addressed by the ADRION Programme: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Infrastructure, where the EIB instrument “Joint Assistance to Support Projects in European Regions” (JASPERS) can support the realisation of large scale investments prepared by cooperation projects especially in the transport and environment sectors;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Energy, where the EIB instrument “European Local ENergy Assistance” (ELENA) can bring forward the achievements of cooperation projects preparing large energy efficiency and renewable energy projects at local and regional level;</w:t>
      </w:r>
    </w:p>
    <w:p w:rsidR="00DF4E40" w:rsidRPr="00304864" w:rsidRDefault="00DF4E40">
      <w:pPr>
        <w:rPr>
          <w:rFonts w:ascii="Arial" w:hAnsi="Arial" w:cs="Arial"/>
          <w:sz w:val="22"/>
          <w:szCs w:val="22"/>
        </w:rPr>
      </w:pPr>
      <w:r w:rsidRPr="00304864">
        <w:rPr>
          <w:rFonts w:ascii="Arial" w:hAnsi="Arial" w:cs="Arial"/>
          <w:sz w:val="22"/>
          <w:szCs w:val="22"/>
        </w:rPr>
        <w:t>In addition to investment preparation, synergies can be activated in the field of entrepreneurship, where transnational cooperation operations can ease the access to the EIB instrument “Joint European Resources for Micro to Medium Enterprises” (JEREMIE) through knowledge and capacity building of entrepreneurs and public institutions.</w:t>
      </w:r>
    </w:p>
    <w:p w:rsidR="00DF4E40" w:rsidRPr="00304864" w:rsidRDefault="00DF4E40">
      <w:pPr>
        <w:rPr>
          <w:rFonts w:ascii="Arial" w:hAnsi="Arial" w:cs="Arial"/>
          <w:sz w:val="22"/>
          <w:szCs w:val="22"/>
        </w:rPr>
      </w:pPr>
      <w:r w:rsidRPr="00304864">
        <w:rPr>
          <w:rFonts w:ascii="Arial" w:hAnsi="Arial" w:cs="Arial"/>
          <w:sz w:val="22"/>
          <w:szCs w:val="22"/>
        </w:rPr>
        <w:t>Furthermore, the Western Balkan Investment Framework can be a further financial instrument to be involved in the coordination.</w:t>
      </w:r>
    </w:p>
    <w:p w:rsidR="00DF4E40" w:rsidRPr="00304864" w:rsidRDefault="00DF4E40">
      <w:pPr>
        <w:rPr>
          <w:rFonts w:ascii="Arial" w:hAnsi="Arial" w:cs="Arial"/>
          <w:sz w:val="22"/>
          <w:szCs w:val="22"/>
        </w:rPr>
      </w:pPr>
    </w:p>
    <w:p w:rsidR="00DF4E40" w:rsidRPr="00304864" w:rsidRDefault="00DF4E40">
      <w:pPr>
        <w:rPr>
          <w:rFonts w:ascii="Arial" w:hAnsi="Arial" w:cs="Arial"/>
          <w:sz w:val="22"/>
          <w:szCs w:val="22"/>
        </w:rPr>
      </w:pPr>
    </w:p>
    <w:p w:rsidR="00DF4E40" w:rsidRPr="00304864" w:rsidRDefault="00DF4E40">
      <w:pPr>
        <w:pStyle w:val="Heading1"/>
      </w:pPr>
      <w:bookmarkStart w:id="420" w:name="_Toc365660172"/>
      <w:bookmarkStart w:id="421" w:name="_Toc366097065"/>
      <w:bookmarkStart w:id="422" w:name="_Toc377402595"/>
      <w:bookmarkStart w:id="423" w:name="_Toc420652600"/>
      <w:bookmarkStart w:id="424" w:name="_Toc421076942"/>
      <w:r w:rsidRPr="00304864">
        <w:t>SECTION 7 Reduction of the Administrative burden for beneficiaries</w:t>
      </w:r>
      <w:bookmarkEnd w:id="420"/>
      <w:bookmarkEnd w:id="421"/>
      <w:bookmarkEnd w:id="422"/>
      <w:bookmarkEnd w:id="423"/>
      <w:bookmarkEnd w:id="424"/>
    </w:p>
    <w:p w:rsidR="00DF4E40" w:rsidRPr="00A30AEC" w:rsidRDefault="00DF4E40">
      <w:pPr>
        <w:pStyle w:val="Text1"/>
        <w:ind w:left="0"/>
        <w:rPr>
          <w:rFonts w:ascii="Arial" w:hAnsi="Arial" w:cs="Arial"/>
          <w:sz w:val="22"/>
          <w:szCs w:val="22"/>
        </w:rPr>
      </w:pPr>
      <w:r w:rsidRPr="00A30AEC">
        <w:rPr>
          <w:rFonts w:ascii="Arial" w:hAnsi="Arial" w:cs="Arial"/>
          <w:sz w:val="22"/>
          <w:szCs w:val="22"/>
        </w:rPr>
        <w:t xml:space="preserve">(Reference: point (b) of Article 8(5) of Regulation (EU) No 1299/2013 and Commission Delegated Regulation (EU) No 481/2014 of 4 March 2014 supplementing Regulation (EU) No 1299/2013. </w:t>
      </w:r>
    </w:p>
    <w:p w:rsidR="00DF4E40" w:rsidRPr="00304864" w:rsidRDefault="00DF4E40">
      <w:pPr>
        <w:pStyle w:val="Text1"/>
        <w:ind w:left="0"/>
        <w:rPr>
          <w:rFonts w:ascii="Arial" w:hAnsi="Arial" w:cs="Arial"/>
          <w:i/>
          <w:sz w:val="22"/>
          <w:szCs w:val="22"/>
        </w:rPr>
      </w:pPr>
    </w:p>
    <w:p w:rsidR="00DF4E40" w:rsidRPr="00A30AEC" w:rsidRDefault="00DF4E40">
      <w:pPr>
        <w:rPr>
          <w:rFonts w:ascii="Arial" w:hAnsi="Arial" w:cs="Arial"/>
          <w:color w:val="17365D"/>
          <w:sz w:val="22"/>
          <w:szCs w:val="22"/>
        </w:rPr>
      </w:pPr>
      <w:bookmarkStart w:id="425" w:name="_Toc365660173"/>
      <w:bookmarkStart w:id="426" w:name="_Toc366097066"/>
      <w:bookmarkStart w:id="427" w:name="_Toc377402596"/>
      <w:bookmarkStart w:id="428" w:name="_Toc420652601"/>
      <w:r w:rsidRPr="00A30AEC">
        <w:rPr>
          <w:rFonts w:ascii="Arial" w:hAnsi="Arial" w:cs="Arial"/>
          <w:color w:val="17365D"/>
          <w:sz w:val="22"/>
          <w:szCs w:val="22"/>
        </w:rPr>
        <w:t>Assessment of the administrative burden</w:t>
      </w:r>
      <w:bookmarkEnd w:id="425"/>
      <w:bookmarkEnd w:id="426"/>
      <w:bookmarkEnd w:id="427"/>
      <w:bookmarkEnd w:id="428"/>
    </w:p>
    <w:p w:rsidR="00DF4E40" w:rsidRPr="00304864" w:rsidRDefault="00DF4E40">
      <w:pPr>
        <w:pStyle w:val="Text2"/>
        <w:ind w:left="0"/>
        <w:rPr>
          <w:rFonts w:ascii="Arial" w:hAnsi="Arial" w:cs="Arial"/>
          <w:sz w:val="22"/>
          <w:szCs w:val="22"/>
          <w:lang w:eastAsia="sv-SE"/>
        </w:rPr>
      </w:pPr>
      <w:bookmarkStart w:id="429" w:name="_Toc365660174"/>
      <w:bookmarkStart w:id="430" w:name="_Toc366097067"/>
      <w:bookmarkStart w:id="431" w:name="_Toc377402597"/>
      <w:r w:rsidRPr="00304864">
        <w:rPr>
          <w:rFonts w:ascii="Arial" w:hAnsi="Arial" w:cs="Arial"/>
          <w:sz w:val="22"/>
          <w:szCs w:val="22"/>
          <w:lang w:eastAsia="sv-SE"/>
        </w:rPr>
        <w:t xml:space="preserve">A light set of rules and simple administration procedures are pre-conditions for an effective programme driving the expected changes in the Adriatic Ionian area. This makes the reduction of administrative burden a key target. </w:t>
      </w:r>
    </w:p>
    <w:p w:rsidR="00DF4E40" w:rsidRPr="00A30AEC" w:rsidRDefault="00DF4E40">
      <w:pPr>
        <w:pStyle w:val="ListParagraph"/>
        <w:ind w:left="0"/>
        <w:rPr>
          <w:rFonts w:ascii="Arial" w:hAnsi="Arial" w:cs="Arial"/>
          <w:sz w:val="22"/>
          <w:szCs w:val="22"/>
          <w:lang w:val="en-US"/>
        </w:rPr>
      </w:pPr>
      <w:r w:rsidRPr="00A30AEC">
        <w:rPr>
          <w:rFonts w:ascii="Arial" w:hAnsi="Arial" w:cs="Arial"/>
          <w:sz w:val="22"/>
          <w:szCs w:val="22"/>
          <w:lang w:val="en-US" w:eastAsia="sv-SE"/>
        </w:rPr>
        <w:t>Management and control requirements applicable to structural funds call for a careful handling of the public spending processes and therefore a good balance between simplification and control has to be achieved by:</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Learning from experiences made in previous programming period from all the other ETC programmes;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Making use to the possible extent of simplified cost options available for the 2014-2020 period (if accepted and applied by national controllers);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Making use of the Harmonised Implementation Tools (HIT) developed by the INTERACT Programme in cooperation with ETC programmes in order to simplify and streamline programme implementation.</w:t>
      </w:r>
    </w:p>
    <w:p w:rsidR="00DF4E40" w:rsidRPr="00A30AEC" w:rsidRDefault="00DF4E40">
      <w:pPr>
        <w:pStyle w:val="ListParagraph"/>
        <w:ind w:left="0"/>
        <w:rPr>
          <w:rFonts w:ascii="Arial" w:hAnsi="Arial" w:cs="Arial"/>
          <w:sz w:val="22"/>
          <w:szCs w:val="22"/>
          <w:lang w:val="en-US"/>
        </w:rPr>
      </w:pPr>
      <w:r w:rsidRPr="00A30AEC">
        <w:rPr>
          <w:rFonts w:ascii="Arial" w:hAnsi="Arial" w:cs="Arial"/>
          <w:sz w:val="22"/>
          <w:szCs w:val="22"/>
          <w:lang w:val="en-US"/>
        </w:rPr>
        <w:t>Actions planned to reduce administrative burden will primarily build on the implementation of a system for data exchange fully in line with e-cohesion requirements described in Section 5. They shall cover all phases of the project cycle as described below.</w:t>
      </w:r>
    </w:p>
    <w:p w:rsidR="00DF4E40" w:rsidRPr="00A30AEC" w:rsidRDefault="00DF4E40">
      <w:pPr>
        <w:pStyle w:val="ListParagraph"/>
        <w:ind w:left="0"/>
        <w:rPr>
          <w:rFonts w:ascii="Arial" w:hAnsi="Arial" w:cs="Arial"/>
          <w:sz w:val="22"/>
          <w:szCs w:val="22"/>
          <w:lang w:val="en-US"/>
        </w:rPr>
      </w:pPr>
    </w:p>
    <w:p w:rsidR="00DF4E40" w:rsidRPr="00A30AEC" w:rsidRDefault="00DF4E40" w:rsidP="00A30AEC">
      <w:pPr>
        <w:rPr>
          <w:rFonts w:ascii="Arial" w:hAnsi="Arial" w:cs="Arial"/>
          <w:color w:val="17365D"/>
          <w:sz w:val="22"/>
          <w:szCs w:val="22"/>
        </w:rPr>
      </w:pPr>
      <w:bookmarkStart w:id="432" w:name="_Toc420652602"/>
      <w:r w:rsidRPr="00A30AEC">
        <w:rPr>
          <w:rFonts w:ascii="Arial" w:hAnsi="Arial" w:cs="Arial"/>
          <w:color w:val="17365D"/>
          <w:sz w:val="22"/>
          <w:szCs w:val="22"/>
        </w:rPr>
        <w:t>Main actions planned to achieve a reduction in administrative burden</w:t>
      </w:r>
      <w:bookmarkEnd w:id="429"/>
      <w:bookmarkEnd w:id="430"/>
      <w:bookmarkEnd w:id="431"/>
      <w:bookmarkEnd w:id="432"/>
      <w:r w:rsidR="000F7F77" w:rsidRPr="00531153">
        <w:rPr>
          <w:rFonts w:ascii="Arial" w:hAnsi="Arial" w:cs="Arial"/>
          <w:color w:val="17365D"/>
          <w:sz w:val="22"/>
          <w:szCs w:val="22"/>
        </w:rPr>
        <w:t xml:space="preserve"> - </w:t>
      </w:r>
      <w:bookmarkStart w:id="433" w:name="_Toc420652603"/>
      <w:r w:rsidRPr="00A30AEC">
        <w:rPr>
          <w:rFonts w:ascii="Arial" w:hAnsi="Arial" w:cs="Arial"/>
          <w:color w:val="17365D"/>
          <w:sz w:val="22"/>
          <w:szCs w:val="22"/>
        </w:rPr>
        <w:t>Formal eligibility of applications</w:t>
      </w:r>
      <w:bookmarkEnd w:id="433"/>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 xml:space="preserve">The formal/administrative eligibility requirements for applications rendered a significant share of applications (about 20%) submitted to the ETC Programme 2007-2013 as ineligible. </w:t>
      </w:r>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Simplification of the submission procedure could considerably reduce the percentage of ineligible applications due to formal/administrative reasons, and therefore increase the efficiency of the process. This could be achieved with the integration of guiding information within the application form guiding information, which was previously provided in separate documents. In addition, the submission of applications and accompanying documents can be made electronically, with signed hardcopies be provided only when an application is proposed for funding. The application form template will build on the HIT template, thus making its use easier for applicants that find similar application forms in different ETC programmes.</w:t>
      </w:r>
    </w:p>
    <w:p w:rsidR="00DF4E40" w:rsidRPr="00304864" w:rsidRDefault="00DF4E40">
      <w:pPr>
        <w:pStyle w:val="Text2"/>
        <w:ind w:left="0"/>
        <w:rPr>
          <w:rFonts w:ascii="Arial" w:hAnsi="Arial" w:cs="Arial"/>
          <w:sz w:val="22"/>
          <w:szCs w:val="22"/>
          <w:lang w:eastAsia="sv-SE"/>
        </w:rPr>
      </w:pPr>
    </w:p>
    <w:p w:rsidR="00DF4E40" w:rsidRPr="00A30AEC" w:rsidRDefault="00DF4E40" w:rsidP="00A30AEC">
      <w:pPr>
        <w:rPr>
          <w:rFonts w:ascii="Arial" w:hAnsi="Arial" w:cs="Arial"/>
          <w:color w:val="17365D"/>
          <w:sz w:val="22"/>
          <w:szCs w:val="22"/>
        </w:rPr>
      </w:pPr>
      <w:bookmarkStart w:id="434" w:name="_Toc420652604"/>
      <w:r w:rsidRPr="00A30AEC">
        <w:rPr>
          <w:rFonts w:ascii="Arial" w:hAnsi="Arial" w:cs="Arial"/>
          <w:color w:val="17365D"/>
          <w:sz w:val="22"/>
          <w:szCs w:val="22"/>
        </w:rPr>
        <w:t>Harmonised eligibility rules and budget lines</w:t>
      </w:r>
      <w:bookmarkEnd w:id="434"/>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In the 2007-2013 programming period one of the main causes of high administrative burden on the beneficiaries was the lack of harmonised eligibility rules and budget line definitions.</w:t>
      </w:r>
    </w:p>
    <w:p w:rsidR="00DF4E40" w:rsidRPr="00A30AEC" w:rsidRDefault="00DF4E40">
      <w:pPr>
        <w:pStyle w:val="ListParagraph"/>
        <w:ind w:left="0"/>
        <w:rPr>
          <w:rFonts w:ascii="Arial" w:hAnsi="Arial" w:cs="Arial"/>
          <w:sz w:val="22"/>
          <w:szCs w:val="22"/>
          <w:lang w:val="en-US"/>
        </w:rPr>
      </w:pPr>
      <w:r w:rsidRPr="00A30AEC">
        <w:rPr>
          <w:rFonts w:ascii="Arial" w:hAnsi="Arial" w:cs="Arial"/>
          <w:sz w:val="22"/>
          <w:szCs w:val="22"/>
          <w:lang w:val="en-US"/>
        </w:rPr>
        <w:t xml:space="preserve">According to Article 17(1) of Regulation (EU) No 1299/2013 and Delegated Regulation (EU) No 481/2014), the European Commission has set up specific rules on eligibility of expenditure mainly based on a common set of the following five budget lines applicable for all ETC programmes: </w:t>
      </w:r>
    </w:p>
    <w:p w:rsidR="00DF4E40" w:rsidRPr="00A30AEC" w:rsidRDefault="00DF4E40">
      <w:pPr>
        <w:pStyle w:val="ListParagraph"/>
        <w:ind w:left="0"/>
        <w:rPr>
          <w:rFonts w:ascii="Arial" w:hAnsi="Arial" w:cs="Arial"/>
          <w:sz w:val="22"/>
          <w:szCs w:val="22"/>
          <w:lang w:val="en-US"/>
        </w:rPr>
      </w:pPr>
      <w:r w:rsidRPr="00A30AEC">
        <w:rPr>
          <w:rFonts w:ascii="Arial" w:hAnsi="Arial" w:cs="Arial"/>
          <w:sz w:val="22"/>
          <w:szCs w:val="22"/>
          <w:lang w:val="en-US"/>
        </w:rPr>
        <w:t xml:space="preserve">1. Staff costs </w:t>
      </w:r>
    </w:p>
    <w:p w:rsidR="00DF4E40" w:rsidRPr="00A30AEC" w:rsidRDefault="00DF4E40">
      <w:pPr>
        <w:pStyle w:val="ListParagraph"/>
        <w:ind w:left="0"/>
        <w:rPr>
          <w:rFonts w:ascii="Arial" w:hAnsi="Arial" w:cs="Arial"/>
          <w:sz w:val="22"/>
          <w:szCs w:val="22"/>
          <w:lang w:val="en-US"/>
        </w:rPr>
      </w:pPr>
      <w:r w:rsidRPr="00A30AEC">
        <w:rPr>
          <w:rFonts w:ascii="Arial" w:hAnsi="Arial" w:cs="Arial"/>
          <w:sz w:val="22"/>
          <w:szCs w:val="22"/>
          <w:lang w:val="en-US"/>
        </w:rPr>
        <w:t xml:space="preserve">2. Office and administration expenditure </w:t>
      </w:r>
    </w:p>
    <w:p w:rsidR="00DF4E40" w:rsidRPr="00A30AEC" w:rsidRDefault="00DF4E40">
      <w:pPr>
        <w:pStyle w:val="ListParagraph"/>
        <w:ind w:left="0"/>
        <w:rPr>
          <w:rFonts w:ascii="Arial" w:hAnsi="Arial" w:cs="Arial"/>
          <w:sz w:val="22"/>
          <w:szCs w:val="22"/>
          <w:lang w:val="en-US"/>
        </w:rPr>
      </w:pPr>
      <w:r w:rsidRPr="00A30AEC">
        <w:rPr>
          <w:rFonts w:ascii="Arial" w:hAnsi="Arial" w:cs="Arial"/>
          <w:sz w:val="22"/>
          <w:szCs w:val="22"/>
          <w:lang w:val="en-US"/>
        </w:rPr>
        <w:t xml:space="preserve">3. Travel and accommodation costs </w:t>
      </w:r>
    </w:p>
    <w:p w:rsidR="00DF4E40" w:rsidRPr="00A30AEC" w:rsidRDefault="00DF4E40">
      <w:pPr>
        <w:pStyle w:val="ListParagraph"/>
        <w:ind w:left="0"/>
        <w:rPr>
          <w:rFonts w:ascii="Arial" w:hAnsi="Arial" w:cs="Arial"/>
          <w:sz w:val="22"/>
          <w:szCs w:val="22"/>
          <w:lang w:val="en-US"/>
        </w:rPr>
      </w:pPr>
      <w:r w:rsidRPr="00A30AEC">
        <w:rPr>
          <w:rFonts w:ascii="Arial" w:hAnsi="Arial" w:cs="Arial"/>
          <w:sz w:val="22"/>
          <w:szCs w:val="22"/>
          <w:lang w:val="en-US"/>
        </w:rPr>
        <w:t xml:space="preserve">4. External expertise and service costs </w:t>
      </w:r>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rPr>
        <w:t>5. Equipment expenditure</w:t>
      </w:r>
    </w:p>
    <w:p w:rsidR="00DF4E40" w:rsidRPr="00304864" w:rsidRDefault="00DF4E40">
      <w:pPr>
        <w:pStyle w:val="Text2"/>
        <w:ind w:left="0"/>
        <w:rPr>
          <w:rFonts w:ascii="Arial" w:hAnsi="Arial" w:cs="Arial"/>
          <w:sz w:val="22"/>
          <w:szCs w:val="22"/>
        </w:rPr>
      </w:pPr>
      <w:r w:rsidRPr="00304864">
        <w:rPr>
          <w:rFonts w:ascii="Arial" w:hAnsi="Arial" w:cs="Arial"/>
          <w:sz w:val="22"/>
          <w:szCs w:val="22"/>
          <w:lang w:eastAsia="sv-SE"/>
        </w:rPr>
        <w:t xml:space="preserve">In defining programme rules, special attention will be paid to “staff costs” as well as “office and administrative expenditure”, for which several simplification options are available. </w:t>
      </w:r>
      <w:r w:rsidRPr="00304864">
        <w:rPr>
          <w:rFonts w:ascii="Arial" w:hAnsi="Arial" w:cs="Arial"/>
          <w:sz w:val="22"/>
          <w:szCs w:val="22"/>
        </w:rPr>
        <w:t>Especially with regard to staff costs the above-mentioned eligibility rules contain considerable simplification options relating to the calculation and documentation requirements (Article 67 and 68 of Regulation (EU) No 1303/2013).</w:t>
      </w:r>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 xml:space="preserve">Moreover, Article 18(3) of the Regulation (EU) No 1299/2013 determines a new hierarchy of eligibility rules, with programme rules specifying what is not defined at EU level and national rules specifying only what is not covered by EU or programme rules. </w:t>
      </w:r>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 xml:space="preserve">Taking into account the experience of the 2007-2013 programming period, sound financial management requires that all the national first level control systems use the common implementation templates and the simplified elements in the calculation of costs. </w:t>
      </w:r>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The bodies responsible for the first level control in the different Partner States hold regular coordination meetings regarding the implementation of the common eligibility rules, the simplified cost options and the harmonised tools. These meetings are hold to improve the quality of the checks and to reduce the possible discrepancies in the application of the shared rules.</w:t>
      </w:r>
    </w:p>
    <w:p w:rsidR="00DF4E40" w:rsidRPr="00304864" w:rsidRDefault="00DF4E40">
      <w:pPr>
        <w:pStyle w:val="Text2"/>
        <w:ind w:left="0"/>
        <w:rPr>
          <w:rFonts w:ascii="Arial" w:hAnsi="Arial" w:cs="Arial"/>
          <w:sz w:val="22"/>
          <w:szCs w:val="22"/>
          <w:lang w:eastAsia="sv-SE"/>
        </w:rPr>
      </w:pPr>
    </w:p>
    <w:p w:rsidR="00DF4E40" w:rsidRPr="00A30AEC" w:rsidRDefault="00DF4E40" w:rsidP="00A30AEC">
      <w:pPr>
        <w:rPr>
          <w:rFonts w:ascii="Arial" w:hAnsi="Arial" w:cs="Arial"/>
          <w:color w:val="17365D"/>
          <w:sz w:val="22"/>
          <w:szCs w:val="22"/>
        </w:rPr>
      </w:pPr>
      <w:bookmarkStart w:id="435" w:name="_Toc420652605"/>
      <w:r w:rsidRPr="00A30AEC">
        <w:rPr>
          <w:rFonts w:ascii="Arial" w:hAnsi="Arial" w:cs="Arial"/>
          <w:color w:val="17365D"/>
          <w:sz w:val="22"/>
          <w:szCs w:val="22"/>
        </w:rPr>
        <w:t>Improved monitoring project implementation</w:t>
      </w:r>
      <w:bookmarkEnd w:id="435"/>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According to the other ETC programme 2007-2013 analysis, a number of shortcomings in the monitoring and reporting system were noted:</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The lack of a pre-defined reporting system from project partners to their Lead Partners, which sometimes (especially for less experienced Lead Partners) resulted in extended timeframes needed for drafting reports;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The analysis of all outputs (including minor ones) of operations performed by the MA resulted in a high burden for beneficiaries, prolonging the time needed for analysing reports and the subsequent reimbursement;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The indicators used for monitoring progresses of operations, which were difficult to understand and to be interpreted.</w:t>
      </w:r>
    </w:p>
    <w:p w:rsidR="00DF4E40" w:rsidRPr="00304864" w:rsidRDefault="00DF4E40">
      <w:pPr>
        <w:pStyle w:val="Text2"/>
        <w:ind w:left="0"/>
        <w:rPr>
          <w:rFonts w:ascii="Arial" w:hAnsi="Arial" w:cs="Arial"/>
          <w:sz w:val="22"/>
          <w:szCs w:val="22"/>
          <w:lang w:eastAsia="sv-SE"/>
        </w:rPr>
      </w:pPr>
      <w:r w:rsidRPr="00304864">
        <w:rPr>
          <w:rFonts w:ascii="Arial" w:hAnsi="Arial" w:cs="Arial"/>
          <w:sz w:val="22"/>
          <w:szCs w:val="22"/>
          <w:lang w:eastAsia="sv-SE"/>
        </w:rPr>
        <w:t>On the basis of past experience and in light of the fact that the “result-oriented” approach characterising the calls for proposals for an even closer attention to monitoring thematic achievements of operations, the ADRION Programme intends to build a system for monitoring progress of operations with possible improvements through following actions: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To make use of the harmonised progress report (i.e. harmonised implementing tools) template on a web-based system, in order to allow multiple users to the maximum extent;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To focus the analysis of outputs on main outputs of operations, with the analysis of minor outputs (e.g. meeting agendas) to be shifted mainly to national controllers;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To limit the number and complexity of indicators used for reporting on the progress of operations to the maximum extent;</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To organise ad-hoc training for beneficiaries on reporting of operations, control</w:t>
      </w:r>
      <w:r w:rsidRPr="00A30AEC">
        <w:rPr>
          <w:rFonts w:cs="Arial"/>
          <w:lang w:val="en-US"/>
        </w:rPr>
        <w:t xml:space="preserve"> and audit.</w:t>
      </w:r>
    </w:p>
    <w:p w:rsidR="00DF4E40" w:rsidRPr="00304864" w:rsidRDefault="00DF4E40">
      <w:pPr>
        <w:pStyle w:val="Text2"/>
        <w:ind w:left="0"/>
        <w:rPr>
          <w:rFonts w:ascii="Arial" w:hAnsi="Arial" w:cs="Arial"/>
          <w:lang w:eastAsia="sv-SE"/>
        </w:rPr>
      </w:pPr>
      <w:r w:rsidRPr="00304864">
        <w:rPr>
          <w:rFonts w:ascii="Arial" w:hAnsi="Arial" w:cs="Arial"/>
          <w:sz w:val="22"/>
          <w:szCs w:val="22"/>
          <w:lang w:eastAsia="sv-SE"/>
        </w:rPr>
        <w:t>Actions for streamlining the monitoring of progress of operations will be introduced from the very beginning of the programme implementation, possibly at the time of approving operations submitted within the first call for proposals.</w:t>
      </w:r>
    </w:p>
    <w:p w:rsidR="00DF4E40" w:rsidRPr="00304864" w:rsidRDefault="00DF4E40">
      <w:pPr>
        <w:pStyle w:val="Heading1"/>
      </w:pPr>
      <w:r w:rsidRPr="00304864">
        <w:br w:type="page"/>
      </w:r>
      <w:bookmarkStart w:id="436" w:name="_Toc365660175"/>
      <w:bookmarkStart w:id="437" w:name="_Toc366097068"/>
      <w:bookmarkStart w:id="438" w:name="_Toc377402598"/>
      <w:bookmarkStart w:id="439" w:name="_Toc420652606"/>
      <w:bookmarkStart w:id="440" w:name="_Toc421076943"/>
      <w:r w:rsidRPr="00304864">
        <w:t>SECTION 8. Horizontal Principles</w:t>
      </w:r>
      <w:bookmarkEnd w:id="436"/>
      <w:bookmarkEnd w:id="437"/>
      <w:bookmarkEnd w:id="438"/>
      <w:bookmarkEnd w:id="439"/>
      <w:bookmarkEnd w:id="440"/>
    </w:p>
    <w:p w:rsidR="00DF4E40" w:rsidRPr="00A30AEC" w:rsidRDefault="00DF4E40">
      <w:pPr>
        <w:pStyle w:val="Text1"/>
        <w:ind w:left="0"/>
        <w:rPr>
          <w:rFonts w:ascii="Arial" w:hAnsi="Arial" w:cs="Arial"/>
          <w:sz w:val="22"/>
          <w:szCs w:val="22"/>
        </w:rPr>
      </w:pPr>
      <w:r w:rsidRPr="00A30AEC">
        <w:rPr>
          <w:rFonts w:ascii="Arial" w:hAnsi="Arial" w:cs="Arial"/>
          <w:sz w:val="22"/>
          <w:szCs w:val="22"/>
        </w:rPr>
        <w:t>(Reference: Article 8(7) of Regulation (EU) No 1299/2013)</w:t>
      </w:r>
    </w:p>
    <w:p w:rsidR="000F7F77" w:rsidRDefault="000F7F77">
      <w:pPr>
        <w:pStyle w:val="Text1"/>
        <w:ind w:left="0"/>
        <w:rPr>
          <w:rFonts w:ascii="Arial" w:hAnsi="Arial" w:cs="Arial"/>
          <w:i/>
          <w:sz w:val="22"/>
          <w:szCs w:val="22"/>
        </w:rPr>
      </w:pPr>
    </w:p>
    <w:p w:rsidR="000F7F77" w:rsidRPr="00304864" w:rsidRDefault="000F7F77">
      <w:pPr>
        <w:pStyle w:val="Text1"/>
        <w:ind w:left="0"/>
        <w:rPr>
          <w:rFonts w:ascii="Arial" w:hAnsi="Arial" w:cs="Arial"/>
          <w:i/>
          <w:sz w:val="22"/>
          <w:szCs w:val="22"/>
          <w:lang w:eastAsia="sv-SE"/>
        </w:rPr>
      </w:pPr>
    </w:p>
    <w:p w:rsidR="00DF4E40" w:rsidRPr="00304864" w:rsidRDefault="00DF4E40" w:rsidP="00A30AEC">
      <w:pPr>
        <w:pStyle w:val="Heading2"/>
        <w:numPr>
          <w:ilvl w:val="1"/>
          <w:numId w:val="34"/>
        </w:numPr>
        <w:spacing w:after="120"/>
      </w:pPr>
      <w:bookmarkStart w:id="441" w:name="_Toc365660176"/>
      <w:bookmarkStart w:id="442" w:name="_Toc366097069"/>
      <w:bookmarkStart w:id="443" w:name="_Toc377402599"/>
      <w:bookmarkStart w:id="444" w:name="_Toc420652607"/>
      <w:bookmarkStart w:id="445" w:name="_Toc421076944"/>
      <w:r w:rsidRPr="00304864">
        <w:t>Sustainable development</w:t>
      </w:r>
      <w:bookmarkEnd w:id="441"/>
      <w:bookmarkEnd w:id="442"/>
      <w:bookmarkEnd w:id="443"/>
      <w:bookmarkEnd w:id="444"/>
      <w:bookmarkEnd w:id="445"/>
    </w:p>
    <w:p w:rsidR="00DF4E40" w:rsidRPr="00304864" w:rsidRDefault="00DF4E40">
      <w:pPr>
        <w:rPr>
          <w:rFonts w:ascii="Arial" w:hAnsi="Arial" w:cs="Arial"/>
          <w:sz w:val="22"/>
          <w:szCs w:val="22"/>
        </w:rPr>
      </w:pPr>
      <w:r w:rsidRPr="00304864">
        <w:rPr>
          <w:rFonts w:ascii="Arial" w:hAnsi="Arial" w:cs="Arial"/>
          <w:sz w:val="22"/>
          <w:szCs w:val="22"/>
        </w:rPr>
        <w:t>Sustainable development is both recalled in PA2 and integrated as an horizontal principle in the ADRION Programme. It will be respected during the entire programme cycle (programming, implementation, monitoring and evaluation). “</w:t>
      </w:r>
      <w:r w:rsidRPr="00304864">
        <w:rPr>
          <w:rFonts w:ascii="Arial" w:hAnsi="Arial" w:cs="Arial"/>
          <w:i/>
          <w:sz w:val="22"/>
          <w:szCs w:val="22"/>
        </w:rPr>
        <w:t>Development that meets the needs of the present without compromising the ability of future generations to meet their own needs</w:t>
      </w:r>
      <w:r w:rsidRPr="00304864">
        <w:rPr>
          <w:rFonts w:ascii="Arial" w:hAnsi="Arial" w:cs="Arial"/>
          <w:sz w:val="22"/>
          <w:szCs w:val="22"/>
        </w:rPr>
        <w:t xml:space="preserve">” (WCDE, WCED) will be the basic definition that will be used enlarging the point of view from purely environmental to a more wide approach, including social intra and inter generation equity, cultural heritage aspects as well as economic efficiency. The programme activities will be correlated with the UN - Sustainable Development Goals (coming after the Millennium Development Goals in 2015) and a monitoring system will be set up. </w:t>
      </w:r>
    </w:p>
    <w:p w:rsidR="00DF4E40" w:rsidRPr="00304864" w:rsidRDefault="00DF4E40">
      <w:pPr>
        <w:rPr>
          <w:rFonts w:ascii="Arial" w:hAnsi="Arial" w:cs="Arial"/>
          <w:b/>
          <w:sz w:val="22"/>
          <w:szCs w:val="22"/>
        </w:rPr>
      </w:pPr>
      <w:r w:rsidRPr="00304864">
        <w:rPr>
          <w:rFonts w:ascii="Arial" w:hAnsi="Arial" w:cs="Arial"/>
          <w:sz w:val="22"/>
          <w:szCs w:val="22"/>
        </w:rPr>
        <w:t xml:space="preserve">The SEA and the </w:t>
      </w:r>
      <w:r w:rsidR="00AA3E9A" w:rsidRPr="00A30AEC">
        <w:rPr>
          <w:rFonts w:ascii="Arial" w:hAnsi="Arial" w:cs="Arial"/>
          <w:i/>
          <w:sz w:val="22"/>
          <w:szCs w:val="22"/>
        </w:rPr>
        <w:t>e</w:t>
      </w:r>
      <w:r w:rsidRPr="00A30AEC">
        <w:rPr>
          <w:rFonts w:ascii="Arial" w:hAnsi="Arial" w:cs="Arial"/>
          <w:i/>
          <w:sz w:val="22"/>
          <w:szCs w:val="22"/>
        </w:rPr>
        <w:t>x-ante</w:t>
      </w:r>
      <w:r w:rsidRPr="00304864">
        <w:rPr>
          <w:rFonts w:ascii="Arial" w:hAnsi="Arial" w:cs="Arial"/>
          <w:sz w:val="22"/>
          <w:szCs w:val="22"/>
        </w:rPr>
        <w:t xml:space="preserve"> evaluation provided inputs to ensure that the ADRION Programme respect the principle of sustainable development. The </w:t>
      </w:r>
      <w:r w:rsidR="000C7309">
        <w:rPr>
          <w:rFonts w:ascii="Arial" w:hAnsi="Arial" w:cs="Arial"/>
          <w:sz w:val="22"/>
          <w:szCs w:val="22"/>
        </w:rPr>
        <w:t>P</w:t>
      </w:r>
      <w:r w:rsidRPr="00304864">
        <w:rPr>
          <w:rFonts w:ascii="Arial" w:hAnsi="Arial" w:cs="Arial"/>
          <w:sz w:val="22"/>
          <w:szCs w:val="22"/>
        </w:rPr>
        <w:t>rogramme aims at improving and harmonising environmental protection requirements, resource efficiency, climate change mitigation and adaptation, disaster resilience and risk prevention and management systems across the partner’s countries. The fight against the consequences of climate change, the reduction of the impact of human activities on the environment and the protection of ecosystems and biodiversity are supported by IPs 6.c and 6.d.</w:t>
      </w:r>
    </w:p>
    <w:p w:rsidR="00DF4E40" w:rsidRPr="00304864" w:rsidRDefault="00DF4E40">
      <w:pPr>
        <w:rPr>
          <w:rFonts w:ascii="Arial" w:hAnsi="Arial" w:cs="Arial"/>
          <w:sz w:val="22"/>
          <w:szCs w:val="22"/>
        </w:rPr>
      </w:pPr>
      <w:r w:rsidRPr="00304864">
        <w:rPr>
          <w:rFonts w:ascii="Arial" w:hAnsi="Arial" w:cs="Arial"/>
          <w:sz w:val="22"/>
          <w:szCs w:val="22"/>
        </w:rPr>
        <w:t xml:space="preserve">Furthermore, in a transversal way, beneficiaries are asked to promote eco-innovations aiming to make a more sustainable use of natural resources under all PAs. More precisely, beneficiaries are requested to describe in their project proposals the efforts they will undertake to reduce the project’s ‘carbon footprint’. The </w:t>
      </w:r>
      <w:r w:rsidR="000C7309">
        <w:rPr>
          <w:rFonts w:ascii="Arial" w:hAnsi="Arial" w:cs="Arial"/>
          <w:sz w:val="22"/>
          <w:szCs w:val="22"/>
        </w:rPr>
        <w:t>P</w:t>
      </w:r>
      <w:r w:rsidRPr="00304864">
        <w:rPr>
          <w:rFonts w:ascii="Arial" w:hAnsi="Arial" w:cs="Arial"/>
          <w:sz w:val="22"/>
          <w:szCs w:val="22"/>
        </w:rPr>
        <w:t>rogramme bodies (MC, MA, JS, NCPs) will also address this issue in relation to the implementation of their tasks.</w:t>
      </w:r>
    </w:p>
    <w:p w:rsidR="00DF4E40" w:rsidRPr="00304864" w:rsidRDefault="00DF4E40">
      <w:pPr>
        <w:rPr>
          <w:rFonts w:ascii="Arial" w:hAnsi="Arial" w:cs="Arial"/>
          <w:sz w:val="22"/>
          <w:szCs w:val="22"/>
        </w:rPr>
      </w:pPr>
      <w:r w:rsidRPr="00304864">
        <w:rPr>
          <w:rFonts w:ascii="Arial" w:hAnsi="Arial" w:cs="Arial"/>
          <w:sz w:val="22"/>
          <w:szCs w:val="22"/>
        </w:rPr>
        <w:t xml:space="preserve">In line with the principle of sustainable development, projects applications shall be evaluated using the following criteria: </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Projects which have a positive effect on the environment or which conserve, enhance or rehabilitate existing endowments will be preferred to those that are neutral from this perspective;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Projects that have a potentially harmful effect on the environment will be excluded;</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Actions designed to raise environmental awareness and compliance both within the economic and administrative sectors, and among the general public, including acknowledgement that a high level of environmental performance can provide a long term competitive advantage will be supported.</w:t>
      </w:r>
    </w:p>
    <w:p w:rsidR="00DF4E40" w:rsidRPr="00304864" w:rsidRDefault="00DF4E40">
      <w:pPr>
        <w:rPr>
          <w:rFonts w:ascii="Arial" w:hAnsi="Arial" w:cs="Arial"/>
          <w:sz w:val="22"/>
          <w:szCs w:val="22"/>
        </w:rPr>
      </w:pPr>
      <w:r w:rsidRPr="00304864">
        <w:rPr>
          <w:rFonts w:ascii="Arial" w:hAnsi="Arial" w:cs="Arial"/>
          <w:sz w:val="22"/>
          <w:szCs w:val="22"/>
        </w:rPr>
        <w:t>As a guidance for the project evaluation process, the following aspects will be considered:</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Contribution to efficiency in the use of resources (e.g. energy efficiency, renewable energy use, reduction of greenhouse gas (GHG) emissions, efficient water supply, waste-water treatment and water reuse, sustainable land use, waste management and recycling, reduction of PM and NO2, etc.). </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Contribution to the development of green infrastructures;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Contribution to sustainable integrated urban and regional development;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Contribution to better awareness for the adaptation to climate change and risk prevention;</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Promotion of employment opportunities, education, training and support services in the context of environment protection and sustainable development.</w:t>
      </w:r>
    </w:p>
    <w:p w:rsidR="004841FF" w:rsidRDefault="004841FF">
      <w:pPr>
        <w:rPr>
          <w:rFonts w:ascii="Arial" w:hAnsi="Arial" w:cs="Arial"/>
          <w:sz w:val="22"/>
          <w:szCs w:val="22"/>
        </w:rPr>
      </w:pPr>
    </w:p>
    <w:p w:rsidR="004841FF" w:rsidRPr="004841FF" w:rsidRDefault="004841FF">
      <w:pPr>
        <w:rPr>
          <w:rFonts w:ascii="Arial" w:hAnsi="Arial" w:cs="Arial"/>
          <w:sz w:val="22"/>
          <w:szCs w:val="22"/>
        </w:rPr>
      </w:pPr>
      <w:r w:rsidRPr="008F7B62">
        <w:rPr>
          <w:rFonts w:ascii="Arial" w:hAnsi="Arial" w:cs="Arial"/>
          <w:sz w:val="22"/>
          <w:szCs w:val="22"/>
          <w:lang w:val="en-US"/>
        </w:rPr>
        <w:t>The application form shall include a self-assessment tool to assess the environmental impacts of the projects along their selection process. Projects with significant negative environmental impact can be excluded from further assessment. The identified environmental topics shall be subject to monitoring having regard to the specificities and goals o</w:t>
      </w:r>
      <w:r>
        <w:rPr>
          <w:rFonts w:ascii="Arial" w:hAnsi="Arial" w:cs="Arial"/>
          <w:sz w:val="22"/>
          <w:szCs w:val="22"/>
          <w:lang w:val="en-US"/>
        </w:rPr>
        <w:t>f the transnational cooperation.</w:t>
      </w:r>
    </w:p>
    <w:p w:rsidR="00DF4E40" w:rsidRPr="00304864" w:rsidRDefault="00DF4E40">
      <w:pPr>
        <w:rPr>
          <w:rFonts w:ascii="Arial" w:hAnsi="Arial" w:cs="Arial"/>
          <w:sz w:val="22"/>
          <w:szCs w:val="22"/>
        </w:rPr>
      </w:pPr>
      <w:r w:rsidRPr="00304864">
        <w:rPr>
          <w:rFonts w:ascii="Arial" w:hAnsi="Arial" w:cs="Arial"/>
          <w:sz w:val="22"/>
          <w:szCs w:val="22"/>
        </w:rPr>
        <w:t>Whether projects are directly concerned by sustainable development issues or not, they shall be invited to implement actions/take specific measures to reduce the environmental impact. This can include, for example: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Use of video conferencing to reduce travelling;</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Publications on FLC certified paper;</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Use of “green public procurement” procedures and innovative public procurement where appropriate;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Use of short supply chains in the implementation of projects activities;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Raising awareness of partners, beneficiaries and target groups on sustainability issues;</w:t>
      </w: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 xml:space="preserve">Promotion of activities </w:t>
      </w:r>
      <w:r w:rsidRPr="00A30AEC">
        <w:rPr>
          <w:rFonts w:cs="Arial"/>
          <w:lang w:val="en-US"/>
        </w:rPr>
        <w:t>with limited use of energy and natural resources.</w:t>
      </w:r>
    </w:p>
    <w:p w:rsidR="00DF4E40" w:rsidRPr="00304864" w:rsidRDefault="00DF4E40">
      <w:pPr>
        <w:rPr>
          <w:rFonts w:ascii="Arial" w:hAnsi="Arial" w:cs="Arial"/>
          <w:sz w:val="22"/>
          <w:szCs w:val="22"/>
        </w:rPr>
      </w:pPr>
      <w:r w:rsidRPr="00304864">
        <w:rPr>
          <w:rFonts w:ascii="Arial" w:hAnsi="Arial" w:cs="Arial"/>
          <w:sz w:val="22"/>
          <w:szCs w:val="22"/>
        </w:rPr>
        <w:t>Similar techniques shall also be taken into account at programme level for managing and monitoring activities.</w:t>
      </w:r>
    </w:p>
    <w:p w:rsidR="00DF4E40" w:rsidRPr="00304864" w:rsidRDefault="00DF4E40">
      <w:pPr>
        <w:rPr>
          <w:rFonts w:ascii="Arial" w:hAnsi="Arial" w:cs="Arial"/>
          <w:sz w:val="22"/>
          <w:szCs w:val="22"/>
        </w:rPr>
      </w:pPr>
      <w:r w:rsidRPr="00304864">
        <w:rPr>
          <w:rFonts w:ascii="Arial" w:hAnsi="Arial" w:cs="Arial"/>
          <w:sz w:val="22"/>
          <w:szCs w:val="22"/>
        </w:rPr>
        <w:t xml:space="preserve">Furthermore, measures related to simplification and reduction of administrative constraints mentioned in part 7.2 of the cooperation programme are likely to lessen the environmental impact of the programme through the use of electronic communication and the reduction of paper consumption. </w:t>
      </w:r>
    </w:p>
    <w:p w:rsidR="00DF4E40" w:rsidRPr="00304864" w:rsidRDefault="00DF4E40">
      <w:pPr>
        <w:pStyle w:val="Text2"/>
        <w:ind w:left="0"/>
        <w:rPr>
          <w:rFonts w:ascii="Arial" w:hAnsi="Arial" w:cs="Arial"/>
          <w:sz w:val="22"/>
          <w:szCs w:val="22"/>
        </w:rPr>
      </w:pPr>
      <w:r w:rsidRPr="00304864">
        <w:rPr>
          <w:rFonts w:ascii="Arial" w:hAnsi="Arial" w:cs="Arial"/>
          <w:sz w:val="22"/>
          <w:szCs w:val="22"/>
        </w:rPr>
        <w:t>More detailed guidelines on how to interpret the main principles outlined in the CP may be provided in the Terms of Reference of each call for proposals.</w:t>
      </w:r>
    </w:p>
    <w:p w:rsidR="00DF4E40" w:rsidRPr="00304864" w:rsidRDefault="00DF4E40">
      <w:pPr>
        <w:pStyle w:val="Text2"/>
        <w:ind w:left="0"/>
        <w:rPr>
          <w:rFonts w:ascii="Arial" w:hAnsi="Arial" w:cs="Arial"/>
          <w:sz w:val="22"/>
          <w:szCs w:val="22"/>
        </w:rPr>
      </w:pPr>
    </w:p>
    <w:p w:rsidR="00DF4E40" w:rsidRPr="00304864" w:rsidRDefault="00DF4E40">
      <w:pPr>
        <w:pStyle w:val="Text2"/>
        <w:ind w:left="0"/>
        <w:rPr>
          <w:rFonts w:ascii="Arial" w:hAnsi="Arial" w:cs="Arial"/>
          <w:lang w:eastAsia="sv-SE"/>
        </w:rPr>
      </w:pPr>
    </w:p>
    <w:p w:rsidR="00DF4E40" w:rsidRPr="00304864" w:rsidRDefault="00DF4E40" w:rsidP="00A30AEC">
      <w:pPr>
        <w:pStyle w:val="Heading2"/>
        <w:numPr>
          <w:ilvl w:val="1"/>
          <w:numId w:val="35"/>
        </w:numPr>
        <w:spacing w:after="120"/>
      </w:pPr>
      <w:bookmarkStart w:id="446" w:name="_Toc365660178"/>
      <w:bookmarkStart w:id="447" w:name="_Toc366097070"/>
      <w:bookmarkStart w:id="448" w:name="_Toc377402600"/>
      <w:bookmarkStart w:id="449" w:name="_Toc420652608"/>
      <w:bookmarkStart w:id="450" w:name="_Toc421076945"/>
      <w:r w:rsidRPr="00304864">
        <w:t>Equal opportunities and non-discrimination</w:t>
      </w:r>
      <w:bookmarkEnd w:id="446"/>
      <w:bookmarkEnd w:id="447"/>
      <w:bookmarkEnd w:id="448"/>
      <w:bookmarkEnd w:id="449"/>
      <w:bookmarkEnd w:id="450"/>
    </w:p>
    <w:p w:rsidR="00DF4E40" w:rsidRPr="00304864" w:rsidRDefault="00DF4E40">
      <w:pPr>
        <w:rPr>
          <w:rFonts w:ascii="Arial" w:hAnsi="Arial" w:cs="Arial"/>
          <w:sz w:val="22"/>
          <w:szCs w:val="22"/>
        </w:rPr>
      </w:pPr>
      <w:r w:rsidRPr="00304864">
        <w:rPr>
          <w:rFonts w:ascii="Arial" w:hAnsi="Arial" w:cs="Arial"/>
          <w:sz w:val="22"/>
          <w:szCs w:val="22"/>
        </w:rPr>
        <w:t>Non-discrimination covers not only women (and men) but any discrimination based on racial or ethnic origin, religion or belief, disability, age or sexual orientation. While anti-discrimination legislation is an acquired aspect of EU legal systems, the practical implementation of anti-discrimination practices is lagging behind. Equal access to information and controls on whether equality and non-discrimination requirements are being met is also an issue.</w:t>
      </w:r>
    </w:p>
    <w:p w:rsidR="00DF4E40" w:rsidRPr="00304864" w:rsidRDefault="00DF4E40">
      <w:pPr>
        <w:rPr>
          <w:rFonts w:ascii="Arial" w:hAnsi="Arial" w:cs="Arial"/>
          <w:sz w:val="22"/>
          <w:szCs w:val="22"/>
        </w:rPr>
      </w:pPr>
      <w:r w:rsidRPr="00304864">
        <w:rPr>
          <w:rFonts w:ascii="Arial" w:hAnsi="Arial" w:cs="Arial"/>
          <w:sz w:val="22"/>
          <w:szCs w:val="22"/>
        </w:rPr>
        <w:t xml:space="preserve">The strategy of the Programme puts emphasis in the sharing of knowledge, good practices and the principle of equal access to information. This includes targeting different social groups adequately; removing obstacles in the communication of the Programme (e.g. media, language etc.), promoting barrier-free approaches etc. </w:t>
      </w:r>
    </w:p>
    <w:p w:rsidR="00DF4E40" w:rsidRPr="00304864" w:rsidRDefault="00DF4E40">
      <w:pPr>
        <w:rPr>
          <w:rFonts w:ascii="Arial" w:hAnsi="Arial" w:cs="Arial"/>
          <w:sz w:val="22"/>
          <w:szCs w:val="22"/>
        </w:rPr>
      </w:pPr>
      <w:r w:rsidRPr="00304864">
        <w:rPr>
          <w:rFonts w:ascii="Arial" w:hAnsi="Arial" w:cs="Arial"/>
          <w:sz w:val="22"/>
          <w:szCs w:val="22"/>
        </w:rPr>
        <w:t>This strategic orientation of the Programme will be enhanced by a targeted selection of operations. When examining proposals the following “guiding question</w:t>
      </w:r>
      <w:r w:rsidR="00AA3E9A">
        <w:rPr>
          <w:rFonts w:ascii="Arial" w:hAnsi="Arial" w:cs="Arial"/>
          <w:sz w:val="22"/>
          <w:szCs w:val="22"/>
        </w:rPr>
        <w:t>”</w:t>
      </w:r>
      <w:r w:rsidRPr="00304864">
        <w:rPr>
          <w:rFonts w:ascii="Arial" w:hAnsi="Arial" w:cs="Arial"/>
          <w:sz w:val="22"/>
          <w:szCs w:val="22"/>
        </w:rPr>
        <w:t xml:space="preserve"> – where appropriate – should be assessed: </w:t>
      </w:r>
      <w:r w:rsidRPr="00A30AEC">
        <w:rPr>
          <w:rFonts w:ascii="Arial" w:hAnsi="Arial" w:cs="Arial"/>
          <w:i/>
          <w:sz w:val="22"/>
          <w:szCs w:val="22"/>
        </w:rPr>
        <w:t>Is the operation contributing to the promotion of equal opportunities and non-discrimination?</w:t>
      </w:r>
      <w:r w:rsidRPr="00304864">
        <w:rPr>
          <w:rFonts w:ascii="Arial" w:hAnsi="Arial" w:cs="Arial"/>
          <w:sz w:val="22"/>
          <w:szCs w:val="22"/>
        </w:rPr>
        <w:t xml:space="preserve"> Attention will be given to equal opportunities and non-discrimination through the inclusion of relevant indicators related to the profile of persons involved in projects, e.g. on gender, ethnic origin, age, occupation and education level, disabilities, etc.</w:t>
      </w:r>
    </w:p>
    <w:p w:rsidR="00DF4E40" w:rsidRPr="00304864" w:rsidRDefault="00DF4E40">
      <w:pPr>
        <w:rPr>
          <w:rFonts w:ascii="Arial" w:hAnsi="Arial" w:cs="Arial"/>
          <w:sz w:val="22"/>
          <w:szCs w:val="22"/>
        </w:rPr>
      </w:pPr>
      <w:r w:rsidRPr="00304864">
        <w:rPr>
          <w:rFonts w:ascii="Arial" w:hAnsi="Arial" w:cs="Arial"/>
          <w:sz w:val="22"/>
          <w:szCs w:val="22"/>
        </w:rPr>
        <w:t>While there will be no penalty for the projects not actively promoting non-discrimination and equal opportunities, their operations will be analysed on the basis of the monitoring findings and the identification of the obstacles met.</w:t>
      </w:r>
    </w:p>
    <w:p w:rsidR="00DF4E40" w:rsidRPr="00304864" w:rsidRDefault="00DF4E40">
      <w:pPr>
        <w:rPr>
          <w:rFonts w:ascii="Arial" w:hAnsi="Arial" w:cs="Arial"/>
          <w:sz w:val="22"/>
          <w:szCs w:val="22"/>
        </w:rPr>
      </w:pPr>
      <w:r w:rsidRPr="00304864">
        <w:rPr>
          <w:rFonts w:ascii="Arial" w:hAnsi="Arial" w:cs="Arial"/>
          <w:sz w:val="22"/>
          <w:szCs w:val="22"/>
        </w:rPr>
        <w:t xml:space="preserve">This strategic orientation of the ADRION </w:t>
      </w:r>
      <w:r w:rsidR="00AA3E9A">
        <w:rPr>
          <w:rFonts w:ascii="Arial" w:hAnsi="Arial" w:cs="Arial"/>
          <w:sz w:val="22"/>
          <w:szCs w:val="22"/>
        </w:rPr>
        <w:t>P</w:t>
      </w:r>
      <w:r w:rsidRPr="00304864">
        <w:rPr>
          <w:rFonts w:ascii="Arial" w:hAnsi="Arial" w:cs="Arial"/>
          <w:sz w:val="22"/>
          <w:szCs w:val="22"/>
        </w:rPr>
        <w:t>rogramme can be enhanced by a targeted selection of operations. When examining proposals the following “guiding question – where appropriate – should be assessed: Is the operation contributing to the promotion of equal opportunities and non-discrimination?</w:t>
      </w:r>
    </w:p>
    <w:p w:rsidR="00DF4E40" w:rsidRPr="00304864" w:rsidRDefault="00DF4E40">
      <w:pPr>
        <w:rPr>
          <w:rFonts w:ascii="Arial" w:hAnsi="Arial" w:cs="Arial"/>
          <w:sz w:val="22"/>
          <w:szCs w:val="22"/>
        </w:rPr>
      </w:pPr>
      <w:r w:rsidRPr="00304864">
        <w:rPr>
          <w:rFonts w:ascii="Arial" w:hAnsi="Arial" w:cs="Arial"/>
          <w:sz w:val="22"/>
          <w:szCs w:val="22"/>
        </w:rPr>
        <w:t>The assessment of the quality of the eligible project proposals will be based on a set of quality criteria which shall be common to all P</w:t>
      </w:r>
      <w:r w:rsidR="004A0CC2">
        <w:rPr>
          <w:rFonts w:ascii="Arial" w:hAnsi="Arial" w:cs="Arial"/>
          <w:sz w:val="22"/>
          <w:szCs w:val="22"/>
        </w:rPr>
        <w:t>As</w:t>
      </w:r>
      <w:r w:rsidRPr="00304864">
        <w:rPr>
          <w:rFonts w:ascii="Arial" w:hAnsi="Arial" w:cs="Arial"/>
          <w:sz w:val="22"/>
          <w:szCs w:val="22"/>
        </w:rPr>
        <w:t xml:space="preserve"> and I</w:t>
      </w:r>
      <w:r w:rsidR="000C7309">
        <w:rPr>
          <w:rFonts w:ascii="Arial" w:hAnsi="Arial" w:cs="Arial"/>
          <w:sz w:val="22"/>
          <w:szCs w:val="22"/>
        </w:rPr>
        <w:t>P</w:t>
      </w:r>
      <w:r w:rsidRPr="00304864">
        <w:rPr>
          <w:rFonts w:ascii="Arial" w:hAnsi="Arial" w:cs="Arial"/>
          <w:sz w:val="22"/>
          <w:szCs w:val="22"/>
        </w:rPr>
        <w:t>. As a guide for the assessors, the following indicative aspects could be considered in project selection:</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Consideration of the different needs and intended and unintended impact of the project on different groups (e.g. people with disabilities, minorities and migrants, people of different religious beliefs and people of different sexual orientation etc.);</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Consideration of equal opportunities and non-discrimination in project implementation, e.g. concerning the establishment of an equal opportunities action plan, definition of equal opportunity targets, provision of equal opportunities training or diversity management courses, provision of supporting services;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Provisions for an equal access to the operation’s outputs and benefits for all members of the society.</w:t>
      </w:r>
    </w:p>
    <w:p w:rsidR="00DF4E40" w:rsidRPr="00304864" w:rsidRDefault="00DF4E40">
      <w:pPr>
        <w:pStyle w:val="Text2"/>
        <w:ind w:left="0"/>
        <w:rPr>
          <w:rFonts w:ascii="Arial" w:hAnsi="Arial" w:cs="Arial"/>
          <w:sz w:val="22"/>
          <w:szCs w:val="22"/>
        </w:rPr>
      </w:pPr>
    </w:p>
    <w:p w:rsidR="00DF4E40" w:rsidRPr="00304864" w:rsidRDefault="00DF4E40">
      <w:pPr>
        <w:pStyle w:val="Text2"/>
        <w:ind w:left="0"/>
        <w:rPr>
          <w:rFonts w:ascii="Arial" w:hAnsi="Arial" w:cs="Arial"/>
          <w:lang w:eastAsia="sv-SE"/>
        </w:rPr>
      </w:pPr>
    </w:p>
    <w:p w:rsidR="00DF4E40" w:rsidRPr="00304864" w:rsidRDefault="00DF4E40" w:rsidP="00A30AEC">
      <w:pPr>
        <w:pStyle w:val="Heading2"/>
        <w:numPr>
          <w:ilvl w:val="1"/>
          <w:numId w:val="39"/>
        </w:numPr>
        <w:spacing w:after="120"/>
      </w:pPr>
      <w:bookmarkStart w:id="451" w:name="_Toc365660183"/>
      <w:bookmarkStart w:id="452" w:name="_Toc366097071"/>
      <w:bookmarkStart w:id="453" w:name="_Toc377402601"/>
      <w:bookmarkStart w:id="454" w:name="_Toc420652609"/>
      <w:bookmarkStart w:id="455" w:name="_Toc421076946"/>
      <w:r w:rsidRPr="00304864">
        <w:t>Equality between men and women</w:t>
      </w:r>
      <w:bookmarkEnd w:id="451"/>
      <w:bookmarkEnd w:id="452"/>
      <w:bookmarkEnd w:id="453"/>
      <w:bookmarkEnd w:id="454"/>
      <w:bookmarkEnd w:id="455"/>
    </w:p>
    <w:p w:rsidR="00DF4E40" w:rsidRPr="00304864" w:rsidRDefault="00DF4E40">
      <w:pPr>
        <w:rPr>
          <w:rFonts w:ascii="Arial" w:hAnsi="Arial" w:cs="Arial"/>
          <w:sz w:val="22"/>
          <w:szCs w:val="22"/>
        </w:rPr>
      </w:pPr>
      <w:bookmarkStart w:id="456" w:name="_Toc365660188"/>
      <w:bookmarkStart w:id="457" w:name="_Toc366097072"/>
      <w:bookmarkStart w:id="458" w:name="_Toc377402602"/>
      <w:r w:rsidRPr="00304864">
        <w:rPr>
          <w:rFonts w:ascii="Arial" w:hAnsi="Arial" w:cs="Arial"/>
          <w:sz w:val="22"/>
          <w:szCs w:val="22"/>
        </w:rPr>
        <w:t>The aim of equality between women and men is one of the fundamental values of the European Union and is set out in the Treaty of the European Union (Article 8, Consolidated Version of the Treaty on the functioning of the European Union, Official Journal of the European Union C 83/49 of 30.3.2010). These fundamental values must be respected in the regulations and implementation of the programme as indicated by the need to “</w:t>
      </w:r>
      <w:r w:rsidRPr="00304864">
        <w:rPr>
          <w:rFonts w:ascii="Arial" w:hAnsi="Arial" w:cs="Arial"/>
          <w:i/>
          <w:sz w:val="22"/>
          <w:szCs w:val="22"/>
        </w:rPr>
        <w:t>ensure that equality between men and women and [that] the integration of gender perspective is promoted in the preparation and implementation of programmes</w:t>
      </w:r>
      <w:r w:rsidRPr="00304864">
        <w:rPr>
          <w:rFonts w:ascii="Arial" w:hAnsi="Arial" w:cs="Arial"/>
          <w:sz w:val="22"/>
          <w:szCs w:val="22"/>
        </w:rPr>
        <w:t xml:space="preserve">” and that the </w:t>
      </w:r>
      <w:r w:rsidRPr="00304864">
        <w:rPr>
          <w:rFonts w:ascii="Arial" w:hAnsi="Arial" w:cs="Arial"/>
          <w:i/>
          <w:sz w:val="22"/>
          <w:szCs w:val="22"/>
        </w:rPr>
        <w:t>“...appropriate steps [will be taken] to prevent any discrimination based on sex, racial or ethnic origin, religion or belief, disability, age or sexual orientation during the preparation and implementation of programmes</w:t>
      </w:r>
      <w:r w:rsidRPr="00304864">
        <w:rPr>
          <w:rFonts w:ascii="Arial" w:hAnsi="Arial" w:cs="Arial"/>
          <w:sz w:val="22"/>
          <w:szCs w:val="22"/>
        </w:rPr>
        <w:t>” (Article 7,</w:t>
      </w:r>
      <w:r w:rsidRPr="00304864">
        <w:rPr>
          <w:rFonts w:ascii="Arial" w:hAnsi="Arial" w:cs="Arial"/>
          <w:sz w:val="22"/>
          <w:szCs w:val="22"/>
          <w:lang w:eastAsia="sv-SE"/>
        </w:rPr>
        <w:t xml:space="preserve"> the Regulation (EU) No 1303/2013</w:t>
      </w:r>
      <w:r w:rsidRPr="00304864">
        <w:rPr>
          <w:rFonts w:ascii="Arial" w:hAnsi="Arial" w:cs="Arial"/>
          <w:sz w:val="22"/>
          <w:szCs w:val="22"/>
        </w:rPr>
        <w:t>, COM(2011) 615 final/2, Brussels, 14.3.2012, p. 34).</w:t>
      </w:r>
    </w:p>
    <w:p w:rsidR="00DF4E40" w:rsidRPr="00304864" w:rsidRDefault="00DF4E40">
      <w:pPr>
        <w:rPr>
          <w:rFonts w:ascii="Arial" w:hAnsi="Arial" w:cs="Arial"/>
          <w:sz w:val="22"/>
          <w:szCs w:val="22"/>
        </w:rPr>
      </w:pPr>
      <w:r w:rsidRPr="00304864">
        <w:rPr>
          <w:rFonts w:ascii="Arial" w:hAnsi="Arial" w:cs="Arial"/>
          <w:sz w:val="22"/>
          <w:szCs w:val="22"/>
        </w:rPr>
        <w:t xml:space="preserve">Attention shall be placed on basic gender-sensitive monitoring e.g.: </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Counting the number of women and men participating in projects;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Assessing the number of women and men benefiting from funding;</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Assessing how much support and for which projects women and men receive funding (broken down by types of project/IP).</w:t>
      </w:r>
    </w:p>
    <w:p w:rsidR="00DF4E40" w:rsidRPr="00E30729" w:rsidRDefault="00DF4E40">
      <w:pPr>
        <w:pStyle w:val="mStandard"/>
        <w:spacing w:before="0" w:after="120" w:line="240" w:lineRule="auto"/>
        <w:rPr>
          <w:rFonts w:cs="Arial"/>
          <w:lang w:val="en-GB" w:eastAsia="en-US"/>
        </w:rPr>
      </w:pPr>
      <w:r w:rsidRPr="003E2F90">
        <w:rPr>
          <w:rFonts w:cs="Arial"/>
          <w:lang w:val="en-GB" w:eastAsia="en-US"/>
        </w:rPr>
        <w:t>The assessment of the quality of t</w:t>
      </w:r>
      <w:r w:rsidRPr="009956A4">
        <w:rPr>
          <w:rFonts w:cs="Arial"/>
          <w:lang w:val="en-GB" w:eastAsia="en-US"/>
        </w:rPr>
        <w:t xml:space="preserve">he eligible project proposals will be based on a set of quality criteria which shall be common to all TOs and IPs. As a guide for the assessors, the </w:t>
      </w:r>
      <w:r w:rsidRPr="00B74FFA">
        <w:rPr>
          <w:rFonts w:cs="Arial"/>
          <w:lang w:val="en-GB" w:eastAsia="en-US"/>
        </w:rPr>
        <w:t>following indicative gender-mainstreaming aspects could be considered in project selection:</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Consideration of the different starting positions of the target groups (existence and extent of differences between women and men and the implications of these differences for the specific policy area etc.) and intended and unintended impact of the operation on those groups;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Assessment of how and why differences and inequalities are relevant to the proposed intervention, identifying where there are opportunities to narrow these inequalities.</w:t>
      </w:r>
    </w:p>
    <w:p w:rsidR="00DF4E40" w:rsidRPr="00304864" w:rsidRDefault="00DF4E40">
      <w:pPr>
        <w:pStyle w:val="maufzhlung"/>
        <w:spacing w:before="0" w:after="120" w:line="240" w:lineRule="auto"/>
        <w:ind w:firstLine="0"/>
        <w:rPr>
          <w:rFonts w:cs="Arial"/>
          <w:sz w:val="22"/>
          <w:szCs w:val="22"/>
          <w:lang w:eastAsia="en-US"/>
        </w:rPr>
      </w:pPr>
    </w:p>
    <w:p w:rsidR="00DF4E40" w:rsidRPr="00304864" w:rsidRDefault="00834D1D">
      <w:pPr>
        <w:jc w:val="left"/>
        <w:rPr>
          <w:rFonts w:ascii="Arial" w:hAnsi="Arial" w:cs="Arial"/>
          <w:b/>
          <w:bCs/>
          <w:smallCaps/>
          <w:color w:val="17365D"/>
          <w:sz w:val="22"/>
          <w:szCs w:val="22"/>
          <w:lang w:eastAsia="sv-SE"/>
        </w:rPr>
      </w:pPr>
      <w:r>
        <w:rPr>
          <w:rFonts w:ascii="Arial" w:hAnsi="Arial" w:cs="Arial"/>
          <w:sz w:val="22"/>
          <w:szCs w:val="22"/>
        </w:rPr>
        <w:br w:type="page"/>
      </w:r>
    </w:p>
    <w:p w:rsidR="00DF4E40" w:rsidRPr="00304864" w:rsidRDefault="00DF4E40">
      <w:pPr>
        <w:pStyle w:val="Heading1"/>
      </w:pPr>
      <w:bookmarkStart w:id="459" w:name="_Toc420652610"/>
      <w:bookmarkStart w:id="460" w:name="_Toc421076947"/>
      <w:r w:rsidRPr="00304864">
        <w:t>SECTION 9. Separate elements</w:t>
      </w:r>
      <w:bookmarkEnd w:id="456"/>
      <w:bookmarkEnd w:id="457"/>
      <w:bookmarkEnd w:id="458"/>
      <w:bookmarkEnd w:id="459"/>
      <w:bookmarkEnd w:id="460"/>
    </w:p>
    <w:p w:rsidR="00DF4E40" w:rsidRPr="00304864" w:rsidRDefault="00DF4E40" w:rsidP="00A30AEC">
      <w:pPr>
        <w:pStyle w:val="Heading2"/>
        <w:spacing w:after="120"/>
      </w:pPr>
      <w:bookmarkStart w:id="461" w:name="_Toc365660189"/>
      <w:bookmarkStart w:id="462" w:name="_Toc366097073"/>
      <w:bookmarkStart w:id="463" w:name="_Toc377402603"/>
      <w:bookmarkStart w:id="464" w:name="_Toc420652611"/>
      <w:bookmarkStart w:id="465" w:name="_Toc421076948"/>
      <w:r w:rsidRPr="00304864">
        <w:t>9.1</w:t>
      </w:r>
      <w:r w:rsidRPr="00304864">
        <w:tab/>
        <w:t>Major projects to be implemented during the programming period</w:t>
      </w:r>
      <w:bookmarkEnd w:id="461"/>
      <w:bookmarkEnd w:id="462"/>
      <w:bookmarkEnd w:id="463"/>
      <w:bookmarkEnd w:id="464"/>
      <w:bookmarkEnd w:id="465"/>
    </w:p>
    <w:p w:rsidR="00DF4E40" w:rsidRPr="00A30AEC" w:rsidRDefault="00DF4E40">
      <w:pPr>
        <w:pStyle w:val="Text2"/>
        <w:ind w:left="0"/>
        <w:rPr>
          <w:rFonts w:ascii="Arial" w:hAnsi="Arial" w:cs="Arial"/>
          <w:sz w:val="22"/>
          <w:szCs w:val="22"/>
          <w:lang w:eastAsia="sv-SE"/>
        </w:rPr>
      </w:pPr>
      <w:r w:rsidRPr="00A30AEC">
        <w:rPr>
          <w:rFonts w:ascii="Arial" w:hAnsi="Arial" w:cs="Arial"/>
          <w:sz w:val="22"/>
          <w:szCs w:val="22"/>
        </w:rPr>
        <w:t>(Reference: point (e) of Article 8(2) of Regulation (EU) No 1299/2013)</w:t>
      </w:r>
    </w:p>
    <w:p w:rsidR="00DF4E40" w:rsidRPr="002163F3" w:rsidRDefault="00DF4E40">
      <w:pPr>
        <w:pStyle w:val="Text1"/>
        <w:ind w:left="0"/>
        <w:rPr>
          <w:rFonts w:ascii="Arial" w:hAnsi="Arial" w:cs="Arial"/>
          <w:i/>
          <w:sz w:val="22"/>
          <w:szCs w:val="22"/>
        </w:rPr>
      </w:pPr>
      <w:r w:rsidRPr="002163F3">
        <w:rPr>
          <w:rFonts w:ascii="Arial" w:hAnsi="Arial" w:cs="Arial"/>
          <w:i/>
          <w:sz w:val="22"/>
          <w:szCs w:val="22"/>
        </w:rPr>
        <w:t xml:space="preserve">Not </w:t>
      </w:r>
      <w:r w:rsidR="000F7F77" w:rsidRPr="002163F3">
        <w:rPr>
          <w:rFonts w:ascii="Arial" w:hAnsi="Arial" w:cs="Arial"/>
          <w:i/>
          <w:sz w:val="22"/>
          <w:szCs w:val="22"/>
        </w:rPr>
        <w:t xml:space="preserve">applicable </w:t>
      </w:r>
    </w:p>
    <w:p w:rsidR="00DF4E40" w:rsidRPr="00304864" w:rsidRDefault="00DF4E40">
      <w:pPr>
        <w:pStyle w:val="Text1"/>
        <w:ind w:left="0"/>
        <w:rPr>
          <w:rFonts w:ascii="Arial" w:hAnsi="Arial" w:cs="Arial"/>
          <w:i/>
          <w:sz w:val="22"/>
          <w:szCs w:val="22"/>
        </w:rPr>
      </w:pPr>
    </w:p>
    <w:p w:rsidR="00DF4E40" w:rsidRPr="00304864" w:rsidRDefault="00DF4E40">
      <w:pPr>
        <w:pStyle w:val="Text1"/>
        <w:ind w:left="0"/>
        <w:rPr>
          <w:rFonts w:ascii="Arial" w:hAnsi="Arial" w:cs="Arial"/>
          <w:i/>
          <w:sz w:val="22"/>
          <w:szCs w:val="22"/>
        </w:rPr>
      </w:pPr>
    </w:p>
    <w:p w:rsidR="00DF4E40" w:rsidRPr="00304864" w:rsidRDefault="00DF4E40" w:rsidP="00A30AEC">
      <w:pPr>
        <w:pStyle w:val="Heading2"/>
        <w:spacing w:after="120"/>
      </w:pPr>
      <w:bookmarkStart w:id="466" w:name="_Toc365660190"/>
      <w:bookmarkStart w:id="467" w:name="_Toc366097074"/>
      <w:bookmarkStart w:id="468" w:name="_Toc377402604"/>
      <w:bookmarkStart w:id="469" w:name="_Toc420652612"/>
      <w:bookmarkStart w:id="470" w:name="_Toc421076949"/>
      <w:r w:rsidRPr="00304864">
        <w:t>9.2.</w:t>
      </w:r>
      <w:r w:rsidRPr="00304864">
        <w:tab/>
        <w:t>Performance framework of the cooperation programme</w:t>
      </w:r>
      <w:bookmarkEnd w:id="466"/>
      <w:bookmarkEnd w:id="467"/>
      <w:bookmarkEnd w:id="468"/>
      <w:bookmarkEnd w:id="469"/>
      <w:bookmarkEnd w:id="470"/>
    </w:p>
    <w:p w:rsidR="000F7F77" w:rsidRDefault="000F7F77">
      <w:pPr>
        <w:pStyle w:val="Text1"/>
        <w:ind w:left="0"/>
        <w:rPr>
          <w:rFonts w:ascii="Arial" w:hAnsi="Arial" w:cs="Arial"/>
          <w:b/>
          <w:sz w:val="22"/>
          <w:szCs w:val="22"/>
        </w:rPr>
      </w:pPr>
    </w:p>
    <w:p w:rsidR="00DF4E40" w:rsidRPr="00304864" w:rsidRDefault="00DF4E40">
      <w:pPr>
        <w:pStyle w:val="Text1"/>
        <w:ind w:left="0"/>
        <w:rPr>
          <w:rFonts w:ascii="Arial" w:hAnsi="Arial" w:cs="Arial"/>
          <w:b/>
          <w:sz w:val="22"/>
          <w:szCs w:val="22"/>
        </w:rPr>
      </w:pPr>
      <w:r w:rsidRPr="00304864">
        <w:rPr>
          <w:rFonts w:ascii="Arial" w:hAnsi="Arial" w:cs="Arial"/>
          <w:b/>
          <w:sz w:val="22"/>
          <w:szCs w:val="22"/>
        </w:rPr>
        <w:t>Table 24: The performance framework of the cooperation programme (automatically completed in the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621"/>
        <w:gridCol w:w="2553"/>
        <w:gridCol w:w="39"/>
        <w:gridCol w:w="1715"/>
        <w:gridCol w:w="1417"/>
        <w:gridCol w:w="1349"/>
      </w:tblGrid>
      <w:tr w:rsidR="00AD02BA" w:rsidRPr="005426E7" w:rsidTr="008F7B62">
        <w:trPr>
          <w:jc w:val="center"/>
        </w:trPr>
        <w:tc>
          <w:tcPr>
            <w:tcW w:w="1242" w:type="dxa"/>
            <w:shd w:val="clear" w:color="auto" w:fill="D9D9D9"/>
            <w:vAlign w:val="center"/>
          </w:tcPr>
          <w:p w:rsidR="00DF4E40" w:rsidRPr="005426E7" w:rsidRDefault="00DF4E40" w:rsidP="00A30AEC">
            <w:pPr>
              <w:jc w:val="center"/>
              <w:rPr>
                <w:rFonts w:ascii="Arial" w:hAnsi="Arial" w:cs="Arial"/>
                <w:b/>
                <w:bCs/>
                <w:sz w:val="20"/>
                <w:lang w:val="es-ES" w:eastAsia="es-ES"/>
              </w:rPr>
            </w:pPr>
            <w:bookmarkStart w:id="471" w:name="_Toc365660191"/>
            <w:bookmarkStart w:id="472" w:name="_Toc366097075"/>
            <w:bookmarkStart w:id="473" w:name="_Toc377402605"/>
            <w:r w:rsidRPr="005426E7">
              <w:rPr>
                <w:rFonts w:ascii="Arial" w:hAnsi="Arial" w:cs="Arial"/>
                <w:b/>
                <w:bCs/>
                <w:sz w:val="20"/>
                <w:lang w:val="es-ES" w:eastAsia="es-ES"/>
              </w:rPr>
              <w:t>PRIORITY AXIS</w:t>
            </w:r>
          </w:p>
        </w:tc>
        <w:tc>
          <w:tcPr>
            <w:tcW w:w="621" w:type="dxa"/>
            <w:shd w:val="clear" w:color="auto" w:fill="D9D9D9"/>
            <w:vAlign w:val="center"/>
          </w:tcPr>
          <w:p w:rsidR="00DF4E40" w:rsidRPr="005426E7" w:rsidRDefault="00DF4E40" w:rsidP="00A30AEC">
            <w:pPr>
              <w:jc w:val="center"/>
              <w:rPr>
                <w:rFonts w:ascii="Arial" w:hAnsi="Arial" w:cs="Arial"/>
                <w:b/>
                <w:bCs/>
                <w:sz w:val="20"/>
                <w:lang w:val="es-ES" w:eastAsia="es-ES"/>
              </w:rPr>
            </w:pPr>
            <w:r w:rsidRPr="005426E7">
              <w:rPr>
                <w:rFonts w:ascii="Arial" w:hAnsi="Arial" w:cs="Arial"/>
                <w:b/>
                <w:bCs/>
                <w:sz w:val="20"/>
                <w:lang w:val="es-ES" w:eastAsia="es-ES"/>
              </w:rPr>
              <w:t>ID</w:t>
            </w:r>
          </w:p>
        </w:tc>
        <w:tc>
          <w:tcPr>
            <w:tcW w:w="2553" w:type="dxa"/>
            <w:shd w:val="clear" w:color="auto" w:fill="D9D9D9"/>
            <w:vAlign w:val="center"/>
          </w:tcPr>
          <w:p w:rsidR="00DF4E40" w:rsidRPr="005426E7" w:rsidRDefault="00DF4E40" w:rsidP="00A30AEC">
            <w:pPr>
              <w:jc w:val="center"/>
              <w:rPr>
                <w:rFonts w:ascii="Arial" w:hAnsi="Arial" w:cs="Arial"/>
                <w:b/>
                <w:bCs/>
                <w:sz w:val="20"/>
                <w:lang w:eastAsia="es-ES"/>
              </w:rPr>
            </w:pPr>
            <w:r w:rsidRPr="005426E7">
              <w:rPr>
                <w:rFonts w:ascii="Arial" w:hAnsi="Arial" w:cs="Arial"/>
                <w:b/>
                <w:bCs/>
                <w:sz w:val="20"/>
                <w:lang w:eastAsia="es-ES"/>
              </w:rPr>
              <w:t>KEY IMPLEMENTATION STEP OR INDICATOR</w:t>
            </w:r>
          </w:p>
        </w:tc>
        <w:tc>
          <w:tcPr>
            <w:tcW w:w="1754" w:type="dxa"/>
            <w:gridSpan w:val="2"/>
            <w:shd w:val="clear" w:color="auto" w:fill="D9D9D9"/>
            <w:vAlign w:val="center"/>
          </w:tcPr>
          <w:p w:rsidR="00DF4E40" w:rsidRPr="005426E7" w:rsidRDefault="00DF4E40" w:rsidP="00A30AEC">
            <w:pPr>
              <w:jc w:val="center"/>
              <w:rPr>
                <w:rFonts w:ascii="Arial" w:hAnsi="Arial" w:cs="Arial"/>
                <w:b/>
                <w:bCs/>
                <w:sz w:val="20"/>
                <w:lang w:val="es-ES" w:eastAsia="es-ES"/>
              </w:rPr>
            </w:pPr>
            <w:r w:rsidRPr="005426E7">
              <w:rPr>
                <w:rFonts w:ascii="Arial" w:hAnsi="Arial" w:cs="Arial"/>
                <w:b/>
                <w:bCs/>
                <w:sz w:val="20"/>
                <w:lang w:val="es-ES" w:eastAsia="es-ES"/>
              </w:rPr>
              <w:t>MEASUREMENT UNIT</w:t>
            </w:r>
          </w:p>
        </w:tc>
        <w:tc>
          <w:tcPr>
            <w:tcW w:w="1417" w:type="dxa"/>
            <w:shd w:val="clear" w:color="auto" w:fill="D9D9D9"/>
            <w:vAlign w:val="center"/>
          </w:tcPr>
          <w:p w:rsidR="00DF4E40" w:rsidRPr="005426E7" w:rsidRDefault="00DF4E40" w:rsidP="00A30AEC">
            <w:pPr>
              <w:jc w:val="center"/>
              <w:rPr>
                <w:rFonts w:ascii="Arial" w:hAnsi="Arial" w:cs="Arial"/>
                <w:b/>
                <w:bCs/>
                <w:sz w:val="20"/>
                <w:lang w:val="es-ES" w:eastAsia="es-ES"/>
              </w:rPr>
            </w:pPr>
            <w:r w:rsidRPr="005426E7">
              <w:rPr>
                <w:rFonts w:ascii="Arial" w:hAnsi="Arial" w:cs="Arial"/>
                <w:b/>
                <w:bCs/>
                <w:sz w:val="20"/>
                <w:lang w:val="es-ES" w:eastAsia="es-ES"/>
              </w:rPr>
              <w:t>MILESTONE TOTAL FOR 2018</w:t>
            </w:r>
          </w:p>
        </w:tc>
        <w:tc>
          <w:tcPr>
            <w:tcW w:w="1349" w:type="dxa"/>
            <w:shd w:val="clear" w:color="auto" w:fill="D9D9D9"/>
            <w:vAlign w:val="center"/>
          </w:tcPr>
          <w:p w:rsidR="00DF4E40" w:rsidRPr="005426E7" w:rsidRDefault="00DF4E40" w:rsidP="00A30AEC">
            <w:pPr>
              <w:jc w:val="center"/>
              <w:rPr>
                <w:rFonts w:ascii="Arial" w:hAnsi="Arial" w:cs="Arial"/>
                <w:b/>
                <w:bCs/>
                <w:sz w:val="20"/>
                <w:lang w:val="es-ES" w:eastAsia="es-ES"/>
              </w:rPr>
            </w:pPr>
            <w:r w:rsidRPr="005426E7">
              <w:rPr>
                <w:rFonts w:ascii="Arial" w:hAnsi="Arial" w:cs="Arial"/>
                <w:b/>
                <w:bCs/>
                <w:sz w:val="20"/>
                <w:lang w:val="es-ES" w:eastAsia="es-ES"/>
              </w:rPr>
              <w:t>FINAL TARGET (2023)</w:t>
            </w:r>
          </w:p>
        </w:tc>
      </w:tr>
      <w:tr w:rsidR="00415612" w:rsidRPr="005426E7" w:rsidTr="008F7B62">
        <w:trPr>
          <w:jc w:val="center"/>
        </w:trPr>
        <w:tc>
          <w:tcPr>
            <w:tcW w:w="1242" w:type="dxa"/>
            <w:noWrap/>
            <w:vAlign w:val="center"/>
          </w:tcPr>
          <w:p w:rsidR="00415612" w:rsidRPr="005426E7" w:rsidRDefault="00415612" w:rsidP="00A30AEC">
            <w:pPr>
              <w:jc w:val="center"/>
              <w:rPr>
                <w:rFonts w:ascii="Arial" w:hAnsi="Arial" w:cs="Arial"/>
                <w:sz w:val="20"/>
                <w:lang w:val="es-ES" w:eastAsia="es-ES"/>
              </w:rPr>
            </w:pPr>
            <w:r w:rsidRPr="005426E7">
              <w:rPr>
                <w:rFonts w:ascii="Arial" w:hAnsi="Arial" w:cs="Arial"/>
                <w:sz w:val="20"/>
                <w:lang w:val="es-ES" w:eastAsia="es-ES"/>
              </w:rPr>
              <w:t>PA 1</w:t>
            </w:r>
          </w:p>
        </w:tc>
        <w:tc>
          <w:tcPr>
            <w:tcW w:w="621" w:type="dxa"/>
            <w:noWrap/>
            <w:vAlign w:val="center"/>
          </w:tcPr>
          <w:p w:rsidR="00415612" w:rsidRPr="005426E7" w:rsidRDefault="00415612" w:rsidP="00A30AEC">
            <w:pPr>
              <w:jc w:val="center"/>
              <w:rPr>
                <w:rFonts w:ascii="Arial" w:hAnsi="Arial" w:cs="Arial"/>
                <w:sz w:val="20"/>
                <w:lang w:val="es-ES" w:eastAsia="es-ES"/>
              </w:rPr>
            </w:pPr>
            <w:r w:rsidRPr="005426E7">
              <w:rPr>
                <w:rFonts w:ascii="Arial" w:hAnsi="Arial" w:cs="Arial"/>
                <w:sz w:val="20"/>
                <w:lang w:val="es-ES" w:eastAsia="es-ES"/>
              </w:rPr>
              <w:t>1.b.1</w:t>
            </w:r>
          </w:p>
        </w:tc>
        <w:tc>
          <w:tcPr>
            <w:tcW w:w="2592" w:type="dxa"/>
            <w:gridSpan w:val="2"/>
            <w:noWrap/>
            <w:vAlign w:val="center"/>
          </w:tcPr>
          <w:p w:rsidR="00415612" w:rsidRPr="005426E7" w:rsidRDefault="00415612" w:rsidP="00A30AEC">
            <w:pPr>
              <w:jc w:val="center"/>
              <w:rPr>
                <w:rFonts w:ascii="Arial" w:hAnsi="Arial" w:cs="Arial"/>
                <w:sz w:val="20"/>
                <w:lang w:val="es-ES" w:eastAsia="es-ES"/>
              </w:rPr>
            </w:pPr>
            <w:r w:rsidRPr="005426E7">
              <w:rPr>
                <w:rFonts w:ascii="Arial" w:hAnsi="Arial" w:cs="Arial"/>
                <w:sz w:val="20"/>
                <w:lang w:val="es-ES" w:eastAsia="es-ES"/>
              </w:rPr>
              <w:t>Financial</w:t>
            </w:r>
          </w:p>
        </w:tc>
        <w:tc>
          <w:tcPr>
            <w:tcW w:w="1715" w:type="dxa"/>
            <w:noWrap/>
            <w:vAlign w:val="center"/>
          </w:tcPr>
          <w:p w:rsidR="00415612" w:rsidRPr="005426E7" w:rsidRDefault="00415612" w:rsidP="00A30AEC">
            <w:pPr>
              <w:jc w:val="center"/>
              <w:rPr>
                <w:rFonts w:ascii="Arial" w:hAnsi="Arial" w:cs="Arial"/>
                <w:sz w:val="20"/>
                <w:lang w:val="es-ES" w:eastAsia="es-ES"/>
              </w:rPr>
            </w:pPr>
            <w:r w:rsidRPr="005426E7">
              <w:rPr>
                <w:rFonts w:ascii="Arial" w:hAnsi="Arial" w:cs="Arial"/>
                <w:sz w:val="20"/>
                <w:lang w:val="es-ES" w:eastAsia="es-ES"/>
              </w:rPr>
              <w:t>EUR</w:t>
            </w:r>
          </w:p>
        </w:tc>
        <w:tc>
          <w:tcPr>
            <w:tcW w:w="1417" w:type="dxa"/>
            <w:noWrap/>
            <w:vAlign w:val="center"/>
          </w:tcPr>
          <w:p w:rsidR="00415612" w:rsidRPr="00A30AEC" w:rsidRDefault="00415612" w:rsidP="00A30AEC">
            <w:pPr>
              <w:jc w:val="center"/>
              <w:rPr>
                <w:rFonts w:ascii="Arial" w:hAnsi="Arial" w:cs="Arial"/>
                <w:sz w:val="20"/>
                <w:lang w:val="es-ES" w:eastAsia="es-ES"/>
              </w:rPr>
            </w:pPr>
            <w:r w:rsidRPr="00A30AEC">
              <w:rPr>
                <w:rFonts w:ascii="Arial" w:hAnsi="Arial" w:cs="Arial"/>
                <w:color w:val="000000"/>
                <w:sz w:val="20"/>
              </w:rPr>
              <w:t>1.969.16</w:t>
            </w:r>
            <w:r>
              <w:rPr>
                <w:rFonts w:ascii="Arial" w:hAnsi="Arial" w:cs="Arial"/>
                <w:color w:val="000000"/>
                <w:sz w:val="20"/>
              </w:rPr>
              <w:t>6</w:t>
            </w:r>
          </w:p>
        </w:tc>
        <w:tc>
          <w:tcPr>
            <w:tcW w:w="1349" w:type="dxa"/>
            <w:noWrap/>
            <w:vAlign w:val="center"/>
          </w:tcPr>
          <w:p w:rsidR="00415612" w:rsidRPr="005426E7" w:rsidRDefault="00415612" w:rsidP="00C4566E">
            <w:pPr>
              <w:jc w:val="center"/>
              <w:rPr>
                <w:rFonts w:ascii="Arial" w:hAnsi="Arial" w:cs="Arial"/>
                <w:sz w:val="20"/>
                <w:lang w:val="es-ES" w:eastAsia="es-ES"/>
              </w:rPr>
            </w:pPr>
            <w:r>
              <w:rPr>
                <w:rFonts w:ascii="Arial" w:hAnsi="Arial" w:cs="Arial"/>
                <w:sz w:val="20"/>
                <w:lang w:eastAsia="es-ES"/>
              </w:rPr>
              <w:t>19.691.658</w:t>
            </w:r>
          </w:p>
        </w:tc>
      </w:tr>
      <w:tr w:rsidR="00DF4E40" w:rsidRPr="005426E7" w:rsidTr="008F7B62">
        <w:trPr>
          <w:jc w:val="center"/>
        </w:trPr>
        <w:tc>
          <w:tcPr>
            <w:tcW w:w="1242"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PA 1</w:t>
            </w:r>
          </w:p>
        </w:tc>
        <w:tc>
          <w:tcPr>
            <w:tcW w:w="621"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OI.1b</w:t>
            </w:r>
          </w:p>
        </w:tc>
        <w:tc>
          <w:tcPr>
            <w:tcW w:w="2592" w:type="dxa"/>
            <w:gridSpan w:val="2"/>
            <w:noWrap/>
            <w:vAlign w:val="center"/>
          </w:tcPr>
          <w:p w:rsidR="00DF4E40" w:rsidRPr="005426E7" w:rsidRDefault="00DF4E40" w:rsidP="00A30AEC">
            <w:pPr>
              <w:jc w:val="center"/>
              <w:rPr>
                <w:rFonts w:ascii="Arial" w:hAnsi="Arial" w:cs="Arial"/>
                <w:sz w:val="20"/>
                <w:lang w:eastAsia="es-ES"/>
              </w:rPr>
            </w:pPr>
            <w:r w:rsidRPr="005426E7">
              <w:rPr>
                <w:rFonts w:ascii="Arial" w:hAnsi="Arial" w:cs="Arial"/>
                <w:sz w:val="20"/>
                <w:lang w:eastAsia="es-ES"/>
              </w:rPr>
              <w:t>Number of strategies and action plans developed by transnational innovation networks and clusters</w:t>
            </w:r>
          </w:p>
        </w:tc>
        <w:tc>
          <w:tcPr>
            <w:tcW w:w="1715"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Number</w:t>
            </w:r>
          </w:p>
        </w:tc>
        <w:tc>
          <w:tcPr>
            <w:tcW w:w="1417" w:type="dxa"/>
            <w:noWrap/>
            <w:vAlign w:val="center"/>
          </w:tcPr>
          <w:p w:rsidR="00DF4E40" w:rsidRPr="00A30AEC" w:rsidRDefault="00DF4E40" w:rsidP="00A30AEC">
            <w:pPr>
              <w:jc w:val="center"/>
              <w:rPr>
                <w:rFonts w:ascii="Arial" w:hAnsi="Arial" w:cs="Arial"/>
                <w:sz w:val="20"/>
                <w:lang w:val="es-ES" w:eastAsia="es-ES"/>
              </w:rPr>
            </w:pPr>
            <w:r w:rsidRPr="00A30AEC">
              <w:rPr>
                <w:rFonts w:ascii="Arial" w:hAnsi="Arial" w:cs="Arial"/>
                <w:sz w:val="20"/>
                <w:lang w:val="es-ES" w:eastAsia="es-ES"/>
              </w:rPr>
              <w:t>2</w:t>
            </w:r>
          </w:p>
        </w:tc>
        <w:tc>
          <w:tcPr>
            <w:tcW w:w="1349"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12</w:t>
            </w:r>
          </w:p>
        </w:tc>
      </w:tr>
      <w:tr w:rsidR="00B0751E" w:rsidRPr="005426E7" w:rsidTr="008F7B62">
        <w:trPr>
          <w:jc w:val="center"/>
        </w:trPr>
        <w:tc>
          <w:tcPr>
            <w:tcW w:w="1242"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PA 2</w:t>
            </w:r>
          </w:p>
        </w:tc>
        <w:tc>
          <w:tcPr>
            <w:tcW w:w="621"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6.c.d</w:t>
            </w:r>
          </w:p>
        </w:tc>
        <w:tc>
          <w:tcPr>
            <w:tcW w:w="2592" w:type="dxa"/>
            <w:gridSpan w:val="2"/>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Financial</w:t>
            </w:r>
          </w:p>
        </w:tc>
        <w:tc>
          <w:tcPr>
            <w:tcW w:w="1715"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EUR</w:t>
            </w:r>
          </w:p>
        </w:tc>
        <w:tc>
          <w:tcPr>
            <w:tcW w:w="1417" w:type="dxa"/>
            <w:noWrap/>
            <w:vAlign w:val="center"/>
          </w:tcPr>
          <w:p w:rsidR="00B0751E" w:rsidRPr="00A30AEC" w:rsidRDefault="00B0751E" w:rsidP="00A30AEC">
            <w:pPr>
              <w:jc w:val="center"/>
              <w:rPr>
                <w:rFonts w:ascii="Arial" w:hAnsi="Arial" w:cs="Arial"/>
                <w:sz w:val="20"/>
                <w:lang w:val="es-ES" w:eastAsia="es-ES"/>
              </w:rPr>
            </w:pPr>
            <w:r w:rsidRPr="00A30AEC">
              <w:rPr>
                <w:rFonts w:ascii="Arial" w:hAnsi="Arial" w:cs="Arial"/>
                <w:color w:val="000000"/>
                <w:sz w:val="20"/>
              </w:rPr>
              <w:t>4.547.23</w:t>
            </w:r>
            <w:r>
              <w:rPr>
                <w:rFonts w:ascii="Arial" w:hAnsi="Arial" w:cs="Arial"/>
                <w:color w:val="000000"/>
                <w:sz w:val="20"/>
              </w:rPr>
              <w:t>8</w:t>
            </w:r>
          </w:p>
        </w:tc>
        <w:tc>
          <w:tcPr>
            <w:tcW w:w="1349" w:type="dxa"/>
            <w:noWrap/>
            <w:vAlign w:val="center"/>
          </w:tcPr>
          <w:p w:rsidR="00B0751E" w:rsidRPr="005426E7" w:rsidRDefault="00B0751E" w:rsidP="00A30AEC">
            <w:pPr>
              <w:jc w:val="center"/>
              <w:rPr>
                <w:rFonts w:ascii="Arial" w:hAnsi="Arial" w:cs="Arial"/>
                <w:sz w:val="20"/>
                <w:lang w:val="es-ES" w:eastAsia="es-ES"/>
              </w:rPr>
            </w:pPr>
            <w:r w:rsidRPr="00C4566E">
              <w:rPr>
                <w:rFonts w:ascii="Arial" w:hAnsi="Arial" w:cs="Arial"/>
                <w:sz w:val="20"/>
                <w:lang w:eastAsia="es-ES"/>
              </w:rPr>
              <w:t>45.472.376</w:t>
            </w:r>
          </w:p>
        </w:tc>
      </w:tr>
      <w:tr w:rsidR="00DF4E40" w:rsidRPr="005426E7" w:rsidTr="008F7B62">
        <w:trPr>
          <w:jc w:val="center"/>
        </w:trPr>
        <w:tc>
          <w:tcPr>
            <w:tcW w:w="1242"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PA 2</w:t>
            </w:r>
          </w:p>
        </w:tc>
        <w:tc>
          <w:tcPr>
            <w:tcW w:w="621"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6c.1</w:t>
            </w:r>
          </w:p>
        </w:tc>
        <w:tc>
          <w:tcPr>
            <w:tcW w:w="2592" w:type="dxa"/>
            <w:gridSpan w:val="2"/>
            <w:noWrap/>
            <w:vAlign w:val="center"/>
          </w:tcPr>
          <w:p w:rsidR="00DF4E40" w:rsidRPr="005426E7" w:rsidRDefault="00DF4E40" w:rsidP="00A30AEC">
            <w:pPr>
              <w:jc w:val="center"/>
              <w:rPr>
                <w:rFonts w:ascii="Arial" w:hAnsi="Arial" w:cs="Arial"/>
                <w:sz w:val="20"/>
                <w:lang w:eastAsia="es-ES"/>
              </w:rPr>
            </w:pPr>
            <w:r w:rsidRPr="005426E7">
              <w:rPr>
                <w:rFonts w:ascii="Arial" w:hAnsi="Arial" w:cs="Arial"/>
                <w:sz w:val="20"/>
                <w:lang w:eastAsia="es-ES"/>
              </w:rPr>
              <w:t>Number of strategies and action plans developed in the field of natural and cultural heritage and tourism</w:t>
            </w:r>
          </w:p>
        </w:tc>
        <w:tc>
          <w:tcPr>
            <w:tcW w:w="1715"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Number</w:t>
            </w:r>
          </w:p>
        </w:tc>
        <w:tc>
          <w:tcPr>
            <w:tcW w:w="1417" w:type="dxa"/>
            <w:noWrap/>
            <w:vAlign w:val="center"/>
          </w:tcPr>
          <w:p w:rsidR="00DF4E40" w:rsidRPr="00A30AEC" w:rsidRDefault="00DF4E40" w:rsidP="00A30AEC">
            <w:pPr>
              <w:jc w:val="center"/>
              <w:rPr>
                <w:rFonts w:ascii="Arial" w:hAnsi="Arial" w:cs="Arial"/>
                <w:sz w:val="20"/>
                <w:lang w:val="es-ES" w:eastAsia="es-ES"/>
              </w:rPr>
            </w:pPr>
            <w:r w:rsidRPr="00A30AEC">
              <w:rPr>
                <w:rFonts w:ascii="Arial" w:hAnsi="Arial" w:cs="Arial"/>
                <w:sz w:val="20"/>
                <w:lang w:val="es-ES" w:eastAsia="es-ES"/>
              </w:rPr>
              <w:t>3</w:t>
            </w:r>
          </w:p>
        </w:tc>
        <w:tc>
          <w:tcPr>
            <w:tcW w:w="1349"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30</w:t>
            </w:r>
          </w:p>
        </w:tc>
      </w:tr>
      <w:tr w:rsidR="00DF4E40" w:rsidRPr="005426E7" w:rsidTr="008F7B62">
        <w:trPr>
          <w:jc w:val="center"/>
        </w:trPr>
        <w:tc>
          <w:tcPr>
            <w:tcW w:w="1242"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PA 2</w:t>
            </w:r>
          </w:p>
        </w:tc>
        <w:tc>
          <w:tcPr>
            <w:tcW w:w="621"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6d</w:t>
            </w:r>
          </w:p>
        </w:tc>
        <w:tc>
          <w:tcPr>
            <w:tcW w:w="2592" w:type="dxa"/>
            <w:gridSpan w:val="2"/>
            <w:noWrap/>
            <w:vAlign w:val="center"/>
          </w:tcPr>
          <w:p w:rsidR="00DF4E40" w:rsidRPr="005426E7" w:rsidRDefault="00DF4E40" w:rsidP="00A30AEC">
            <w:pPr>
              <w:jc w:val="center"/>
              <w:rPr>
                <w:rFonts w:ascii="Arial" w:hAnsi="Arial" w:cs="Arial"/>
                <w:sz w:val="20"/>
                <w:lang w:eastAsia="es-ES"/>
              </w:rPr>
            </w:pPr>
            <w:r w:rsidRPr="005426E7">
              <w:rPr>
                <w:rFonts w:ascii="Arial" w:hAnsi="Arial" w:cs="Arial"/>
                <w:sz w:val="20"/>
                <w:lang w:eastAsia="es-ES"/>
              </w:rPr>
              <w:t>Number of strategies and action plans developed in the field of environmental protection</w:t>
            </w:r>
          </w:p>
        </w:tc>
        <w:tc>
          <w:tcPr>
            <w:tcW w:w="1715"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Number</w:t>
            </w:r>
          </w:p>
        </w:tc>
        <w:tc>
          <w:tcPr>
            <w:tcW w:w="1417" w:type="dxa"/>
            <w:noWrap/>
            <w:vAlign w:val="center"/>
          </w:tcPr>
          <w:p w:rsidR="00DF4E40" w:rsidRPr="00A30AEC" w:rsidRDefault="00DF4E40" w:rsidP="00A30AEC">
            <w:pPr>
              <w:jc w:val="center"/>
              <w:rPr>
                <w:rFonts w:ascii="Arial" w:hAnsi="Arial" w:cs="Arial"/>
                <w:sz w:val="20"/>
                <w:lang w:val="es-ES" w:eastAsia="es-ES"/>
              </w:rPr>
            </w:pPr>
            <w:r w:rsidRPr="00A30AEC">
              <w:rPr>
                <w:rFonts w:ascii="Arial" w:hAnsi="Arial" w:cs="Arial"/>
                <w:sz w:val="20"/>
                <w:lang w:val="es-ES" w:eastAsia="es-ES"/>
              </w:rPr>
              <w:t>2</w:t>
            </w:r>
          </w:p>
        </w:tc>
        <w:tc>
          <w:tcPr>
            <w:tcW w:w="1349"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15</w:t>
            </w:r>
          </w:p>
        </w:tc>
      </w:tr>
      <w:tr w:rsidR="00B0751E" w:rsidRPr="005426E7" w:rsidTr="00C4566E">
        <w:trPr>
          <w:jc w:val="center"/>
        </w:trPr>
        <w:tc>
          <w:tcPr>
            <w:tcW w:w="1242"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PA 3</w:t>
            </w:r>
          </w:p>
        </w:tc>
        <w:tc>
          <w:tcPr>
            <w:tcW w:w="621"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7c.1</w:t>
            </w:r>
          </w:p>
        </w:tc>
        <w:tc>
          <w:tcPr>
            <w:tcW w:w="2592" w:type="dxa"/>
            <w:gridSpan w:val="2"/>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Financial</w:t>
            </w:r>
          </w:p>
        </w:tc>
        <w:tc>
          <w:tcPr>
            <w:tcW w:w="1715"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EUR</w:t>
            </w:r>
          </w:p>
        </w:tc>
        <w:tc>
          <w:tcPr>
            <w:tcW w:w="1417" w:type="dxa"/>
            <w:noWrap/>
            <w:vAlign w:val="center"/>
          </w:tcPr>
          <w:p w:rsidR="00B0751E" w:rsidRPr="00A30AEC" w:rsidRDefault="00B0751E" w:rsidP="00A30AEC">
            <w:pPr>
              <w:jc w:val="center"/>
              <w:rPr>
                <w:rFonts w:ascii="Arial" w:hAnsi="Arial" w:cs="Arial"/>
                <w:sz w:val="20"/>
                <w:lang w:val="es-ES" w:eastAsia="es-ES"/>
              </w:rPr>
            </w:pPr>
            <w:r w:rsidRPr="00A30AEC">
              <w:rPr>
                <w:rFonts w:ascii="Arial" w:hAnsi="Arial" w:cs="Arial"/>
                <w:color w:val="000000"/>
                <w:sz w:val="20"/>
              </w:rPr>
              <w:t>1.770.85</w:t>
            </w:r>
            <w:r>
              <w:rPr>
                <w:rFonts w:ascii="Arial" w:hAnsi="Arial" w:cs="Arial"/>
                <w:color w:val="000000"/>
                <w:sz w:val="20"/>
              </w:rPr>
              <w:t>2</w:t>
            </w:r>
          </w:p>
        </w:tc>
        <w:tc>
          <w:tcPr>
            <w:tcW w:w="1349" w:type="dxa"/>
            <w:noWrap/>
            <w:vAlign w:val="center"/>
          </w:tcPr>
          <w:p w:rsidR="00B0751E" w:rsidRPr="005426E7" w:rsidRDefault="00B0751E" w:rsidP="00A30AEC">
            <w:pPr>
              <w:jc w:val="center"/>
              <w:rPr>
                <w:rFonts w:ascii="Arial" w:hAnsi="Arial" w:cs="Arial"/>
                <w:sz w:val="20"/>
                <w:lang w:val="es-ES" w:eastAsia="es-ES"/>
              </w:rPr>
            </w:pPr>
            <w:r w:rsidRPr="00C4566E">
              <w:rPr>
                <w:rFonts w:ascii="Arial" w:hAnsi="Arial" w:cs="Arial"/>
                <w:sz w:val="20"/>
                <w:lang w:eastAsia="es-ES"/>
              </w:rPr>
              <w:t>17.708.524</w:t>
            </w:r>
          </w:p>
        </w:tc>
      </w:tr>
      <w:tr w:rsidR="00DF4E40" w:rsidRPr="005426E7" w:rsidTr="008F7B62">
        <w:trPr>
          <w:jc w:val="center"/>
        </w:trPr>
        <w:tc>
          <w:tcPr>
            <w:tcW w:w="1242"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PA 3</w:t>
            </w:r>
          </w:p>
        </w:tc>
        <w:tc>
          <w:tcPr>
            <w:tcW w:w="621"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OI_7c</w:t>
            </w:r>
          </w:p>
        </w:tc>
        <w:tc>
          <w:tcPr>
            <w:tcW w:w="2592" w:type="dxa"/>
            <w:gridSpan w:val="2"/>
            <w:noWrap/>
            <w:vAlign w:val="center"/>
          </w:tcPr>
          <w:p w:rsidR="00DF4E40" w:rsidRPr="005426E7" w:rsidRDefault="00DF4E40" w:rsidP="00A30AEC">
            <w:pPr>
              <w:jc w:val="center"/>
              <w:rPr>
                <w:rFonts w:ascii="Arial" w:hAnsi="Arial" w:cs="Arial"/>
                <w:sz w:val="20"/>
                <w:lang w:eastAsia="es-ES"/>
              </w:rPr>
            </w:pPr>
            <w:r w:rsidRPr="005426E7">
              <w:rPr>
                <w:rFonts w:ascii="Arial" w:hAnsi="Arial" w:cs="Arial"/>
                <w:sz w:val="20"/>
                <w:lang w:eastAsia="es-ES"/>
              </w:rPr>
              <w:t>Number of strategies and action plans developed in the field of environment-friendly and low-carbon transport systems</w:t>
            </w:r>
          </w:p>
        </w:tc>
        <w:tc>
          <w:tcPr>
            <w:tcW w:w="1715"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Number</w:t>
            </w:r>
          </w:p>
        </w:tc>
        <w:tc>
          <w:tcPr>
            <w:tcW w:w="1417" w:type="dxa"/>
            <w:noWrap/>
            <w:vAlign w:val="center"/>
          </w:tcPr>
          <w:p w:rsidR="00DF4E40" w:rsidRPr="00A30AEC" w:rsidRDefault="00DF4E40" w:rsidP="00A30AEC">
            <w:pPr>
              <w:jc w:val="center"/>
              <w:rPr>
                <w:rFonts w:ascii="Arial" w:hAnsi="Arial" w:cs="Arial"/>
                <w:sz w:val="20"/>
                <w:lang w:val="es-ES" w:eastAsia="es-ES"/>
              </w:rPr>
            </w:pPr>
            <w:r w:rsidRPr="00A30AEC">
              <w:rPr>
                <w:rFonts w:ascii="Arial" w:hAnsi="Arial" w:cs="Arial"/>
                <w:sz w:val="20"/>
                <w:lang w:val="es-ES" w:eastAsia="es-ES"/>
              </w:rPr>
              <w:t>2</w:t>
            </w:r>
          </w:p>
        </w:tc>
        <w:tc>
          <w:tcPr>
            <w:tcW w:w="1349"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12,</w:t>
            </w:r>
          </w:p>
        </w:tc>
      </w:tr>
      <w:tr w:rsidR="00B0751E" w:rsidRPr="005426E7" w:rsidTr="00C4566E">
        <w:trPr>
          <w:trHeight w:val="955"/>
          <w:jc w:val="center"/>
        </w:trPr>
        <w:tc>
          <w:tcPr>
            <w:tcW w:w="1242"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PA 4</w:t>
            </w:r>
          </w:p>
        </w:tc>
        <w:tc>
          <w:tcPr>
            <w:tcW w:w="621"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11.a</w:t>
            </w:r>
          </w:p>
        </w:tc>
        <w:tc>
          <w:tcPr>
            <w:tcW w:w="2592" w:type="dxa"/>
            <w:gridSpan w:val="2"/>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Financial</w:t>
            </w:r>
          </w:p>
        </w:tc>
        <w:tc>
          <w:tcPr>
            <w:tcW w:w="1715" w:type="dxa"/>
            <w:noWrap/>
            <w:vAlign w:val="center"/>
          </w:tcPr>
          <w:p w:rsidR="00B0751E" w:rsidRPr="005426E7" w:rsidRDefault="00B0751E" w:rsidP="00A30AEC">
            <w:pPr>
              <w:jc w:val="center"/>
              <w:rPr>
                <w:rFonts w:ascii="Arial" w:hAnsi="Arial" w:cs="Arial"/>
                <w:sz w:val="20"/>
                <w:lang w:val="es-ES" w:eastAsia="es-ES"/>
              </w:rPr>
            </w:pPr>
            <w:r w:rsidRPr="005426E7">
              <w:rPr>
                <w:rFonts w:ascii="Arial" w:hAnsi="Arial" w:cs="Arial"/>
                <w:sz w:val="20"/>
                <w:lang w:val="es-ES" w:eastAsia="es-ES"/>
              </w:rPr>
              <w:t>EUR</w:t>
            </w:r>
          </w:p>
        </w:tc>
        <w:tc>
          <w:tcPr>
            <w:tcW w:w="1417" w:type="dxa"/>
            <w:noWrap/>
            <w:vAlign w:val="center"/>
          </w:tcPr>
          <w:p w:rsidR="00B0751E" w:rsidRPr="00A30AEC" w:rsidRDefault="00B0751E" w:rsidP="00A30AEC">
            <w:pPr>
              <w:jc w:val="center"/>
              <w:rPr>
                <w:rFonts w:ascii="Arial" w:hAnsi="Arial" w:cs="Arial"/>
                <w:sz w:val="20"/>
                <w:lang w:val="es-ES" w:eastAsia="es-ES"/>
              </w:rPr>
            </w:pPr>
            <w:r w:rsidRPr="00A30AEC">
              <w:rPr>
                <w:rFonts w:ascii="Arial" w:hAnsi="Arial" w:cs="Arial"/>
                <w:color w:val="000000"/>
                <w:sz w:val="20"/>
              </w:rPr>
              <w:t>977.599</w:t>
            </w:r>
          </w:p>
        </w:tc>
        <w:tc>
          <w:tcPr>
            <w:tcW w:w="1349" w:type="dxa"/>
            <w:noWrap/>
            <w:vAlign w:val="center"/>
          </w:tcPr>
          <w:p w:rsidR="00B0751E" w:rsidRPr="005426E7" w:rsidRDefault="00B0751E" w:rsidP="00C4566E">
            <w:pPr>
              <w:jc w:val="center"/>
              <w:rPr>
                <w:rFonts w:ascii="Arial" w:hAnsi="Arial" w:cs="Arial"/>
                <w:sz w:val="20"/>
                <w:lang w:val="es-ES" w:eastAsia="es-ES"/>
              </w:rPr>
            </w:pPr>
            <w:r w:rsidRPr="00C4566E">
              <w:rPr>
                <w:rFonts w:ascii="Arial" w:hAnsi="Arial" w:cs="Arial"/>
                <w:sz w:val="20"/>
                <w:lang w:eastAsia="es-ES"/>
              </w:rPr>
              <w:t>9.775.995</w:t>
            </w:r>
          </w:p>
        </w:tc>
      </w:tr>
      <w:tr w:rsidR="00DF4E40" w:rsidRPr="005426E7" w:rsidTr="008F7B62">
        <w:trPr>
          <w:jc w:val="center"/>
        </w:trPr>
        <w:tc>
          <w:tcPr>
            <w:tcW w:w="1242"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PA 4</w:t>
            </w:r>
          </w:p>
        </w:tc>
        <w:tc>
          <w:tcPr>
            <w:tcW w:w="621"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OI.11</w:t>
            </w:r>
          </w:p>
        </w:tc>
        <w:tc>
          <w:tcPr>
            <w:tcW w:w="2592" w:type="dxa"/>
            <w:gridSpan w:val="2"/>
            <w:noWrap/>
            <w:vAlign w:val="center"/>
          </w:tcPr>
          <w:p w:rsidR="00DF4E40" w:rsidRPr="005426E7" w:rsidRDefault="00DF4E40" w:rsidP="00A30AEC">
            <w:pPr>
              <w:jc w:val="center"/>
              <w:rPr>
                <w:rFonts w:ascii="Arial" w:hAnsi="Arial" w:cs="Arial"/>
                <w:sz w:val="20"/>
                <w:lang w:eastAsia="es-ES"/>
              </w:rPr>
            </w:pPr>
            <w:r w:rsidRPr="005426E7">
              <w:rPr>
                <w:rFonts w:ascii="Arial" w:hAnsi="Arial" w:cs="Arial"/>
                <w:sz w:val="20"/>
                <w:lang w:eastAsia="en-GB"/>
              </w:rPr>
              <w:t>Number of events and meetings of the EUSAIR governance structures and events and meetings with the authorities and stakeholders to facilitate the EUSAIR implementation</w:t>
            </w:r>
          </w:p>
        </w:tc>
        <w:tc>
          <w:tcPr>
            <w:tcW w:w="1715"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Number</w:t>
            </w:r>
          </w:p>
        </w:tc>
        <w:tc>
          <w:tcPr>
            <w:tcW w:w="1417" w:type="dxa"/>
            <w:noWrap/>
            <w:vAlign w:val="center"/>
          </w:tcPr>
          <w:p w:rsidR="00DF4E40" w:rsidRPr="00A30AEC" w:rsidRDefault="00DF4E40" w:rsidP="00A30AEC">
            <w:pPr>
              <w:jc w:val="center"/>
              <w:rPr>
                <w:rFonts w:ascii="Arial" w:hAnsi="Arial" w:cs="Arial"/>
                <w:sz w:val="20"/>
                <w:lang w:val="es-ES" w:eastAsia="es-ES"/>
              </w:rPr>
            </w:pPr>
            <w:r w:rsidRPr="00A30AEC">
              <w:rPr>
                <w:rFonts w:ascii="Arial" w:hAnsi="Arial" w:cs="Arial"/>
                <w:sz w:val="20"/>
                <w:lang w:val="es-ES" w:eastAsia="es-ES"/>
              </w:rPr>
              <w:t>12</w:t>
            </w:r>
          </w:p>
        </w:tc>
        <w:tc>
          <w:tcPr>
            <w:tcW w:w="1349" w:type="dxa"/>
            <w:noWrap/>
            <w:vAlign w:val="center"/>
          </w:tcPr>
          <w:p w:rsidR="00DF4E40" w:rsidRPr="005426E7" w:rsidRDefault="00DF4E40" w:rsidP="00A30AEC">
            <w:pPr>
              <w:jc w:val="center"/>
              <w:rPr>
                <w:rFonts w:ascii="Arial" w:hAnsi="Arial" w:cs="Arial"/>
                <w:sz w:val="20"/>
                <w:lang w:val="es-ES" w:eastAsia="es-ES"/>
              </w:rPr>
            </w:pPr>
            <w:r w:rsidRPr="005426E7">
              <w:rPr>
                <w:rFonts w:ascii="Arial" w:hAnsi="Arial" w:cs="Arial"/>
                <w:sz w:val="20"/>
                <w:lang w:val="es-ES" w:eastAsia="es-ES"/>
              </w:rPr>
              <w:t>120</w:t>
            </w:r>
          </w:p>
        </w:tc>
      </w:tr>
    </w:tbl>
    <w:p w:rsidR="00DF4E40" w:rsidRDefault="00DF4E40">
      <w:pPr>
        <w:rPr>
          <w:rFonts w:ascii="Arial" w:hAnsi="Arial" w:cs="Arial"/>
          <w:sz w:val="22"/>
          <w:szCs w:val="22"/>
        </w:rPr>
      </w:pPr>
    </w:p>
    <w:p w:rsidR="00834D1D" w:rsidRPr="00304864" w:rsidRDefault="00834D1D">
      <w:pPr>
        <w:rPr>
          <w:rFonts w:ascii="Arial" w:hAnsi="Arial" w:cs="Arial"/>
          <w:sz w:val="22"/>
          <w:szCs w:val="22"/>
        </w:rPr>
      </w:pPr>
    </w:p>
    <w:p w:rsidR="00DF4E40" w:rsidRPr="00304864" w:rsidRDefault="00DF4E40" w:rsidP="00A30AEC">
      <w:pPr>
        <w:pStyle w:val="Heading2"/>
        <w:spacing w:after="120"/>
      </w:pPr>
      <w:bookmarkStart w:id="474" w:name="_Toc420652613"/>
      <w:bookmarkStart w:id="475" w:name="_Toc421076950"/>
      <w:r w:rsidRPr="00304864">
        <w:t>9.3.</w:t>
      </w:r>
      <w:r w:rsidRPr="00304864">
        <w:tab/>
        <w:t>Relevant partners involved in the preparation of the cooperation programme</w:t>
      </w:r>
      <w:bookmarkEnd w:id="471"/>
      <w:bookmarkEnd w:id="472"/>
      <w:bookmarkEnd w:id="473"/>
      <w:bookmarkEnd w:id="474"/>
      <w:bookmarkEnd w:id="475"/>
    </w:p>
    <w:p w:rsidR="00DF4E40" w:rsidRPr="00304864" w:rsidRDefault="00DF4E40">
      <w:pPr>
        <w:autoSpaceDE w:val="0"/>
        <w:autoSpaceDN w:val="0"/>
        <w:adjustRightInd w:val="0"/>
        <w:rPr>
          <w:rFonts w:ascii="Arial" w:hAnsi="Arial" w:cs="Arial"/>
          <w:sz w:val="22"/>
          <w:szCs w:val="22"/>
        </w:rPr>
      </w:pPr>
      <w:r w:rsidRPr="00304864">
        <w:rPr>
          <w:rFonts w:ascii="Arial" w:hAnsi="Arial" w:cs="Arial"/>
          <w:color w:val="000000"/>
          <w:sz w:val="22"/>
          <w:szCs w:val="22"/>
        </w:rPr>
        <w:t xml:space="preserve">In </w:t>
      </w:r>
      <w:r w:rsidRPr="00304864">
        <w:rPr>
          <w:rFonts w:ascii="Arial" w:hAnsi="Arial" w:cs="Arial"/>
          <w:sz w:val="22"/>
          <w:szCs w:val="22"/>
        </w:rPr>
        <w:t>total, 2.611 stakeholders and partners participated in the ADRION consultation process for the preparation of the cooperation programme. Consultations were implemented by way of an online survey and two transnational thematic events.</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Stakeholders from a broad range of backgrounds were involved in the consultations. Research institutions and universities as well as national/regional and local public authorities accounted for about 67% of respondents to the transnational online surveys. In the transnational stakeholder conference, the majority of participants came from research organisations, public authorities as well as private companies.</w:t>
      </w:r>
    </w:p>
    <w:p w:rsidR="00DF4E40" w:rsidRPr="00304864" w:rsidRDefault="00DF4E40">
      <w:pPr>
        <w:autoSpaceDE w:val="0"/>
        <w:autoSpaceDN w:val="0"/>
        <w:adjustRightInd w:val="0"/>
        <w:rPr>
          <w:rFonts w:ascii="Arial" w:hAnsi="Arial" w:cs="Arial"/>
          <w:sz w:val="22"/>
          <w:szCs w:val="22"/>
        </w:rPr>
      </w:pPr>
      <w:r w:rsidRPr="00304864">
        <w:rPr>
          <w:rFonts w:ascii="Arial" w:hAnsi="Arial" w:cs="Arial"/>
          <w:sz w:val="22"/>
          <w:szCs w:val="22"/>
        </w:rPr>
        <w:t>In addition, a consultation was conducted in application of the SEA Directive 2001/42/EC and the respective national requirements (cf. Annex A).</w:t>
      </w:r>
    </w:p>
    <w:p w:rsidR="00DF4E40" w:rsidRPr="00304864" w:rsidRDefault="00DF4E40">
      <w:pPr>
        <w:pStyle w:val="Text2"/>
        <w:ind w:left="0"/>
        <w:rPr>
          <w:rFonts w:ascii="Arial" w:hAnsi="Arial" w:cs="Arial"/>
          <w:lang w:eastAsia="sv-SE"/>
        </w:rPr>
      </w:pPr>
      <w:r w:rsidRPr="00304864">
        <w:rPr>
          <w:rFonts w:ascii="Arial" w:hAnsi="Arial" w:cs="Arial"/>
          <w:sz w:val="22"/>
          <w:szCs w:val="22"/>
        </w:rPr>
        <w:t>Details on the partner consultation can be found under section 5.6.</w:t>
      </w:r>
    </w:p>
    <w:p w:rsidR="00DF4E40" w:rsidRPr="00304864" w:rsidRDefault="00DF4E40">
      <w:pPr>
        <w:autoSpaceDE w:val="0"/>
        <w:autoSpaceDN w:val="0"/>
        <w:adjustRightInd w:val="0"/>
        <w:rPr>
          <w:rFonts w:ascii="Arial" w:hAnsi="Arial" w:cs="Arial"/>
          <w:sz w:val="22"/>
          <w:szCs w:val="22"/>
        </w:rPr>
      </w:pPr>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2"/>
        <w:gridCol w:w="3845"/>
      </w:tblGrid>
      <w:tr w:rsidR="00DF4E40" w:rsidRPr="00304864" w:rsidTr="00A30AEC">
        <w:trPr>
          <w:trHeight w:val="310"/>
          <w:jc w:val="center"/>
        </w:trPr>
        <w:tc>
          <w:tcPr>
            <w:tcW w:w="3862" w:type="dxa"/>
            <w:shd w:val="clear" w:color="auto" w:fill="8DB3E2"/>
            <w:noWrap/>
          </w:tcPr>
          <w:p w:rsidR="00DF4E40" w:rsidRPr="00304864" w:rsidRDefault="00DF4E40">
            <w:pPr>
              <w:jc w:val="left"/>
              <w:rPr>
                <w:rFonts w:ascii="Arial" w:hAnsi="Arial" w:cs="Arial"/>
                <w:b/>
                <w:bCs/>
                <w:sz w:val="20"/>
                <w:lang w:eastAsia="es-ES"/>
              </w:rPr>
            </w:pPr>
            <w:r w:rsidRPr="00304864">
              <w:rPr>
                <w:rFonts w:ascii="Arial" w:hAnsi="Arial" w:cs="Arial"/>
                <w:b/>
                <w:bCs/>
                <w:sz w:val="20"/>
                <w:lang w:eastAsia="es-ES"/>
              </w:rPr>
              <w:t>Countries:</w:t>
            </w:r>
          </w:p>
        </w:tc>
        <w:tc>
          <w:tcPr>
            <w:tcW w:w="3845" w:type="dxa"/>
            <w:shd w:val="clear" w:color="auto" w:fill="8DB3E2"/>
            <w:noWrap/>
          </w:tcPr>
          <w:p w:rsidR="00DF4E40" w:rsidRPr="00304864" w:rsidRDefault="00DF4E40">
            <w:pPr>
              <w:jc w:val="right"/>
              <w:rPr>
                <w:rFonts w:ascii="Arial" w:hAnsi="Arial" w:cs="Arial"/>
                <w:b/>
                <w:bCs/>
                <w:i/>
                <w:iCs/>
                <w:sz w:val="20"/>
                <w:lang w:eastAsia="es-ES"/>
              </w:rPr>
            </w:pPr>
            <w:r w:rsidRPr="00304864">
              <w:rPr>
                <w:rFonts w:ascii="Arial" w:hAnsi="Arial" w:cs="Arial"/>
                <w:b/>
                <w:bCs/>
                <w:i/>
                <w:iCs/>
                <w:sz w:val="20"/>
                <w:lang w:eastAsia="es-ES"/>
              </w:rPr>
              <w:t>2611</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Albania</w:t>
            </w:r>
          </w:p>
        </w:tc>
        <w:tc>
          <w:tcPr>
            <w:tcW w:w="3845"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56</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Bosnia and Herzegovina</w:t>
            </w:r>
          </w:p>
        </w:tc>
        <w:tc>
          <w:tcPr>
            <w:tcW w:w="3845" w:type="dxa"/>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83</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Croatia</w:t>
            </w:r>
          </w:p>
        </w:tc>
        <w:tc>
          <w:tcPr>
            <w:tcW w:w="3845"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264</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Greece</w:t>
            </w:r>
          </w:p>
        </w:tc>
        <w:tc>
          <w:tcPr>
            <w:tcW w:w="3845" w:type="dxa"/>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184</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Italy</w:t>
            </w:r>
          </w:p>
        </w:tc>
        <w:tc>
          <w:tcPr>
            <w:tcW w:w="3845"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984</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Slovenia</w:t>
            </w:r>
          </w:p>
        </w:tc>
        <w:tc>
          <w:tcPr>
            <w:tcW w:w="3845" w:type="dxa"/>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289</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Serbia</w:t>
            </w:r>
          </w:p>
        </w:tc>
        <w:tc>
          <w:tcPr>
            <w:tcW w:w="3845"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216</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Montenegro</w:t>
            </w:r>
          </w:p>
        </w:tc>
        <w:tc>
          <w:tcPr>
            <w:tcW w:w="3845" w:type="dxa"/>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275</w:t>
            </w:r>
          </w:p>
        </w:tc>
      </w:tr>
      <w:tr w:rsidR="00DF4E40" w:rsidRPr="00304864" w:rsidTr="00A30AEC">
        <w:trPr>
          <w:trHeight w:val="295"/>
          <w:jc w:val="center"/>
        </w:trPr>
        <w:tc>
          <w:tcPr>
            <w:tcW w:w="3862" w:type="dxa"/>
            <w:shd w:val="clear" w:color="auto" w:fill="DBE5F1"/>
            <w:noWrap/>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Out</w:t>
            </w:r>
          </w:p>
        </w:tc>
        <w:tc>
          <w:tcPr>
            <w:tcW w:w="3845"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260</w:t>
            </w:r>
          </w:p>
        </w:tc>
      </w:tr>
    </w:tbl>
    <w:p w:rsidR="00DF4E40" w:rsidRPr="00304864" w:rsidRDefault="00DF4E40">
      <w:pPr>
        <w:pStyle w:val="ListParagraph"/>
        <w:ind w:left="0"/>
        <w:rPr>
          <w:rFonts w:ascii="Arial" w:hAnsi="Arial" w:cs="Arial"/>
          <w:sz w:val="22"/>
          <w:szCs w:val="22"/>
        </w:rPr>
      </w:pPr>
    </w:p>
    <w:p w:rsidR="00DF4E40" w:rsidRPr="00304864" w:rsidRDefault="00DF4E40">
      <w:pPr>
        <w:pStyle w:val="ListParagraph"/>
        <w:ind w:left="0"/>
        <w:rPr>
          <w:rFonts w:ascii="Arial" w:hAnsi="Arial" w:cs="Arial"/>
          <w:sz w:val="22"/>
          <w:szCs w:val="22"/>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2"/>
        <w:gridCol w:w="3837"/>
      </w:tblGrid>
      <w:tr w:rsidR="00DF4E40" w:rsidRPr="00304864" w:rsidTr="00A30AEC">
        <w:trPr>
          <w:trHeight w:val="291"/>
          <w:jc w:val="center"/>
        </w:trPr>
        <w:tc>
          <w:tcPr>
            <w:tcW w:w="3852" w:type="dxa"/>
            <w:shd w:val="clear" w:color="auto" w:fill="8DB3E2"/>
            <w:noWrap/>
          </w:tcPr>
          <w:p w:rsidR="00DF4E40" w:rsidRPr="00304864" w:rsidRDefault="00DF4E40">
            <w:pPr>
              <w:jc w:val="left"/>
              <w:rPr>
                <w:rFonts w:ascii="Arial" w:hAnsi="Arial" w:cs="Arial"/>
                <w:b/>
                <w:bCs/>
                <w:sz w:val="20"/>
                <w:lang w:eastAsia="es-ES"/>
              </w:rPr>
            </w:pPr>
            <w:r w:rsidRPr="00304864">
              <w:rPr>
                <w:rFonts w:ascii="Arial" w:hAnsi="Arial" w:cs="Arial"/>
                <w:b/>
                <w:bCs/>
                <w:sz w:val="20"/>
                <w:lang w:eastAsia="es-ES"/>
              </w:rPr>
              <w:t>Categories:</w:t>
            </w:r>
          </w:p>
        </w:tc>
        <w:tc>
          <w:tcPr>
            <w:tcW w:w="3837" w:type="dxa"/>
            <w:shd w:val="clear" w:color="auto" w:fill="8DB3E2"/>
            <w:noWrap/>
          </w:tcPr>
          <w:p w:rsidR="00DF4E40" w:rsidRPr="00304864" w:rsidRDefault="00DF4E40">
            <w:pPr>
              <w:jc w:val="right"/>
              <w:rPr>
                <w:rFonts w:ascii="Arial" w:hAnsi="Arial" w:cs="Arial"/>
                <w:b/>
                <w:bCs/>
                <w:i/>
                <w:iCs/>
                <w:sz w:val="20"/>
                <w:lang w:eastAsia="es-ES"/>
              </w:rPr>
            </w:pPr>
            <w:r w:rsidRPr="00304864">
              <w:rPr>
                <w:rFonts w:ascii="Arial" w:hAnsi="Arial" w:cs="Arial"/>
                <w:b/>
                <w:bCs/>
                <w:i/>
                <w:iCs/>
                <w:sz w:val="20"/>
                <w:lang w:eastAsia="es-ES"/>
              </w:rPr>
              <w:t>2611</w:t>
            </w:r>
          </w:p>
        </w:tc>
      </w:tr>
      <w:tr w:rsidR="00DF4E40" w:rsidRPr="00304864" w:rsidTr="00A30AEC">
        <w:trPr>
          <w:trHeight w:val="277"/>
          <w:jc w:val="center"/>
        </w:trPr>
        <w:tc>
          <w:tcPr>
            <w:tcW w:w="3852" w:type="dxa"/>
            <w:shd w:val="clear" w:color="auto" w:fill="DBE5F1"/>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Central/Regional PA</w:t>
            </w:r>
          </w:p>
        </w:tc>
        <w:tc>
          <w:tcPr>
            <w:tcW w:w="3837"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874</w:t>
            </w:r>
          </w:p>
        </w:tc>
      </w:tr>
      <w:tr w:rsidR="00DF4E40" w:rsidRPr="00304864" w:rsidTr="00A30AEC">
        <w:trPr>
          <w:trHeight w:val="277"/>
          <w:jc w:val="center"/>
        </w:trPr>
        <w:tc>
          <w:tcPr>
            <w:tcW w:w="3852" w:type="dxa"/>
            <w:shd w:val="clear" w:color="auto" w:fill="DBE5F1"/>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Local PA/In-house</w:t>
            </w:r>
          </w:p>
        </w:tc>
        <w:tc>
          <w:tcPr>
            <w:tcW w:w="3837" w:type="dxa"/>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310</w:t>
            </w:r>
          </w:p>
        </w:tc>
      </w:tr>
      <w:tr w:rsidR="00DF4E40" w:rsidRPr="00304864" w:rsidTr="00A30AEC">
        <w:trPr>
          <w:trHeight w:val="277"/>
          <w:jc w:val="center"/>
        </w:trPr>
        <w:tc>
          <w:tcPr>
            <w:tcW w:w="3852" w:type="dxa"/>
            <w:shd w:val="clear" w:color="auto" w:fill="DBE5F1"/>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Research and Education</w:t>
            </w:r>
          </w:p>
        </w:tc>
        <w:tc>
          <w:tcPr>
            <w:tcW w:w="3837"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586</w:t>
            </w:r>
          </w:p>
        </w:tc>
      </w:tr>
      <w:tr w:rsidR="00DF4E40" w:rsidRPr="00304864" w:rsidTr="00A30AEC">
        <w:trPr>
          <w:trHeight w:val="277"/>
          <w:jc w:val="center"/>
        </w:trPr>
        <w:tc>
          <w:tcPr>
            <w:tcW w:w="3852" w:type="dxa"/>
            <w:shd w:val="clear" w:color="auto" w:fill="DBE5F1"/>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Dev agency/NGO</w:t>
            </w:r>
          </w:p>
        </w:tc>
        <w:tc>
          <w:tcPr>
            <w:tcW w:w="3837" w:type="dxa"/>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438</w:t>
            </w:r>
          </w:p>
        </w:tc>
      </w:tr>
      <w:tr w:rsidR="00DF4E40" w:rsidRPr="00304864" w:rsidTr="00A30AEC">
        <w:trPr>
          <w:trHeight w:val="666"/>
          <w:jc w:val="center"/>
        </w:trPr>
        <w:tc>
          <w:tcPr>
            <w:tcW w:w="3852" w:type="dxa"/>
            <w:shd w:val="clear" w:color="auto" w:fill="DBE5F1"/>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Chambers, Unions, Associations (economic interest)</w:t>
            </w:r>
          </w:p>
        </w:tc>
        <w:tc>
          <w:tcPr>
            <w:tcW w:w="3837"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212</w:t>
            </w:r>
          </w:p>
        </w:tc>
      </w:tr>
      <w:tr w:rsidR="00DF4E40" w:rsidRPr="00304864" w:rsidTr="00A30AEC">
        <w:trPr>
          <w:trHeight w:val="444"/>
          <w:jc w:val="center"/>
        </w:trPr>
        <w:tc>
          <w:tcPr>
            <w:tcW w:w="3852" w:type="dxa"/>
            <w:shd w:val="clear" w:color="auto" w:fill="DBE5F1"/>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Undertaking profit oriented</w:t>
            </w:r>
          </w:p>
        </w:tc>
        <w:tc>
          <w:tcPr>
            <w:tcW w:w="3837" w:type="dxa"/>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130</w:t>
            </w:r>
          </w:p>
        </w:tc>
      </w:tr>
      <w:tr w:rsidR="00DF4E40" w:rsidRPr="00304864" w:rsidTr="00A30AEC">
        <w:trPr>
          <w:trHeight w:val="277"/>
          <w:jc w:val="center"/>
        </w:trPr>
        <w:tc>
          <w:tcPr>
            <w:tcW w:w="3852" w:type="dxa"/>
            <w:shd w:val="clear" w:color="auto" w:fill="DBE5F1"/>
          </w:tcPr>
          <w:p w:rsidR="00DF4E40" w:rsidRPr="00304864" w:rsidRDefault="00DF4E40">
            <w:pPr>
              <w:jc w:val="left"/>
              <w:rPr>
                <w:rFonts w:ascii="Arial" w:hAnsi="Arial" w:cs="Arial"/>
                <w:b/>
                <w:bCs/>
                <w:color w:val="000000"/>
                <w:sz w:val="20"/>
                <w:lang w:eastAsia="es-ES"/>
              </w:rPr>
            </w:pPr>
            <w:r w:rsidRPr="00304864">
              <w:rPr>
                <w:rFonts w:ascii="Arial" w:hAnsi="Arial" w:cs="Arial"/>
                <w:b/>
                <w:bCs/>
                <w:color w:val="000000"/>
                <w:sz w:val="20"/>
                <w:lang w:eastAsia="es-ES"/>
              </w:rPr>
              <w:t>Other</w:t>
            </w:r>
          </w:p>
        </w:tc>
        <w:tc>
          <w:tcPr>
            <w:tcW w:w="3837" w:type="dxa"/>
            <w:shd w:val="clear" w:color="auto" w:fill="D8D8D8"/>
            <w:noWrap/>
          </w:tcPr>
          <w:p w:rsidR="00DF4E40" w:rsidRPr="00304864" w:rsidRDefault="00DF4E40">
            <w:pPr>
              <w:jc w:val="right"/>
              <w:rPr>
                <w:rFonts w:ascii="Arial" w:hAnsi="Arial" w:cs="Arial"/>
                <w:color w:val="000000"/>
                <w:sz w:val="20"/>
                <w:lang w:eastAsia="es-ES"/>
              </w:rPr>
            </w:pPr>
            <w:r w:rsidRPr="00304864">
              <w:rPr>
                <w:rFonts w:ascii="Arial" w:hAnsi="Arial" w:cs="Arial"/>
                <w:color w:val="000000"/>
                <w:sz w:val="20"/>
                <w:lang w:eastAsia="es-ES"/>
              </w:rPr>
              <w:t>61</w:t>
            </w:r>
          </w:p>
        </w:tc>
      </w:tr>
    </w:tbl>
    <w:p w:rsidR="00DF4E40" w:rsidRPr="00304864" w:rsidRDefault="00DF4E40">
      <w:pPr>
        <w:pStyle w:val="Text2"/>
        <w:ind w:left="0"/>
        <w:rPr>
          <w:rFonts w:ascii="Arial" w:hAnsi="Arial" w:cs="Arial"/>
          <w:lang w:eastAsia="sv-SE"/>
        </w:rPr>
      </w:pPr>
    </w:p>
    <w:p w:rsidR="00DF4E40" w:rsidRPr="00304864" w:rsidRDefault="00DF4E40" w:rsidP="00A30AEC">
      <w:pPr>
        <w:pStyle w:val="Heading2"/>
        <w:spacing w:after="120"/>
      </w:pPr>
      <w:bookmarkStart w:id="476" w:name="_Toc419366210"/>
      <w:bookmarkStart w:id="477" w:name="_Toc419366364"/>
      <w:bookmarkStart w:id="478" w:name="_Toc419366516"/>
      <w:bookmarkStart w:id="479" w:name="_Toc419366668"/>
      <w:bookmarkStart w:id="480" w:name="_Toc419366820"/>
      <w:bookmarkStart w:id="481" w:name="_Toc419370621"/>
      <w:bookmarkStart w:id="482" w:name="_Toc419376348"/>
      <w:bookmarkStart w:id="483" w:name="_Toc419377020"/>
      <w:bookmarkStart w:id="484" w:name="_Toc419377172"/>
      <w:bookmarkStart w:id="485" w:name="_Toc365660192"/>
      <w:bookmarkStart w:id="486" w:name="_Toc366097076"/>
      <w:bookmarkStart w:id="487" w:name="_Toc377402606"/>
      <w:bookmarkEnd w:id="476"/>
      <w:bookmarkEnd w:id="477"/>
      <w:bookmarkEnd w:id="478"/>
      <w:bookmarkEnd w:id="479"/>
      <w:bookmarkEnd w:id="480"/>
      <w:bookmarkEnd w:id="481"/>
      <w:bookmarkEnd w:id="482"/>
      <w:bookmarkEnd w:id="483"/>
      <w:bookmarkEnd w:id="484"/>
      <w:r w:rsidRPr="00304864">
        <w:br w:type="page"/>
      </w:r>
    </w:p>
    <w:p w:rsidR="00DF4E40" w:rsidRPr="00304864" w:rsidRDefault="00DF4E40" w:rsidP="00A30AEC">
      <w:pPr>
        <w:pStyle w:val="Heading2"/>
        <w:spacing w:after="120"/>
      </w:pPr>
      <w:bookmarkStart w:id="488" w:name="_Toc420652614"/>
      <w:bookmarkStart w:id="489" w:name="_Toc421076951"/>
      <w:r w:rsidRPr="00304864">
        <w:t>9.4.</w:t>
      </w:r>
      <w:r w:rsidRPr="00304864">
        <w:tab/>
        <w:t>Applicable programme implementation conditions governing the financial management, programming, monitoring, evaluation and control of the participation of third countries in transnational and interregional programmes through a contribution of ENI and IPA resources</w:t>
      </w:r>
      <w:bookmarkEnd w:id="485"/>
      <w:bookmarkEnd w:id="486"/>
      <w:bookmarkEnd w:id="487"/>
      <w:bookmarkEnd w:id="488"/>
      <w:bookmarkEnd w:id="489"/>
    </w:p>
    <w:p w:rsidR="00DF4E40" w:rsidRPr="00A30AEC" w:rsidRDefault="00DF4E40">
      <w:pPr>
        <w:pStyle w:val="Text2"/>
        <w:ind w:left="0"/>
        <w:rPr>
          <w:rFonts w:ascii="Arial" w:hAnsi="Arial" w:cs="Arial"/>
          <w:sz w:val="22"/>
          <w:szCs w:val="22"/>
        </w:rPr>
      </w:pPr>
      <w:r w:rsidRPr="00A30AEC">
        <w:rPr>
          <w:rFonts w:ascii="Arial" w:hAnsi="Arial" w:cs="Arial"/>
          <w:sz w:val="22"/>
          <w:szCs w:val="22"/>
        </w:rPr>
        <w:t>(Reference: Article 26 of Regulation (EU) No 1299/2013)</w:t>
      </w:r>
    </w:p>
    <w:p w:rsidR="00DF4E40" w:rsidRPr="00304864" w:rsidRDefault="00DF4E40">
      <w:pPr>
        <w:rPr>
          <w:rFonts w:ascii="Arial" w:hAnsi="Arial" w:cs="Arial"/>
          <w:sz w:val="22"/>
          <w:szCs w:val="22"/>
          <w:lang w:eastAsia="ar-SA"/>
        </w:rPr>
      </w:pPr>
      <w:r w:rsidRPr="00304864">
        <w:rPr>
          <w:rFonts w:ascii="Arial" w:hAnsi="Arial" w:cs="Arial"/>
          <w:sz w:val="22"/>
          <w:szCs w:val="22"/>
          <w:lang w:eastAsia="ar-SA"/>
        </w:rPr>
        <w:t xml:space="preserve">In general, the rules applicable to ERDF </w:t>
      </w:r>
      <w:r w:rsidR="00AA3E9A">
        <w:rPr>
          <w:rFonts w:ascii="Arial" w:hAnsi="Arial" w:cs="Arial"/>
          <w:sz w:val="22"/>
          <w:szCs w:val="22"/>
          <w:lang w:eastAsia="ar-SA"/>
        </w:rPr>
        <w:t>beneficiaries</w:t>
      </w:r>
      <w:r w:rsidRPr="00304864">
        <w:rPr>
          <w:rFonts w:ascii="Arial" w:hAnsi="Arial" w:cs="Arial"/>
          <w:sz w:val="22"/>
          <w:szCs w:val="22"/>
          <w:lang w:eastAsia="ar-SA"/>
        </w:rPr>
        <w:t xml:space="preserve">are also applied to IPA </w:t>
      </w:r>
      <w:r w:rsidR="00AA3E9A">
        <w:rPr>
          <w:rFonts w:ascii="Arial" w:hAnsi="Arial" w:cs="Arial"/>
          <w:sz w:val="22"/>
          <w:szCs w:val="22"/>
          <w:lang w:eastAsia="ar-SA"/>
        </w:rPr>
        <w:t>beneficiaries</w:t>
      </w:r>
      <w:r w:rsidRPr="00304864">
        <w:rPr>
          <w:rFonts w:ascii="Arial" w:hAnsi="Arial" w:cs="Arial"/>
          <w:sz w:val="22"/>
          <w:szCs w:val="22"/>
          <w:lang w:eastAsia="ar-SA"/>
        </w:rPr>
        <w:t>with regard to the implementing conditions for the financial management, programming, monitoring, evaluation and control. The following elements will be taken into account: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Financing Agreements between the European Commission, the MA and the Governments of Montenegro, Bosnia and Herzegovina, Serbia and Albania are to be signed regarding the implementation of IPA assistance integrated in the ADRION Programme;</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The aforementioned Agreements will take into account the specific rules to be applied in accordance with the Article 26 of Regulation (EU) No 1299/2013; </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the Implementing Act and the provisions regarding the contractual procedures for the for EC External Actions;</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 xml:space="preserve">IPA Funds can only be spent in or for the benefit of IPA </w:t>
      </w:r>
      <w:r w:rsidR="009E59B0" w:rsidRPr="00A30AEC">
        <w:rPr>
          <w:rFonts w:cs="Arial"/>
          <w:lang w:val="en-US" w:eastAsia="fr-BE"/>
        </w:rPr>
        <w:t>Partner States</w:t>
      </w:r>
      <w:r w:rsidRPr="00A30AEC">
        <w:rPr>
          <w:rFonts w:cs="Arial"/>
          <w:lang w:val="en-GB"/>
        </w:rPr>
        <w:t>;</w:t>
      </w:r>
    </w:p>
    <w:p w:rsidR="00DF4E40" w:rsidRPr="00A30AEC" w:rsidRDefault="00DF4E40" w:rsidP="00A30AEC">
      <w:pPr>
        <w:pStyle w:val="mStandard"/>
        <w:numPr>
          <w:ilvl w:val="0"/>
          <w:numId w:val="120"/>
        </w:numPr>
        <w:spacing w:before="0" w:after="120" w:line="240" w:lineRule="auto"/>
        <w:rPr>
          <w:rFonts w:cs="Arial"/>
          <w:lang w:val="en-GB"/>
        </w:rPr>
      </w:pPr>
      <w:r w:rsidRPr="00A30AEC">
        <w:rPr>
          <w:rFonts w:cs="Arial"/>
          <w:lang w:val="en-GB"/>
        </w:rPr>
        <w:t>IPA partners can be Lead Partners in the ADRION projects.</w:t>
      </w:r>
    </w:p>
    <w:p w:rsidR="00674CA9" w:rsidRDefault="00674CA9" w:rsidP="004841FF">
      <w:pPr>
        <w:spacing w:after="0"/>
        <w:ind w:left="34"/>
        <w:rPr>
          <w:rFonts w:ascii="Arial" w:hAnsi="Arial" w:cs="Arial"/>
          <w:sz w:val="22"/>
          <w:szCs w:val="22"/>
          <w:lang w:eastAsia="ar-SA"/>
        </w:rPr>
      </w:pPr>
    </w:p>
    <w:p w:rsidR="004841FF" w:rsidRPr="008F7B62" w:rsidRDefault="004841FF" w:rsidP="004841FF">
      <w:pPr>
        <w:spacing w:after="0"/>
        <w:ind w:left="34"/>
        <w:rPr>
          <w:rFonts w:ascii="Arial" w:hAnsi="Arial" w:cs="Arial"/>
          <w:sz w:val="22"/>
          <w:szCs w:val="22"/>
          <w:lang w:val="en-US" w:eastAsia="ar-SA"/>
        </w:rPr>
      </w:pPr>
      <w:r w:rsidRPr="008F7B62">
        <w:rPr>
          <w:rFonts w:ascii="Arial" w:hAnsi="Arial" w:cs="Arial"/>
          <w:sz w:val="22"/>
          <w:szCs w:val="22"/>
          <w:lang w:val="en-US" w:eastAsia="ar-SA"/>
        </w:rPr>
        <w:t xml:space="preserve">The programme authorities, with the support of the authorities/bodies in the IPA countries , according to their specific needs, shall: </w:t>
      </w:r>
    </w:p>
    <w:p w:rsidR="004841FF" w:rsidRPr="008F7B62" w:rsidRDefault="004841FF" w:rsidP="004841FF">
      <w:pPr>
        <w:pStyle w:val="ListParagraph"/>
        <w:numPr>
          <w:ilvl w:val="0"/>
          <w:numId w:val="159"/>
        </w:numPr>
        <w:rPr>
          <w:rFonts w:ascii="Arial" w:hAnsi="Arial" w:cs="Arial"/>
          <w:sz w:val="22"/>
          <w:szCs w:val="22"/>
          <w:lang w:val="en-US" w:eastAsia="ar-SA"/>
        </w:rPr>
      </w:pPr>
      <w:r w:rsidRPr="008F7B62">
        <w:rPr>
          <w:rFonts w:ascii="Arial" w:hAnsi="Arial" w:cs="Arial"/>
          <w:sz w:val="22"/>
          <w:szCs w:val="22"/>
          <w:lang w:val="en-GB" w:eastAsia="ar-SA"/>
        </w:rPr>
        <w:t xml:space="preserve">Support to applicants: </w:t>
      </w:r>
      <w:r w:rsidRPr="008F7B62">
        <w:rPr>
          <w:rFonts w:ascii="Arial" w:hAnsi="Arial" w:cs="Arial"/>
          <w:sz w:val="22"/>
          <w:szCs w:val="22"/>
          <w:lang w:val="en-US" w:eastAsia="ar-SA"/>
        </w:rPr>
        <w:t>provision of targeted events addressed to project generation and submission of project proposals;</w:t>
      </w:r>
    </w:p>
    <w:p w:rsidR="004841FF" w:rsidRPr="008F7B62" w:rsidRDefault="004841FF" w:rsidP="004841FF">
      <w:pPr>
        <w:pStyle w:val="ListParagraph"/>
        <w:numPr>
          <w:ilvl w:val="0"/>
          <w:numId w:val="159"/>
        </w:numPr>
        <w:rPr>
          <w:rFonts w:ascii="Arial" w:hAnsi="Arial" w:cs="Arial"/>
          <w:sz w:val="22"/>
          <w:szCs w:val="22"/>
          <w:lang w:val="en-US" w:eastAsia="ar-SA"/>
        </w:rPr>
      </w:pPr>
      <w:r w:rsidRPr="008F7B62">
        <w:rPr>
          <w:rFonts w:ascii="Arial" w:hAnsi="Arial" w:cs="Arial"/>
          <w:sz w:val="22"/>
          <w:szCs w:val="22"/>
          <w:lang w:val="en-US" w:eastAsia="ar-SA"/>
        </w:rPr>
        <w:t>Support to beneficiaries: targeted seminars/workshops addressed to project implementation, reporting, financial eligibility rules and verification of expenditure;</w:t>
      </w:r>
    </w:p>
    <w:p w:rsidR="004841FF" w:rsidRPr="008F7B62" w:rsidRDefault="004841FF" w:rsidP="004841FF">
      <w:pPr>
        <w:pStyle w:val="ListParagraph"/>
        <w:numPr>
          <w:ilvl w:val="0"/>
          <w:numId w:val="159"/>
        </w:numPr>
        <w:rPr>
          <w:rFonts w:ascii="Arial" w:hAnsi="Arial" w:cs="Arial"/>
          <w:sz w:val="22"/>
          <w:szCs w:val="22"/>
          <w:lang w:val="en-US" w:eastAsia="ar-SA"/>
        </w:rPr>
      </w:pPr>
      <w:r w:rsidRPr="008F7B62">
        <w:rPr>
          <w:rFonts w:ascii="Arial" w:hAnsi="Arial" w:cs="Arial"/>
          <w:sz w:val="22"/>
          <w:szCs w:val="22"/>
          <w:lang w:val="en-US" w:eastAsia="ar-SA"/>
        </w:rPr>
        <w:t>Support to national controllers: provision of shared check-lists and joint seminars together with the controllers of the other Partner States involved in the Programme;</w:t>
      </w:r>
    </w:p>
    <w:p w:rsidR="004841FF" w:rsidRPr="008F7B62" w:rsidRDefault="004841FF" w:rsidP="004841FF">
      <w:pPr>
        <w:pStyle w:val="ListParagraph"/>
        <w:numPr>
          <w:ilvl w:val="0"/>
          <w:numId w:val="159"/>
        </w:numPr>
        <w:rPr>
          <w:rFonts w:ascii="Arial" w:hAnsi="Arial" w:cs="Arial"/>
          <w:sz w:val="22"/>
          <w:szCs w:val="22"/>
          <w:lang w:val="en-US" w:eastAsia="ar-SA"/>
        </w:rPr>
      </w:pPr>
      <w:r w:rsidRPr="008F7B62">
        <w:rPr>
          <w:rFonts w:ascii="Arial" w:hAnsi="Arial" w:cs="Arial"/>
          <w:sz w:val="22"/>
          <w:szCs w:val="22"/>
          <w:lang w:val="en-US" w:eastAsia="ar-SA"/>
        </w:rPr>
        <w:t>Support to the capitalization of results.</w:t>
      </w:r>
    </w:p>
    <w:p w:rsidR="00DF4E40" w:rsidRPr="00304864" w:rsidRDefault="00DF4E40">
      <w:pPr>
        <w:pStyle w:val="Text2"/>
        <w:ind w:left="0"/>
        <w:rPr>
          <w:rFonts w:ascii="Arial" w:hAnsi="Arial" w:cs="Arial"/>
          <w:i/>
          <w:sz w:val="22"/>
          <w:szCs w:val="22"/>
          <w:lang w:eastAsia="sv-SE"/>
        </w:rPr>
      </w:pPr>
    </w:p>
    <w:p w:rsidR="00DF4E40" w:rsidRPr="00304864" w:rsidRDefault="00DF4E40">
      <w:pPr>
        <w:rPr>
          <w:rFonts w:ascii="Arial" w:hAnsi="Arial" w:cs="Arial"/>
          <w:sz w:val="22"/>
          <w:szCs w:val="22"/>
        </w:rPr>
      </w:pPr>
    </w:p>
    <w:p w:rsidR="00F92654" w:rsidRDefault="00F92654" w:rsidP="00A30AEC">
      <w:pPr>
        <w:pStyle w:val="Heading2"/>
        <w:rPr>
          <w:b w:val="0"/>
          <w:bCs w:val="0"/>
          <w:i w:val="0"/>
        </w:rPr>
        <w:sectPr w:rsidR="00F92654" w:rsidSect="00A961B0">
          <w:pgSz w:w="11906" w:h="16838"/>
          <w:pgMar w:top="1417" w:right="1134" w:bottom="1134" w:left="1134" w:header="601" w:footer="1077" w:gutter="0"/>
          <w:cols w:space="720"/>
        </w:sectPr>
      </w:pPr>
    </w:p>
    <w:p w:rsidR="00DF4E40" w:rsidRPr="00304864" w:rsidRDefault="00DF4E40">
      <w:pPr>
        <w:pStyle w:val="Heading1"/>
      </w:pPr>
      <w:bookmarkStart w:id="490" w:name="_Toc420652615"/>
      <w:bookmarkStart w:id="491" w:name="_Toc421076952"/>
      <w:bookmarkStart w:id="492" w:name="_Toc365660193"/>
      <w:bookmarkStart w:id="493" w:name="_Toc366097077"/>
      <w:bookmarkStart w:id="494" w:name="_Toc377402607"/>
      <w:r w:rsidRPr="00304864">
        <w:t>ANNEXES</w:t>
      </w:r>
      <w:bookmarkEnd w:id="490"/>
      <w:bookmarkEnd w:id="491"/>
    </w:p>
    <w:p w:rsidR="00DF4E40" w:rsidRPr="00304864" w:rsidRDefault="00DF4E40">
      <w:pPr>
        <w:ind w:left="511" w:hanging="284"/>
        <w:rPr>
          <w:rFonts w:ascii="Arial" w:hAnsi="Arial" w:cs="Arial"/>
          <w:i/>
          <w:sz w:val="22"/>
          <w:szCs w:val="22"/>
        </w:rPr>
      </w:pPr>
    </w:p>
    <w:p w:rsidR="00DF4E40" w:rsidRPr="00304864" w:rsidRDefault="00DF4E40">
      <w:pPr>
        <w:ind w:left="511" w:hanging="284"/>
        <w:rPr>
          <w:rFonts w:ascii="Arial" w:hAnsi="Arial" w:cs="Arial"/>
          <w:i/>
          <w:sz w:val="22"/>
          <w:szCs w:val="22"/>
        </w:rPr>
      </w:pPr>
      <w:r w:rsidRPr="00304864">
        <w:rPr>
          <w:rFonts w:ascii="Arial" w:hAnsi="Arial" w:cs="Arial"/>
          <w:i/>
          <w:sz w:val="22"/>
          <w:szCs w:val="22"/>
        </w:rPr>
        <w:t>(uploaded to SFC 2014 as separate files)</w:t>
      </w:r>
      <w:bookmarkEnd w:id="492"/>
      <w:bookmarkEnd w:id="493"/>
      <w:bookmarkEnd w:id="494"/>
    </w:p>
    <w:p w:rsidR="00DF4E40" w:rsidRPr="00304864" w:rsidRDefault="00DF4E40">
      <w:pPr>
        <w:ind w:left="511" w:hanging="284"/>
        <w:rPr>
          <w:rFonts w:ascii="Arial" w:hAnsi="Arial" w:cs="Arial"/>
          <w:i/>
          <w:sz w:val="22"/>
          <w:szCs w:val="22"/>
        </w:rPr>
      </w:pP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US"/>
        </w:rPr>
        <w:t xml:space="preserve">Draft </w:t>
      </w:r>
      <w:r w:rsidRPr="00A30AEC">
        <w:rPr>
          <w:rFonts w:cs="Arial"/>
          <w:lang w:val="en-GB"/>
        </w:rPr>
        <w:t>report</w:t>
      </w:r>
      <w:r w:rsidRPr="00A30AEC">
        <w:rPr>
          <w:rFonts w:cs="Arial"/>
          <w:lang w:val="en-US"/>
        </w:rPr>
        <w:t xml:space="preserve"> of the </w:t>
      </w:r>
      <w:r w:rsidRPr="00A30AEC">
        <w:rPr>
          <w:rFonts w:cs="Arial"/>
          <w:i/>
          <w:lang w:val="en-US"/>
        </w:rPr>
        <w:t>ex-ante</w:t>
      </w:r>
      <w:r w:rsidRPr="00A30AEC">
        <w:rPr>
          <w:rFonts w:cs="Arial"/>
          <w:lang w:val="en-US"/>
        </w:rPr>
        <w:t xml:space="preserve"> evaluation, with an executive summary;</w:t>
      </w:r>
    </w:p>
    <w:p w:rsidR="00DF4E40" w:rsidRDefault="00DF4E40" w:rsidP="00A30AEC">
      <w:pPr>
        <w:ind w:left="511" w:firstLine="56"/>
        <w:rPr>
          <w:rFonts w:ascii="Arial" w:hAnsi="Arial" w:cs="Arial"/>
          <w:sz w:val="22"/>
          <w:szCs w:val="22"/>
        </w:rPr>
      </w:pPr>
      <w:r w:rsidRPr="00A30AEC">
        <w:rPr>
          <w:rFonts w:ascii="Arial" w:hAnsi="Arial" w:cs="Arial"/>
          <w:sz w:val="22"/>
          <w:szCs w:val="22"/>
        </w:rPr>
        <w:t>(Reference: Article 55(2) of Regulation (EU) No 1303/2013)</w:t>
      </w:r>
    </w:p>
    <w:p w:rsidR="003D51B4" w:rsidRDefault="003D51B4" w:rsidP="00A30AEC">
      <w:pPr>
        <w:ind w:left="511" w:firstLine="56"/>
        <w:rPr>
          <w:rFonts w:ascii="Arial" w:hAnsi="Arial" w:cs="Arial"/>
          <w:sz w:val="22"/>
          <w:szCs w:val="22"/>
        </w:rPr>
      </w:pPr>
    </w:p>
    <w:p w:rsidR="003D51B4" w:rsidRPr="003D51B4" w:rsidRDefault="003D51B4" w:rsidP="003D51B4">
      <w:pPr>
        <w:pStyle w:val="mStandard"/>
        <w:numPr>
          <w:ilvl w:val="0"/>
          <w:numId w:val="120"/>
        </w:numPr>
        <w:spacing w:before="0" w:after="120" w:line="240" w:lineRule="auto"/>
        <w:rPr>
          <w:rFonts w:cs="Arial"/>
          <w:lang w:val="en-US"/>
        </w:rPr>
      </w:pPr>
      <w:r w:rsidRPr="003D51B4">
        <w:rPr>
          <w:rFonts w:cs="Arial"/>
          <w:lang w:val="en-US"/>
        </w:rPr>
        <w:t xml:space="preserve">Report on the </w:t>
      </w:r>
      <w:r w:rsidRPr="003D51B4">
        <w:rPr>
          <w:rFonts w:cs="Arial"/>
          <w:lang w:val="en-GB"/>
        </w:rPr>
        <w:t>Strategic Environmental Assessment</w:t>
      </w:r>
      <w:r>
        <w:rPr>
          <w:rFonts w:cs="Arial"/>
          <w:lang w:val="en-GB"/>
        </w:rPr>
        <w:t>;</w:t>
      </w:r>
    </w:p>
    <w:p w:rsidR="00DF4E40" w:rsidRPr="00304864" w:rsidRDefault="00DF4E40">
      <w:pPr>
        <w:ind w:left="511" w:hanging="284"/>
        <w:rPr>
          <w:rFonts w:ascii="Arial" w:hAnsi="Arial" w:cs="Arial"/>
          <w:i/>
          <w:sz w:val="22"/>
          <w:szCs w:val="22"/>
        </w:rPr>
      </w:pP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GB"/>
        </w:rPr>
        <w:t>Confirmation</w:t>
      </w:r>
      <w:r w:rsidRPr="00A30AEC">
        <w:rPr>
          <w:rFonts w:cs="Arial"/>
          <w:lang w:val="en-US"/>
        </w:rPr>
        <w:t xml:space="preserve"> of agreement in writing to the contents of the cooperation programme;</w:t>
      </w:r>
    </w:p>
    <w:p w:rsidR="00DF4E40" w:rsidRPr="00A30AEC" w:rsidRDefault="00DF4E40" w:rsidP="00A30AEC">
      <w:pPr>
        <w:ind w:left="511" w:firstLine="56"/>
        <w:rPr>
          <w:rFonts w:ascii="Arial" w:hAnsi="Arial" w:cs="Arial"/>
          <w:sz w:val="22"/>
          <w:szCs w:val="22"/>
        </w:rPr>
      </w:pPr>
      <w:r w:rsidRPr="00A30AEC">
        <w:rPr>
          <w:rFonts w:ascii="Arial" w:hAnsi="Arial" w:cs="Arial"/>
          <w:sz w:val="22"/>
          <w:szCs w:val="22"/>
        </w:rPr>
        <w:t>(Reference: Article 8(9) of Regulation (EU) No 1299/2013)</w:t>
      </w:r>
    </w:p>
    <w:p w:rsidR="00DF4E40" w:rsidRPr="00304864" w:rsidRDefault="00DF4E40">
      <w:pPr>
        <w:ind w:left="511" w:hanging="284"/>
        <w:rPr>
          <w:rFonts w:ascii="Arial" w:hAnsi="Arial" w:cs="Arial"/>
          <w:i/>
          <w:sz w:val="22"/>
          <w:szCs w:val="22"/>
        </w:rPr>
      </w:pPr>
    </w:p>
    <w:p w:rsidR="00DF4E40" w:rsidRPr="00A30AEC" w:rsidRDefault="00DF4E40" w:rsidP="00A30AEC">
      <w:pPr>
        <w:pStyle w:val="mStandard"/>
        <w:numPr>
          <w:ilvl w:val="0"/>
          <w:numId w:val="120"/>
        </w:numPr>
        <w:spacing w:before="0" w:after="120" w:line="240" w:lineRule="auto"/>
        <w:rPr>
          <w:rFonts w:cs="Arial"/>
          <w:lang w:val="en-US"/>
        </w:rPr>
      </w:pPr>
      <w:r w:rsidRPr="00A30AEC">
        <w:rPr>
          <w:rFonts w:cs="Arial"/>
          <w:lang w:val="en-US"/>
        </w:rPr>
        <w:t xml:space="preserve">A </w:t>
      </w:r>
      <w:r w:rsidRPr="00A30AEC">
        <w:rPr>
          <w:rFonts w:cs="Arial"/>
          <w:lang w:val="en-GB"/>
        </w:rPr>
        <w:t>citizens'</w:t>
      </w:r>
      <w:r w:rsidRPr="00A30AEC">
        <w:rPr>
          <w:rFonts w:cs="Arial"/>
          <w:lang w:val="en-US"/>
        </w:rPr>
        <w:t xml:space="preserve"> summary of the cooperation programme.</w:t>
      </w:r>
    </w:p>
    <w:p w:rsidR="00DF4E40" w:rsidRPr="00304864" w:rsidRDefault="00DF4E40">
      <w:pPr>
        <w:ind w:left="284"/>
        <w:rPr>
          <w:rFonts w:ascii="Arial" w:hAnsi="Arial" w:cs="Arial"/>
          <w:sz w:val="22"/>
          <w:szCs w:val="22"/>
        </w:rPr>
      </w:pPr>
      <w:bookmarkStart w:id="495" w:name="_GoBack"/>
      <w:bookmarkEnd w:id="495"/>
      <w:r w:rsidRPr="00304864">
        <w:rPr>
          <w:rFonts w:ascii="Arial" w:hAnsi="Arial" w:cs="Arial"/>
          <w:sz w:val="22"/>
          <w:szCs w:val="22"/>
        </w:rPr>
        <w:br w:type="page"/>
      </w:r>
    </w:p>
    <w:p w:rsidR="00DF4E40" w:rsidRPr="00304864" w:rsidRDefault="00DF4E40">
      <w:pPr>
        <w:jc w:val="center"/>
        <w:rPr>
          <w:rFonts w:ascii="Arial" w:hAnsi="Arial" w:cs="Arial"/>
          <w:b/>
          <w:sz w:val="22"/>
          <w:szCs w:val="22"/>
        </w:rPr>
      </w:pPr>
      <w:r w:rsidRPr="00304864">
        <w:rPr>
          <w:rFonts w:ascii="Arial" w:hAnsi="Arial" w:cs="Arial"/>
          <w:b/>
          <w:sz w:val="22"/>
          <w:szCs w:val="22"/>
        </w:rPr>
        <w:t>Glossary</w:t>
      </w:r>
    </w:p>
    <w:p w:rsidR="00DF4E40" w:rsidRPr="00304864" w:rsidRDefault="00DF4E40">
      <w:pPr>
        <w:jc w:val="center"/>
        <w:rPr>
          <w:rFonts w:ascii="Arial" w:hAnsi="Arial" w:cs="Arial"/>
          <w:b/>
          <w:sz w:val="22"/>
          <w:szCs w:val="22"/>
        </w:rPr>
      </w:pPr>
    </w:p>
    <w:p w:rsidR="00DF4E40" w:rsidRPr="00304864" w:rsidRDefault="00DF4E40">
      <w:pPr>
        <w:rPr>
          <w:rFonts w:ascii="Arial" w:hAnsi="Arial" w:cs="Arial"/>
          <w:b/>
          <w:sz w:val="22"/>
          <w:szCs w:val="22"/>
        </w:rPr>
      </w:pPr>
      <w:r w:rsidRPr="00304864">
        <w:rPr>
          <w:rFonts w:ascii="Arial" w:hAnsi="Arial" w:cs="Arial"/>
          <w:b/>
          <w:sz w:val="22"/>
          <w:szCs w:val="22"/>
        </w:rPr>
        <w:t>Baseline</w:t>
      </w:r>
    </w:p>
    <w:p w:rsidR="00DF4E40" w:rsidRPr="00304864" w:rsidRDefault="00DF4E40">
      <w:pPr>
        <w:rPr>
          <w:rFonts w:ascii="Arial" w:hAnsi="Arial" w:cs="Arial"/>
          <w:sz w:val="22"/>
          <w:szCs w:val="22"/>
        </w:rPr>
      </w:pPr>
      <w:r w:rsidRPr="00304864">
        <w:rPr>
          <w:rFonts w:ascii="Arial" w:hAnsi="Arial" w:cs="Arial"/>
          <w:sz w:val="22"/>
          <w:szCs w:val="22"/>
          <w:lang w:eastAsia="en-GB"/>
        </w:rPr>
        <w:t>Each result indicator requires a baseline value (art. 6 of Regulation (EU) No 1301/2013, art. 5, of the Regulation (EU) No 1300/2013, art. 16 of Regulation (EU) No 1299/2013). A baseline is the value of a result indicator at the beginning of the programming period (for example, the number of start-ups in that year for a priority that intends to drive up the number of start-ups in a region). It can be available from statistical or administrative data (“Guidance document on monitoring and evaluation – ERDF and cohesion fund, Concepts and recommendations” - EU Commission, March 2014).</w:t>
      </w:r>
    </w:p>
    <w:p w:rsidR="00DF4E40" w:rsidRPr="00304864" w:rsidRDefault="00DF4E40">
      <w:pPr>
        <w:pStyle w:val="Default"/>
        <w:spacing w:after="120"/>
        <w:jc w:val="both"/>
        <w:rPr>
          <w:sz w:val="22"/>
          <w:szCs w:val="22"/>
        </w:rPr>
      </w:pPr>
      <w:r w:rsidRPr="00304864">
        <w:rPr>
          <w:b/>
          <w:bCs/>
          <w:sz w:val="22"/>
          <w:szCs w:val="22"/>
        </w:rPr>
        <w:t>Beneficiary</w:t>
      </w:r>
    </w:p>
    <w:p w:rsidR="00DF4E40" w:rsidRPr="00304864" w:rsidRDefault="00DF4E40">
      <w:pPr>
        <w:pStyle w:val="Default"/>
        <w:spacing w:after="120"/>
        <w:jc w:val="both"/>
        <w:rPr>
          <w:b/>
          <w:sz w:val="22"/>
          <w:szCs w:val="22"/>
        </w:rPr>
      </w:pPr>
      <w:r w:rsidRPr="00304864">
        <w:rPr>
          <w:sz w:val="22"/>
          <w:szCs w:val="22"/>
        </w:rPr>
        <w:t>Beneficiary means a public or private body responsible for initiating or both initiating and implementing operations (according to Article 2(10) of the Regulation (EU) No 1303/2013 benefitting from programme funds).</w:t>
      </w:r>
    </w:p>
    <w:p w:rsidR="00DF4E40" w:rsidRPr="00304864" w:rsidRDefault="00DF4E40">
      <w:pPr>
        <w:pStyle w:val="Default"/>
        <w:spacing w:after="120"/>
        <w:jc w:val="both"/>
        <w:rPr>
          <w:b/>
          <w:sz w:val="22"/>
          <w:szCs w:val="22"/>
        </w:rPr>
      </w:pPr>
      <w:r w:rsidRPr="00304864">
        <w:rPr>
          <w:b/>
          <w:sz w:val="22"/>
          <w:szCs w:val="22"/>
        </w:rPr>
        <w:t xml:space="preserve">Blue </w:t>
      </w:r>
      <w:r w:rsidRPr="00304864">
        <w:rPr>
          <w:b/>
          <w:bCs/>
          <w:sz w:val="22"/>
          <w:szCs w:val="22"/>
        </w:rPr>
        <w:t>growth</w:t>
      </w:r>
    </w:p>
    <w:p w:rsidR="00DF4E40" w:rsidRPr="00304864" w:rsidRDefault="00DF4E40">
      <w:pPr>
        <w:pStyle w:val="Default"/>
        <w:spacing w:after="120"/>
        <w:jc w:val="both"/>
        <w:rPr>
          <w:sz w:val="22"/>
          <w:szCs w:val="22"/>
        </w:rPr>
      </w:pPr>
      <w:r w:rsidRPr="00304864">
        <w:rPr>
          <w:sz w:val="22"/>
          <w:szCs w:val="22"/>
        </w:rPr>
        <w:t>Blue growth is the long term strategy to support sustainable growth in the marine and maritime sectors as a whole. It recognises that seas and oceans are drivers for the European economy with great potential for innovation and growth. It is the Integrated Maritime Policy's contribution to achieving the goals of the EU2020 strategy for smart, sustainable and inclusive growth.</w:t>
      </w:r>
    </w:p>
    <w:p w:rsidR="00DF4E40" w:rsidRPr="00304864" w:rsidRDefault="00DF4E40">
      <w:pPr>
        <w:pStyle w:val="Default"/>
        <w:spacing w:after="120"/>
        <w:jc w:val="both"/>
        <w:rPr>
          <w:b/>
          <w:sz w:val="22"/>
          <w:szCs w:val="22"/>
        </w:rPr>
      </w:pPr>
      <w:r w:rsidRPr="00304864">
        <w:rPr>
          <w:b/>
          <w:sz w:val="22"/>
          <w:szCs w:val="22"/>
        </w:rPr>
        <w:t>Capacity building</w:t>
      </w:r>
    </w:p>
    <w:p w:rsidR="00DF4E40" w:rsidRPr="00304864" w:rsidRDefault="00DF4E40">
      <w:pPr>
        <w:pStyle w:val="Default"/>
        <w:spacing w:after="120"/>
        <w:jc w:val="both"/>
        <w:rPr>
          <w:sz w:val="22"/>
          <w:szCs w:val="22"/>
        </w:rPr>
      </w:pPr>
      <w:r w:rsidRPr="00304864">
        <w:rPr>
          <w:sz w:val="22"/>
          <w:szCs w:val="22"/>
          <w:shd w:val="clear" w:color="auto" w:fill="FFFFFF"/>
        </w:rPr>
        <w:t>Capacity building focuses on understanding the obstacles that inhibit people, institutions and public authorities from realizing their developmental goals while enhancing the abilities that will allow them to achieve measurable and sustainable results.</w:t>
      </w:r>
    </w:p>
    <w:p w:rsidR="00DF4E40" w:rsidRPr="00304864" w:rsidRDefault="00DF4E40">
      <w:pPr>
        <w:pStyle w:val="Default"/>
        <w:spacing w:after="120"/>
        <w:jc w:val="both"/>
        <w:rPr>
          <w:sz w:val="22"/>
          <w:szCs w:val="22"/>
        </w:rPr>
      </w:pPr>
      <w:r w:rsidRPr="00304864">
        <w:rPr>
          <w:b/>
          <w:bCs/>
          <w:sz w:val="22"/>
          <w:szCs w:val="22"/>
        </w:rPr>
        <w:t xml:space="preserve">Capitalisation </w:t>
      </w:r>
    </w:p>
    <w:p w:rsidR="00DF4E40" w:rsidRPr="00304864" w:rsidRDefault="00DF4E40">
      <w:pPr>
        <w:pStyle w:val="Default"/>
        <w:spacing w:after="120"/>
        <w:jc w:val="both"/>
        <w:rPr>
          <w:sz w:val="22"/>
          <w:szCs w:val="22"/>
        </w:rPr>
      </w:pPr>
      <w:r w:rsidRPr="00304864">
        <w:rPr>
          <w:sz w:val="22"/>
          <w:szCs w:val="22"/>
        </w:rPr>
        <w:t xml:space="preserve">Organisation of data concerning the implementation of programmes, projects, concerning their impacts, the methods used in order to make the accumulated experience usable for other programmes, projects or stakeholder groups. </w:t>
      </w:r>
    </w:p>
    <w:p w:rsidR="00DF4E40" w:rsidRPr="00304864" w:rsidRDefault="00DF4E40">
      <w:pPr>
        <w:pStyle w:val="Default"/>
        <w:spacing w:after="120"/>
        <w:jc w:val="both"/>
        <w:rPr>
          <w:sz w:val="22"/>
          <w:szCs w:val="22"/>
        </w:rPr>
      </w:pPr>
      <w:r w:rsidRPr="00304864">
        <w:rPr>
          <w:b/>
          <w:bCs/>
          <w:sz w:val="22"/>
          <w:szCs w:val="22"/>
        </w:rPr>
        <w:t>Cluster</w:t>
      </w:r>
    </w:p>
    <w:p w:rsidR="00DF4E40" w:rsidRPr="00304864" w:rsidRDefault="00DF4E40">
      <w:pPr>
        <w:pStyle w:val="Default"/>
        <w:spacing w:after="120"/>
        <w:jc w:val="both"/>
        <w:rPr>
          <w:sz w:val="22"/>
          <w:szCs w:val="22"/>
        </w:rPr>
      </w:pPr>
      <w:r w:rsidRPr="00304864">
        <w:rPr>
          <w:sz w:val="22"/>
          <w:szCs w:val="22"/>
        </w:rPr>
        <w:t xml:space="preserve">A </w:t>
      </w:r>
      <w:r w:rsidRPr="00304864">
        <w:rPr>
          <w:bCs/>
          <w:sz w:val="22"/>
          <w:szCs w:val="22"/>
        </w:rPr>
        <w:t xml:space="preserve">business cluster </w:t>
      </w:r>
      <w:r w:rsidRPr="00304864">
        <w:rPr>
          <w:sz w:val="22"/>
          <w:szCs w:val="22"/>
        </w:rPr>
        <w:t>is a geographic concentration of interconnected businesses, suppliers, and associated institutions in a particular field. Clusters are considered to increase the productivity with which companies can compete, nationally and globally.</w:t>
      </w:r>
    </w:p>
    <w:p w:rsidR="00DF4E40" w:rsidRPr="00304864" w:rsidRDefault="00DF4E40">
      <w:pPr>
        <w:pStyle w:val="Default"/>
        <w:spacing w:after="120"/>
        <w:jc w:val="both"/>
        <w:rPr>
          <w:b/>
          <w:sz w:val="22"/>
          <w:szCs w:val="22"/>
        </w:rPr>
      </w:pPr>
      <w:r w:rsidRPr="00304864">
        <w:rPr>
          <w:b/>
          <w:sz w:val="22"/>
          <w:szCs w:val="22"/>
        </w:rPr>
        <w:t xml:space="preserve">Creative industries </w:t>
      </w:r>
    </w:p>
    <w:p w:rsidR="00DF4E40" w:rsidRPr="00304864" w:rsidRDefault="00DF4E40">
      <w:pPr>
        <w:pStyle w:val="Default"/>
        <w:spacing w:after="120"/>
        <w:jc w:val="both"/>
        <w:rPr>
          <w:bCs/>
          <w:sz w:val="22"/>
          <w:szCs w:val="22"/>
        </w:rPr>
      </w:pPr>
      <w:r w:rsidRPr="00304864">
        <w:rPr>
          <w:bCs/>
          <w:sz w:val="22"/>
          <w:szCs w:val="22"/>
        </w:rPr>
        <w:t>Industries that use culture as an input and have a cultural dimension. They include architecture and design, which integrate creative elements into wider processes, as well as subsectors such as graphic design, fashion design or advertising (Working group of EU Member States experts - open method of coordination - on cultural and creative industries, 2012: Policy Handbook).</w:t>
      </w:r>
    </w:p>
    <w:p w:rsidR="00DF4E40" w:rsidRPr="00304864" w:rsidRDefault="00DF4E40">
      <w:pPr>
        <w:rPr>
          <w:rFonts w:ascii="Arial" w:hAnsi="Arial" w:cs="Arial"/>
          <w:b/>
          <w:sz w:val="22"/>
          <w:szCs w:val="22"/>
        </w:rPr>
      </w:pPr>
      <w:r w:rsidRPr="00304864">
        <w:rPr>
          <w:rFonts w:ascii="Arial" w:hAnsi="Arial" w:cs="Arial"/>
          <w:b/>
          <w:sz w:val="22"/>
          <w:szCs w:val="22"/>
        </w:rPr>
        <w:t>Cultural heritage and cultural resources</w:t>
      </w:r>
    </w:p>
    <w:p w:rsidR="00DF4E40" w:rsidRPr="00304864" w:rsidRDefault="00DF4E40">
      <w:pPr>
        <w:rPr>
          <w:rFonts w:ascii="Arial" w:hAnsi="Arial" w:cs="Arial"/>
          <w:bCs/>
          <w:sz w:val="22"/>
          <w:szCs w:val="22"/>
        </w:rPr>
      </w:pPr>
      <w:r w:rsidRPr="00304864">
        <w:rPr>
          <w:rFonts w:ascii="Arial" w:hAnsi="Arial" w:cs="Arial"/>
          <w:bCs/>
          <w:sz w:val="22"/>
          <w:szCs w:val="22"/>
        </w:rPr>
        <w:t>Cultural heritage is composed of tangible heritage including buildings and historic places, monuments, etc. and intangible cultural heritage which refers to practices, representations, expressions, knowledge, skills, etc. (UNESCO, “Convention for the safeguarding of the intangible cultural heritage”, 2003).</w:t>
      </w:r>
    </w:p>
    <w:p w:rsidR="00DF4E40" w:rsidRPr="00304864" w:rsidRDefault="00DF4E40">
      <w:pPr>
        <w:rPr>
          <w:rFonts w:ascii="Arial" w:hAnsi="Arial" w:cs="Arial"/>
          <w:bCs/>
          <w:sz w:val="22"/>
          <w:szCs w:val="22"/>
        </w:rPr>
      </w:pPr>
      <w:r w:rsidRPr="00304864">
        <w:rPr>
          <w:rFonts w:ascii="Arial" w:hAnsi="Arial" w:cs="Arial"/>
          <w:bCs/>
          <w:sz w:val="22"/>
          <w:szCs w:val="22"/>
        </w:rPr>
        <w:t>Cultural resources comprise both elements, the tangible and intangible cultural heritage, encompassing current culture, including progressive, innovative and urban culture. These resources can be valorised among others in cultural and creative industries.</w:t>
      </w:r>
    </w:p>
    <w:p w:rsidR="00DF4E40" w:rsidRPr="00304864" w:rsidRDefault="00DF4E40">
      <w:pPr>
        <w:pStyle w:val="Default"/>
        <w:spacing w:after="120"/>
        <w:jc w:val="both"/>
        <w:rPr>
          <w:sz w:val="22"/>
          <w:szCs w:val="22"/>
        </w:rPr>
      </w:pPr>
      <w:r w:rsidRPr="00304864">
        <w:rPr>
          <w:b/>
          <w:bCs/>
          <w:sz w:val="22"/>
          <w:szCs w:val="22"/>
        </w:rPr>
        <w:t xml:space="preserve">Economic operator </w:t>
      </w:r>
    </w:p>
    <w:p w:rsidR="00DF4E40" w:rsidRPr="00304864" w:rsidRDefault="00DF4E40">
      <w:pPr>
        <w:pStyle w:val="Default"/>
        <w:spacing w:after="120"/>
        <w:jc w:val="both"/>
        <w:rPr>
          <w:sz w:val="22"/>
          <w:szCs w:val="22"/>
        </w:rPr>
      </w:pPr>
      <w:r w:rsidRPr="00304864">
        <w:rPr>
          <w:sz w:val="22"/>
          <w:szCs w:val="22"/>
        </w:rPr>
        <w:t xml:space="preserve">According to the </w:t>
      </w:r>
      <w:r w:rsidR="004B67C5">
        <w:rPr>
          <w:sz w:val="22"/>
          <w:szCs w:val="22"/>
        </w:rPr>
        <w:t>A</w:t>
      </w:r>
      <w:r w:rsidRPr="00304864">
        <w:rPr>
          <w:sz w:val="22"/>
          <w:szCs w:val="22"/>
        </w:rPr>
        <w:t>rticle 1(8) of EU Directive 2004/18/EC of the European Parliament and of the Council of 31 March 2004 on the coordination of procedures for the award of public works contracts, public supply contracts and public service contracts, is considered as “economic operator”any natural or legal person or public entity or group of such persons and/or bodies which offers on the market, respectively, the execution of works and/or a work, products or services. As such, competition rules do not depend on the legal status of each institution involved (public or private) but on the nature of the activity realised.</w:t>
      </w:r>
    </w:p>
    <w:p w:rsidR="00DF4E40" w:rsidRPr="00304864" w:rsidRDefault="00DF4E40">
      <w:pPr>
        <w:pStyle w:val="Default"/>
        <w:spacing w:after="120"/>
        <w:jc w:val="both"/>
        <w:rPr>
          <w:b/>
          <w:sz w:val="22"/>
          <w:szCs w:val="22"/>
        </w:rPr>
      </w:pPr>
      <w:r w:rsidRPr="00304864">
        <w:rPr>
          <w:b/>
          <w:sz w:val="22"/>
          <w:szCs w:val="22"/>
        </w:rPr>
        <w:t>Energy efficiency</w:t>
      </w:r>
    </w:p>
    <w:p w:rsidR="00DF4E40" w:rsidRPr="00304864" w:rsidRDefault="00DF4E40">
      <w:pPr>
        <w:pStyle w:val="Default"/>
        <w:spacing w:after="120"/>
        <w:jc w:val="both"/>
        <w:rPr>
          <w:bCs/>
          <w:sz w:val="22"/>
          <w:szCs w:val="22"/>
        </w:rPr>
      </w:pPr>
      <w:r w:rsidRPr="00304864">
        <w:rPr>
          <w:bCs/>
          <w:sz w:val="22"/>
          <w:szCs w:val="22"/>
        </w:rPr>
        <w:t>Energy efficiency improvements refer to a reduction in the energy used for a given service (heating, lighting, etc.) or level of activity. The reduction in the energy consumption is usually associated with technological changes, but not always since it can also result from better organisation and management or improved economic conditions in the sector ("non-technical factors") (World Energy Council, “Energy Efficiency Policies around the World: Review and Evaluation”, 2008).</w:t>
      </w:r>
    </w:p>
    <w:p w:rsidR="00DF4E40" w:rsidRPr="00304864" w:rsidRDefault="00DF4E40">
      <w:pPr>
        <w:rPr>
          <w:rFonts w:ascii="Arial" w:hAnsi="Arial" w:cs="Arial"/>
          <w:b/>
          <w:sz w:val="22"/>
          <w:szCs w:val="22"/>
        </w:rPr>
      </w:pPr>
      <w:r w:rsidRPr="00304864">
        <w:rPr>
          <w:rFonts w:ascii="Arial" w:hAnsi="Arial" w:cs="Arial"/>
          <w:b/>
          <w:sz w:val="22"/>
          <w:szCs w:val="22"/>
        </w:rPr>
        <w:t>Environmental protection</w:t>
      </w:r>
    </w:p>
    <w:p w:rsidR="00DF4E40" w:rsidRPr="00304864" w:rsidRDefault="00DF4E40">
      <w:pPr>
        <w:rPr>
          <w:rFonts w:ascii="Arial" w:hAnsi="Arial" w:cs="Arial"/>
          <w:bCs/>
          <w:sz w:val="22"/>
          <w:szCs w:val="22"/>
        </w:rPr>
      </w:pPr>
      <w:r w:rsidRPr="00304864">
        <w:rPr>
          <w:rFonts w:ascii="Arial" w:hAnsi="Arial" w:cs="Arial"/>
          <w:bCs/>
          <w:sz w:val="22"/>
          <w:szCs w:val="22"/>
        </w:rPr>
        <w:t>Any activity that maintains the balance of the environment by preventing contamination and the deterioration of the natural resources, including activities such as: a) changes in the characteristics of goods and services, and changes in consumption patterns; b) changes in production techniques; c) waste treatment; d) recycling; e) prevention of landscape degradation (IUCN, “Definitions”, 2011).</w:t>
      </w:r>
    </w:p>
    <w:p w:rsidR="00DF4E40" w:rsidRPr="00304864" w:rsidRDefault="00DF4E40">
      <w:pPr>
        <w:rPr>
          <w:rFonts w:ascii="Arial" w:hAnsi="Arial" w:cs="Arial"/>
          <w:b/>
          <w:bCs/>
          <w:sz w:val="22"/>
          <w:szCs w:val="22"/>
        </w:rPr>
      </w:pPr>
      <w:r w:rsidRPr="00304864">
        <w:rPr>
          <w:rFonts w:ascii="Arial" w:hAnsi="Arial" w:cs="Arial"/>
          <w:b/>
          <w:bCs/>
          <w:sz w:val="22"/>
          <w:szCs w:val="22"/>
        </w:rPr>
        <w:t>Green growth</w:t>
      </w:r>
    </w:p>
    <w:p w:rsidR="00DF4E40" w:rsidRPr="00304864" w:rsidRDefault="00DF4E40">
      <w:pPr>
        <w:rPr>
          <w:rFonts w:ascii="Arial" w:hAnsi="Arial" w:cs="Arial"/>
          <w:bCs/>
          <w:sz w:val="22"/>
          <w:szCs w:val="22"/>
        </w:rPr>
      </w:pPr>
      <w:r w:rsidRPr="00304864">
        <w:rPr>
          <w:rFonts w:ascii="Arial" w:hAnsi="Arial" w:cs="Arial"/>
          <w:bCs/>
          <w:sz w:val="22"/>
          <w:szCs w:val="22"/>
        </w:rPr>
        <w:t>Green growth is about fostering economic growth and development while ensuring that natural assets continue to provide the resources and environmental services on which our well-being relies. To do this, it must catalyse investment and innovation which will underpin sustained growth and give rise to new economic opportunities (</w:t>
      </w:r>
      <w:r w:rsidRPr="00304864">
        <w:rPr>
          <w:rFonts w:ascii="Arial" w:hAnsi="Arial" w:cs="Arial"/>
          <w:sz w:val="22"/>
          <w:szCs w:val="22"/>
        </w:rPr>
        <w:t>OECD, “Towards Green Growth, Monitoring Progress, Glossary of terms and definitions”, 2011)</w:t>
      </w:r>
      <w:r w:rsidRPr="00304864">
        <w:rPr>
          <w:rFonts w:ascii="Arial" w:hAnsi="Arial" w:cs="Arial"/>
          <w:bCs/>
          <w:sz w:val="22"/>
          <w:szCs w:val="22"/>
        </w:rPr>
        <w:t>.</w:t>
      </w:r>
    </w:p>
    <w:p w:rsidR="00DF4E40" w:rsidRPr="00304864" w:rsidRDefault="00DF4E40">
      <w:pPr>
        <w:pStyle w:val="Default"/>
        <w:spacing w:after="120"/>
        <w:jc w:val="both"/>
        <w:rPr>
          <w:sz w:val="22"/>
          <w:szCs w:val="22"/>
        </w:rPr>
      </w:pPr>
      <w:r w:rsidRPr="00304864">
        <w:rPr>
          <w:b/>
          <w:bCs/>
          <w:sz w:val="22"/>
          <w:szCs w:val="22"/>
        </w:rPr>
        <w:t>Indicator</w:t>
      </w:r>
    </w:p>
    <w:p w:rsidR="00DF4E40" w:rsidRPr="00304864" w:rsidRDefault="00DF4E40">
      <w:pPr>
        <w:rPr>
          <w:rFonts w:ascii="Arial" w:hAnsi="Arial" w:cs="Arial"/>
          <w:sz w:val="22"/>
          <w:szCs w:val="22"/>
        </w:rPr>
      </w:pPr>
      <w:r w:rsidRPr="00304864">
        <w:rPr>
          <w:rFonts w:ascii="Arial" w:hAnsi="Arial" w:cs="Arial"/>
          <w:sz w:val="22"/>
          <w:szCs w:val="22"/>
        </w:rPr>
        <w:t>An indicator can be defined as a way of measuring an objective to be met, a resource committed, an effect obtained, a gauge of quality or a context variable. An indicator should be made up by a definition.</w:t>
      </w:r>
    </w:p>
    <w:p w:rsidR="00DF4E40" w:rsidRPr="00304864" w:rsidRDefault="00DF4E40">
      <w:pPr>
        <w:pStyle w:val="Default"/>
        <w:spacing w:after="120"/>
        <w:ind w:left="227"/>
        <w:jc w:val="both"/>
        <w:rPr>
          <w:i/>
          <w:sz w:val="22"/>
          <w:szCs w:val="22"/>
        </w:rPr>
      </w:pPr>
      <w:r w:rsidRPr="00304864">
        <w:rPr>
          <w:b/>
          <w:bCs/>
          <w:i/>
          <w:sz w:val="22"/>
          <w:szCs w:val="22"/>
        </w:rPr>
        <w:t>Output indicator</w:t>
      </w:r>
    </w:p>
    <w:p w:rsidR="00DF4E40" w:rsidRPr="00304864" w:rsidRDefault="00DF4E40">
      <w:pPr>
        <w:pStyle w:val="Default"/>
        <w:spacing w:after="120"/>
        <w:ind w:left="227"/>
        <w:jc w:val="both"/>
        <w:rPr>
          <w:sz w:val="22"/>
          <w:szCs w:val="22"/>
        </w:rPr>
      </w:pPr>
      <w:r w:rsidRPr="00304864">
        <w:rPr>
          <w:sz w:val="22"/>
          <w:szCs w:val="22"/>
        </w:rPr>
        <w:t xml:space="preserve">Output indicators relate to activity. They are measured in physical or monetary units (e.g. number of firms supported, number of action plans elaborated, etc.). </w:t>
      </w:r>
    </w:p>
    <w:p w:rsidR="00DF4E40" w:rsidRPr="00304864" w:rsidRDefault="00DF4E40">
      <w:pPr>
        <w:pStyle w:val="Default"/>
        <w:spacing w:after="120"/>
        <w:ind w:left="227"/>
        <w:jc w:val="both"/>
        <w:rPr>
          <w:i/>
          <w:sz w:val="22"/>
          <w:szCs w:val="22"/>
        </w:rPr>
      </w:pPr>
      <w:r w:rsidRPr="00304864">
        <w:rPr>
          <w:b/>
          <w:bCs/>
          <w:i/>
          <w:sz w:val="22"/>
          <w:szCs w:val="22"/>
        </w:rPr>
        <w:t>Result indicator</w:t>
      </w:r>
    </w:p>
    <w:p w:rsidR="00DF4E40" w:rsidRPr="00304864" w:rsidRDefault="00DF4E40">
      <w:pPr>
        <w:pStyle w:val="Default"/>
        <w:spacing w:after="120"/>
        <w:ind w:left="227"/>
        <w:jc w:val="both"/>
        <w:rPr>
          <w:sz w:val="22"/>
          <w:szCs w:val="22"/>
        </w:rPr>
      </w:pPr>
      <w:r w:rsidRPr="00304864">
        <w:rPr>
          <w:sz w:val="22"/>
          <w:szCs w:val="22"/>
        </w:rPr>
        <w:t>Result indicators relate to the objectives of P</w:t>
      </w:r>
      <w:r w:rsidR="004A0CC2">
        <w:rPr>
          <w:sz w:val="22"/>
          <w:szCs w:val="22"/>
        </w:rPr>
        <w:t>As</w:t>
      </w:r>
      <w:r w:rsidRPr="00304864">
        <w:rPr>
          <w:sz w:val="22"/>
          <w:szCs w:val="22"/>
        </w:rPr>
        <w:t>. They relate to the effects on direct beneficiaries brought about by a programme. They provide information on changes to, for example, the behaviour, capacity or performance of beneficiaries. Such indicators can be physical (reduction energy consumption, increase of a competence, etc.) or financial (additional financial resource mobilised, decrease of an expense, etc.).</w:t>
      </w:r>
    </w:p>
    <w:p w:rsidR="00DF4E40" w:rsidRPr="00304864" w:rsidRDefault="00DF4E40">
      <w:pPr>
        <w:pStyle w:val="Default"/>
        <w:spacing w:after="120"/>
        <w:jc w:val="both"/>
        <w:rPr>
          <w:sz w:val="22"/>
          <w:szCs w:val="22"/>
        </w:rPr>
      </w:pPr>
      <w:r w:rsidRPr="00304864">
        <w:rPr>
          <w:b/>
          <w:bCs/>
          <w:sz w:val="22"/>
          <w:szCs w:val="22"/>
        </w:rPr>
        <w:t>Innovation</w:t>
      </w:r>
    </w:p>
    <w:p w:rsidR="00DF4E40" w:rsidRPr="00304864" w:rsidRDefault="00DF4E40">
      <w:pPr>
        <w:pStyle w:val="Default"/>
        <w:spacing w:after="120"/>
        <w:jc w:val="both"/>
        <w:rPr>
          <w:sz w:val="22"/>
          <w:szCs w:val="22"/>
        </w:rPr>
      </w:pPr>
      <w:r w:rsidRPr="00304864">
        <w:rPr>
          <w:sz w:val="22"/>
          <w:szCs w:val="22"/>
        </w:rPr>
        <w:t>Innovation is about creation of new products, new processes, new technologies, new organisation systems, new social system, etc. Thus, innovation can be technological and non-technological with the objective to improve the functioning of institutions, the efficiency of strategies implemented or the competitiveness of economic operators.</w:t>
      </w:r>
    </w:p>
    <w:p w:rsidR="00DF4E40" w:rsidRPr="00304864" w:rsidRDefault="00DF4E40">
      <w:pPr>
        <w:pStyle w:val="Default"/>
        <w:spacing w:after="120"/>
        <w:jc w:val="both"/>
        <w:rPr>
          <w:sz w:val="22"/>
          <w:szCs w:val="22"/>
        </w:rPr>
      </w:pPr>
      <w:r w:rsidRPr="00304864">
        <w:rPr>
          <w:b/>
          <w:bCs/>
          <w:sz w:val="22"/>
          <w:szCs w:val="22"/>
        </w:rPr>
        <w:t>Key actors</w:t>
      </w:r>
    </w:p>
    <w:p w:rsidR="00DF4E40" w:rsidRPr="00304864" w:rsidRDefault="00DF4E40">
      <w:pPr>
        <w:pStyle w:val="Default"/>
        <w:spacing w:after="120"/>
        <w:jc w:val="both"/>
        <w:rPr>
          <w:sz w:val="22"/>
          <w:szCs w:val="22"/>
        </w:rPr>
      </w:pPr>
      <w:r w:rsidRPr="00304864">
        <w:rPr>
          <w:sz w:val="22"/>
          <w:szCs w:val="22"/>
        </w:rPr>
        <w:t>The “key actors” are the institutions or individuals which play an important role in the field of action of the project and are likely to contribute in a significant way to its realization. They have both political and administrative competences and technical capacities to implement the actions required for the project.</w:t>
      </w:r>
    </w:p>
    <w:p w:rsidR="00DF4E40" w:rsidRPr="00304864" w:rsidRDefault="00DF4E40">
      <w:pPr>
        <w:rPr>
          <w:rFonts w:ascii="Arial" w:hAnsi="Arial" w:cs="Arial"/>
          <w:b/>
          <w:sz w:val="22"/>
          <w:szCs w:val="22"/>
        </w:rPr>
      </w:pPr>
      <w:r w:rsidRPr="00304864">
        <w:rPr>
          <w:rFonts w:ascii="Arial" w:hAnsi="Arial" w:cs="Arial"/>
          <w:b/>
          <w:sz w:val="22"/>
          <w:szCs w:val="22"/>
        </w:rPr>
        <w:t>Macro-regional strategy</w:t>
      </w:r>
    </w:p>
    <w:p w:rsidR="00DF4E40" w:rsidRPr="00304864" w:rsidRDefault="00DF4E40">
      <w:pPr>
        <w:pStyle w:val="Default"/>
        <w:spacing w:after="120"/>
        <w:jc w:val="both"/>
        <w:rPr>
          <w:bCs/>
          <w:sz w:val="22"/>
          <w:szCs w:val="22"/>
        </w:rPr>
      </w:pPr>
      <w:r w:rsidRPr="00304864">
        <w:rPr>
          <w:bCs/>
          <w:sz w:val="22"/>
          <w:szCs w:val="22"/>
        </w:rPr>
        <w:t>A macro-regional strategy is an integrated framework endorsed by the European Council, which may be supported by the European Structural and Investment Funds among others, to address common challenges faced by a defined geographical area relating to Member States and other countries located in the same geographical area.In this framework theybenefit from strengthened cooperation contributing to achievement of economic, social and territorial cohesion.</w:t>
      </w:r>
    </w:p>
    <w:p w:rsidR="00DF4E40" w:rsidRPr="00304864" w:rsidRDefault="00DF4E40">
      <w:pPr>
        <w:rPr>
          <w:rFonts w:ascii="Arial" w:hAnsi="Arial" w:cs="Arial"/>
          <w:b/>
          <w:sz w:val="22"/>
          <w:szCs w:val="22"/>
        </w:rPr>
      </w:pPr>
      <w:r w:rsidRPr="00304864">
        <w:rPr>
          <w:rFonts w:ascii="Arial" w:hAnsi="Arial" w:cs="Arial"/>
          <w:b/>
          <w:sz w:val="22"/>
          <w:szCs w:val="22"/>
        </w:rPr>
        <w:t>Multimodal transport</w:t>
      </w:r>
    </w:p>
    <w:p w:rsidR="00DF4E40" w:rsidRPr="00304864" w:rsidRDefault="00DF4E40">
      <w:pPr>
        <w:rPr>
          <w:rFonts w:ascii="Arial" w:hAnsi="Arial" w:cs="Arial"/>
          <w:b/>
          <w:sz w:val="22"/>
          <w:szCs w:val="22"/>
        </w:rPr>
      </w:pPr>
      <w:r w:rsidRPr="00304864">
        <w:rPr>
          <w:rFonts w:ascii="Arial" w:hAnsi="Arial" w:cs="Arial"/>
          <w:sz w:val="22"/>
          <w:szCs w:val="22"/>
        </w:rPr>
        <w:t>Multimodal transport is understood as the carriage of persons or goods by at least two different modes of transport. Environmentally friendly transport solutions are those allowing a significant reduction of emissions of CO</w:t>
      </w:r>
      <w:r w:rsidRPr="00304864">
        <w:rPr>
          <w:rFonts w:ascii="Arial" w:hAnsi="Arial" w:cs="Arial"/>
          <w:sz w:val="22"/>
          <w:szCs w:val="22"/>
          <w:vertAlign w:val="subscript"/>
        </w:rPr>
        <w:t>2</w:t>
      </w:r>
      <w:r w:rsidRPr="00304864">
        <w:rPr>
          <w:rFonts w:ascii="Arial" w:hAnsi="Arial" w:cs="Arial"/>
          <w:sz w:val="22"/>
          <w:szCs w:val="22"/>
        </w:rPr>
        <w:t>, NO</w:t>
      </w:r>
      <w:r w:rsidRPr="00304864">
        <w:rPr>
          <w:rFonts w:ascii="Arial" w:hAnsi="Arial" w:cs="Arial"/>
          <w:sz w:val="22"/>
          <w:szCs w:val="22"/>
          <w:vertAlign w:val="subscript"/>
        </w:rPr>
        <w:t>x</w:t>
      </w:r>
      <w:r w:rsidRPr="00304864">
        <w:rPr>
          <w:rFonts w:ascii="Arial" w:hAnsi="Arial" w:cs="Arial"/>
          <w:sz w:val="22"/>
          <w:szCs w:val="22"/>
        </w:rPr>
        <w:t>, as well as of noise.</w:t>
      </w:r>
    </w:p>
    <w:p w:rsidR="00DF4E40" w:rsidRPr="00304864" w:rsidRDefault="00DF4E40">
      <w:pPr>
        <w:pStyle w:val="Default"/>
        <w:spacing w:after="120"/>
        <w:jc w:val="both"/>
        <w:rPr>
          <w:sz w:val="22"/>
          <w:szCs w:val="22"/>
        </w:rPr>
      </w:pPr>
      <w:r w:rsidRPr="00304864">
        <w:rPr>
          <w:b/>
          <w:bCs/>
          <w:sz w:val="22"/>
          <w:szCs w:val="22"/>
        </w:rPr>
        <w:t xml:space="preserve">Non-profit organisation </w:t>
      </w:r>
    </w:p>
    <w:p w:rsidR="00DF4E40" w:rsidRPr="00304864" w:rsidRDefault="00DF4E40">
      <w:pPr>
        <w:rPr>
          <w:rFonts w:ascii="Arial" w:hAnsi="Arial" w:cs="Arial"/>
          <w:sz w:val="22"/>
          <w:szCs w:val="22"/>
        </w:rPr>
      </w:pPr>
      <w:r w:rsidRPr="00304864">
        <w:rPr>
          <w:rFonts w:ascii="Arial" w:hAnsi="Arial" w:cs="Arial"/>
          <w:sz w:val="22"/>
          <w:szCs w:val="22"/>
        </w:rPr>
        <w:t>A non-profit organization (abbreviated "NPO", or "non-profit" or "not-for-profit") is an organisation whose primary objective is to support an issue or matter of private interest or public concern for non-commercial purposes. Non-profit organisations can make benefits but these benefits must be reinvested in its activity.</w:t>
      </w:r>
    </w:p>
    <w:p w:rsidR="00DF4E40" w:rsidRPr="00304864" w:rsidRDefault="00DF4E40">
      <w:pPr>
        <w:pStyle w:val="Default"/>
        <w:spacing w:after="120"/>
        <w:jc w:val="both"/>
        <w:rPr>
          <w:b/>
          <w:sz w:val="22"/>
          <w:szCs w:val="22"/>
        </w:rPr>
      </w:pPr>
      <w:r w:rsidRPr="00304864">
        <w:rPr>
          <w:b/>
          <w:sz w:val="22"/>
          <w:szCs w:val="22"/>
        </w:rPr>
        <w:t>Operation</w:t>
      </w:r>
    </w:p>
    <w:p w:rsidR="00DF4E40" w:rsidRPr="00304864" w:rsidRDefault="00DF4E40">
      <w:pPr>
        <w:pStyle w:val="Default"/>
        <w:spacing w:after="120"/>
        <w:jc w:val="both"/>
        <w:rPr>
          <w:sz w:val="22"/>
          <w:szCs w:val="22"/>
        </w:rPr>
      </w:pPr>
      <w:r w:rsidRPr="00304864">
        <w:rPr>
          <w:sz w:val="22"/>
          <w:szCs w:val="22"/>
        </w:rPr>
        <w:t>A project, contract, action or group of projects selected by the programme authorities of the programmes concerned, or under their responsibility, that contributes to the objectives of a priority or priority.</w:t>
      </w:r>
    </w:p>
    <w:p w:rsidR="00DF4E40" w:rsidRPr="00304864" w:rsidRDefault="00DF4E40">
      <w:pPr>
        <w:rPr>
          <w:rFonts w:ascii="Arial" w:hAnsi="Arial" w:cs="Arial"/>
          <w:b/>
          <w:sz w:val="22"/>
          <w:szCs w:val="22"/>
        </w:rPr>
      </w:pPr>
      <w:r w:rsidRPr="00304864">
        <w:rPr>
          <w:rFonts w:ascii="Arial" w:hAnsi="Arial" w:cs="Arial"/>
          <w:b/>
          <w:sz w:val="22"/>
          <w:szCs w:val="22"/>
        </w:rPr>
        <w:t>Pilot actions</w:t>
      </w:r>
    </w:p>
    <w:p w:rsidR="00DF4E40" w:rsidRPr="00304864" w:rsidRDefault="00DF4E40">
      <w:pPr>
        <w:rPr>
          <w:rFonts w:ascii="Arial" w:hAnsi="Arial" w:cs="Arial"/>
          <w:bCs/>
          <w:sz w:val="22"/>
          <w:szCs w:val="22"/>
        </w:rPr>
      </w:pPr>
      <w:r w:rsidRPr="00304864">
        <w:rPr>
          <w:rFonts w:ascii="Arial" w:hAnsi="Arial" w:cs="Arial"/>
          <w:bCs/>
          <w:sz w:val="22"/>
          <w:szCs w:val="22"/>
        </w:rPr>
        <w:t xml:space="preserve">A pilot action means the implementation of schemes of an experimental nature to test, evaluate and/or demonstrate its feasibility with the aim to capitalise on those results and transfer practices to other institutions and territories. </w:t>
      </w:r>
    </w:p>
    <w:p w:rsidR="00DF4E40" w:rsidRPr="00304864" w:rsidRDefault="00DF4E40">
      <w:pPr>
        <w:pStyle w:val="Default"/>
        <w:spacing w:after="120"/>
        <w:jc w:val="both"/>
        <w:rPr>
          <w:sz w:val="22"/>
          <w:szCs w:val="22"/>
        </w:rPr>
      </w:pPr>
      <w:r w:rsidRPr="00304864">
        <w:rPr>
          <w:b/>
          <w:bCs/>
          <w:sz w:val="22"/>
          <w:szCs w:val="22"/>
        </w:rPr>
        <w:t>Public equivalent body (according to the Directive 2004/18/EC)</w:t>
      </w:r>
    </w:p>
    <w:p w:rsidR="00DF4E40" w:rsidRPr="00304864" w:rsidRDefault="00DF4E40">
      <w:pPr>
        <w:pStyle w:val="Default"/>
        <w:spacing w:after="120"/>
        <w:jc w:val="both"/>
        <w:rPr>
          <w:sz w:val="22"/>
          <w:szCs w:val="22"/>
        </w:rPr>
      </w:pPr>
      <w:r w:rsidRPr="00304864">
        <w:rPr>
          <w:sz w:val="22"/>
          <w:szCs w:val="22"/>
        </w:rPr>
        <w:t>Any legal body governed by public or private law:</w:t>
      </w:r>
    </w:p>
    <w:p w:rsidR="00DF4E40" w:rsidRPr="00304864" w:rsidRDefault="00DF4E40">
      <w:pPr>
        <w:pStyle w:val="Default"/>
        <w:numPr>
          <w:ilvl w:val="0"/>
          <w:numId w:val="47"/>
        </w:numPr>
        <w:spacing w:after="120"/>
        <w:jc w:val="both"/>
        <w:rPr>
          <w:sz w:val="22"/>
          <w:szCs w:val="22"/>
        </w:rPr>
      </w:pPr>
      <w:r w:rsidRPr="00304864">
        <w:rPr>
          <w:sz w:val="22"/>
          <w:szCs w:val="22"/>
        </w:rPr>
        <w:t xml:space="preserve"> Established for the specific purpose of meeting needs in the general interest, not having an industrial or commercial character, and </w:t>
      </w:r>
    </w:p>
    <w:p w:rsidR="00DF4E40" w:rsidRPr="00304864" w:rsidRDefault="00DF4E40">
      <w:pPr>
        <w:pStyle w:val="Default"/>
        <w:numPr>
          <w:ilvl w:val="0"/>
          <w:numId w:val="47"/>
        </w:numPr>
        <w:spacing w:after="120"/>
        <w:jc w:val="both"/>
        <w:rPr>
          <w:sz w:val="22"/>
          <w:szCs w:val="22"/>
        </w:rPr>
      </w:pPr>
      <w:r w:rsidRPr="00304864">
        <w:rPr>
          <w:sz w:val="22"/>
          <w:szCs w:val="22"/>
        </w:rPr>
        <w:t xml:space="preserve"> Having legal personality, and </w:t>
      </w:r>
    </w:p>
    <w:p w:rsidR="00DF4E40" w:rsidRPr="00304864" w:rsidRDefault="00DF4E40">
      <w:pPr>
        <w:pStyle w:val="Default"/>
        <w:numPr>
          <w:ilvl w:val="0"/>
          <w:numId w:val="47"/>
        </w:numPr>
        <w:spacing w:after="120"/>
        <w:jc w:val="both"/>
        <w:rPr>
          <w:sz w:val="22"/>
          <w:szCs w:val="22"/>
        </w:rPr>
      </w:pPr>
      <w:r w:rsidRPr="00304864">
        <w:rPr>
          <w:sz w:val="22"/>
          <w:szCs w:val="22"/>
        </w:rPr>
        <w:t xml:space="preserve"> Either financed, for the most part, by the State, or regional or local authorities, or other bodies governed by public law, or subject to management supervision by those bodies, or having an administrative, managerial or supervisory board, more than half of whose members are appointed by the State, regional or local authorities or by other bodies governed by public law.</w:t>
      </w:r>
    </w:p>
    <w:p w:rsidR="00DF4E40" w:rsidRPr="00304864" w:rsidRDefault="00DF4E40">
      <w:pPr>
        <w:pStyle w:val="Default"/>
        <w:spacing w:after="120"/>
        <w:jc w:val="both"/>
        <w:rPr>
          <w:b/>
          <w:sz w:val="22"/>
          <w:szCs w:val="22"/>
        </w:rPr>
      </w:pPr>
      <w:r w:rsidRPr="00304864">
        <w:rPr>
          <w:b/>
          <w:sz w:val="22"/>
          <w:szCs w:val="22"/>
        </w:rPr>
        <w:t>Quadruple helix</w:t>
      </w:r>
    </w:p>
    <w:p w:rsidR="00DF4E40" w:rsidRPr="00304864" w:rsidRDefault="00DF4E40">
      <w:pPr>
        <w:pStyle w:val="Default"/>
        <w:spacing w:after="120"/>
        <w:jc w:val="both"/>
        <w:rPr>
          <w:sz w:val="22"/>
          <w:szCs w:val="22"/>
        </w:rPr>
      </w:pPr>
      <w:r w:rsidRPr="00304864">
        <w:rPr>
          <w:sz w:val="22"/>
          <w:szCs w:val="22"/>
        </w:rPr>
        <w:t>Innovation model involving institutional bodies, research sphere, business sector and citizens in the process.</w:t>
      </w:r>
    </w:p>
    <w:p w:rsidR="00DF4E40" w:rsidRPr="00304864" w:rsidRDefault="00DF4E40">
      <w:pPr>
        <w:rPr>
          <w:rFonts w:ascii="Arial" w:hAnsi="Arial" w:cs="Arial"/>
          <w:b/>
          <w:sz w:val="22"/>
          <w:szCs w:val="22"/>
        </w:rPr>
      </w:pPr>
      <w:r w:rsidRPr="00304864">
        <w:rPr>
          <w:rFonts w:ascii="Arial" w:hAnsi="Arial" w:cs="Arial"/>
          <w:b/>
          <w:sz w:val="22"/>
          <w:szCs w:val="22"/>
        </w:rPr>
        <w:t>Regional actors</w:t>
      </w:r>
    </w:p>
    <w:p w:rsidR="00DF4E40" w:rsidRPr="00304864" w:rsidRDefault="00DF4E40">
      <w:pPr>
        <w:rPr>
          <w:rFonts w:ascii="Arial" w:hAnsi="Arial" w:cs="Arial"/>
          <w:sz w:val="22"/>
          <w:szCs w:val="22"/>
        </w:rPr>
      </w:pPr>
      <w:r w:rsidRPr="00304864">
        <w:rPr>
          <w:rFonts w:ascii="Arial" w:hAnsi="Arial" w:cs="Arial"/>
          <w:sz w:val="22"/>
          <w:szCs w:val="22"/>
        </w:rPr>
        <w:t>Regional actors are all main stakeholders operating at regional level in a specific thematic field independently from their legal status, thus comprising the public as well as the private sector. These sectors include different types of entities such as public administrations, infrastructure and services providers and operators, agencies including RDA, interest groups, NGOs, research centres, education facilities, enterprises including SMEs, business support organisation, etc.</w:t>
      </w:r>
    </w:p>
    <w:p w:rsidR="00DF4E40" w:rsidRPr="00304864" w:rsidRDefault="00DF4E40">
      <w:pPr>
        <w:rPr>
          <w:rFonts w:ascii="Arial" w:hAnsi="Arial" w:cs="Arial"/>
          <w:b/>
          <w:sz w:val="22"/>
          <w:szCs w:val="22"/>
        </w:rPr>
      </w:pPr>
      <w:r w:rsidRPr="00304864">
        <w:rPr>
          <w:rFonts w:ascii="Arial" w:hAnsi="Arial" w:cs="Arial"/>
          <w:b/>
          <w:sz w:val="22"/>
          <w:szCs w:val="22"/>
        </w:rPr>
        <w:t>Renewable energy sources</w:t>
      </w:r>
    </w:p>
    <w:p w:rsidR="00DF4E40" w:rsidRPr="00304864" w:rsidRDefault="00DF4E40">
      <w:pPr>
        <w:rPr>
          <w:rFonts w:ascii="Arial" w:hAnsi="Arial" w:cs="Arial"/>
          <w:sz w:val="22"/>
          <w:szCs w:val="22"/>
        </w:rPr>
      </w:pPr>
      <w:r w:rsidRPr="00304864">
        <w:rPr>
          <w:rFonts w:ascii="Arial" w:hAnsi="Arial" w:cs="Arial"/>
          <w:sz w:val="22"/>
          <w:szCs w:val="22"/>
        </w:rPr>
        <w:t>Renewable energy sources are a diverse group of technologies that capture their energy from existing flows of energy such as sunshine, wind, water, biological processes, and geothermal heat flows.</w:t>
      </w:r>
    </w:p>
    <w:p w:rsidR="00DF4E40" w:rsidRPr="00304864" w:rsidRDefault="00DF4E40">
      <w:pPr>
        <w:rPr>
          <w:rFonts w:ascii="Arial" w:hAnsi="Arial" w:cs="Arial"/>
          <w:b/>
          <w:sz w:val="22"/>
          <w:szCs w:val="22"/>
        </w:rPr>
      </w:pPr>
      <w:r w:rsidRPr="00304864">
        <w:rPr>
          <w:rFonts w:ascii="Arial" w:hAnsi="Arial" w:cs="Arial"/>
          <w:b/>
          <w:sz w:val="22"/>
          <w:szCs w:val="22"/>
        </w:rPr>
        <w:t>Rural area</w:t>
      </w:r>
    </w:p>
    <w:p w:rsidR="00DF4E40" w:rsidRPr="00304864" w:rsidRDefault="00DF4E40">
      <w:pPr>
        <w:rPr>
          <w:rFonts w:ascii="Arial" w:hAnsi="Arial" w:cs="Arial"/>
          <w:sz w:val="22"/>
          <w:szCs w:val="22"/>
        </w:rPr>
      </w:pPr>
      <w:r w:rsidRPr="00304864">
        <w:rPr>
          <w:rFonts w:ascii="Arial" w:hAnsi="Arial" w:cs="Arial"/>
          <w:sz w:val="22"/>
          <w:szCs w:val="22"/>
        </w:rPr>
        <w:t xml:space="preserve">Rural areas are all areas outside urban clusters. Urban clusters are clusters of contiguous grid cells of 1km² with a density of at least 300 inhabitants per km² and a minimum population of 5000 (Eurostat, 2011). </w:t>
      </w:r>
    </w:p>
    <w:p w:rsidR="00DF4E40" w:rsidRPr="00304864" w:rsidRDefault="00DF4E40">
      <w:pPr>
        <w:pStyle w:val="Default"/>
        <w:spacing w:after="120"/>
        <w:jc w:val="both"/>
        <w:rPr>
          <w:sz w:val="22"/>
          <w:szCs w:val="22"/>
        </w:rPr>
      </w:pPr>
      <w:r w:rsidRPr="00304864">
        <w:rPr>
          <w:b/>
          <w:bCs/>
          <w:sz w:val="22"/>
          <w:szCs w:val="22"/>
        </w:rPr>
        <w:t>Small and medium-sized enterprise</w:t>
      </w:r>
    </w:p>
    <w:p w:rsidR="00DF4E40" w:rsidRPr="00304864" w:rsidRDefault="00DF4E40">
      <w:pPr>
        <w:pStyle w:val="Default"/>
        <w:spacing w:after="120"/>
        <w:jc w:val="both"/>
        <w:rPr>
          <w:sz w:val="22"/>
          <w:szCs w:val="22"/>
        </w:rPr>
      </w:pPr>
      <w:r w:rsidRPr="00304864">
        <w:rPr>
          <w:sz w:val="22"/>
          <w:szCs w:val="22"/>
        </w:rPr>
        <w:t xml:space="preserve">Micro, small and medium-sized enterprises are defined according to their staff headcount and turnover or annual balance-sheet total. </w:t>
      </w:r>
    </w:p>
    <w:p w:rsidR="00DF4E40" w:rsidRPr="00304864" w:rsidRDefault="00DF4E40">
      <w:pPr>
        <w:pStyle w:val="Default"/>
        <w:numPr>
          <w:ilvl w:val="0"/>
          <w:numId w:val="47"/>
        </w:numPr>
        <w:spacing w:after="120"/>
        <w:jc w:val="both"/>
        <w:rPr>
          <w:sz w:val="22"/>
          <w:szCs w:val="22"/>
        </w:rPr>
      </w:pPr>
      <w:r w:rsidRPr="00304864">
        <w:rPr>
          <w:sz w:val="22"/>
          <w:szCs w:val="22"/>
        </w:rPr>
        <w:t xml:space="preserve">A medium-sized enterprise is defined as an enterprise which employs fewer than 250 persons and whose annual turnover does not exceed EUR 50 million and/or whose annual balance-sheet total does not exceed EUR 43 million. </w:t>
      </w:r>
    </w:p>
    <w:p w:rsidR="00DF4E40" w:rsidRPr="00304864" w:rsidRDefault="00DF4E40">
      <w:pPr>
        <w:pStyle w:val="Default"/>
        <w:numPr>
          <w:ilvl w:val="0"/>
          <w:numId w:val="47"/>
        </w:numPr>
        <w:spacing w:after="120"/>
        <w:jc w:val="both"/>
        <w:rPr>
          <w:sz w:val="22"/>
          <w:szCs w:val="22"/>
        </w:rPr>
      </w:pPr>
      <w:r w:rsidRPr="00304864">
        <w:rPr>
          <w:sz w:val="22"/>
          <w:szCs w:val="22"/>
        </w:rPr>
        <w:t xml:space="preserve">A small enterprise is defined as an enterprise which employs fewer than 50 persons and whose annual turnover and/or annual balance sheet total does not exceed EUR 10 million. </w:t>
      </w:r>
    </w:p>
    <w:p w:rsidR="00DF4E40" w:rsidRPr="00304864" w:rsidRDefault="00DF4E40">
      <w:pPr>
        <w:pStyle w:val="Default"/>
        <w:numPr>
          <w:ilvl w:val="0"/>
          <w:numId w:val="47"/>
        </w:numPr>
        <w:spacing w:after="120"/>
        <w:jc w:val="both"/>
        <w:rPr>
          <w:sz w:val="22"/>
          <w:szCs w:val="22"/>
        </w:rPr>
      </w:pPr>
      <w:r w:rsidRPr="00304864">
        <w:rPr>
          <w:sz w:val="22"/>
          <w:szCs w:val="22"/>
        </w:rPr>
        <w:t>A micro-enterprise is defined as an enterprise which employs fewer than 10 persons and whose annual turnover and/or annual balance sheet total does not exceed EUR 2 million.</w:t>
      </w:r>
    </w:p>
    <w:p w:rsidR="00DF4E40" w:rsidRPr="00304864" w:rsidRDefault="00DF4E40">
      <w:pPr>
        <w:pStyle w:val="Default"/>
        <w:spacing w:after="120"/>
        <w:jc w:val="both"/>
        <w:rPr>
          <w:sz w:val="22"/>
          <w:szCs w:val="22"/>
        </w:rPr>
      </w:pPr>
      <w:r w:rsidRPr="00304864">
        <w:rPr>
          <w:iCs/>
          <w:sz w:val="22"/>
          <w:szCs w:val="22"/>
        </w:rPr>
        <w:t>(Commission Recommendation 2003/361/EC).</w:t>
      </w:r>
    </w:p>
    <w:p w:rsidR="00DF4E40" w:rsidRPr="00304864" w:rsidRDefault="00DF4E40">
      <w:pPr>
        <w:rPr>
          <w:rFonts w:ascii="Arial" w:hAnsi="Arial" w:cs="Arial"/>
          <w:b/>
          <w:sz w:val="22"/>
          <w:szCs w:val="22"/>
        </w:rPr>
      </w:pPr>
      <w:r w:rsidRPr="00304864">
        <w:rPr>
          <w:rFonts w:ascii="Arial" w:hAnsi="Arial" w:cs="Arial"/>
          <w:b/>
          <w:sz w:val="22"/>
          <w:szCs w:val="22"/>
        </w:rPr>
        <w:t>Smart specialisation strategy</w:t>
      </w:r>
    </w:p>
    <w:p w:rsidR="00DF4E40" w:rsidRPr="00304864" w:rsidRDefault="00DF4E40">
      <w:pPr>
        <w:pStyle w:val="Default"/>
        <w:spacing w:after="120"/>
        <w:jc w:val="both"/>
        <w:rPr>
          <w:bCs/>
          <w:sz w:val="22"/>
          <w:szCs w:val="22"/>
        </w:rPr>
      </w:pPr>
      <w:r w:rsidRPr="00304864">
        <w:rPr>
          <w:bCs/>
          <w:sz w:val="22"/>
          <w:szCs w:val="22"/>
        </w:rPr>
        <w:t>Smart specialisation strategy (S3) means the national or regional innovation strategies which set priorities in order to build competitive advantage by developing and matching research and innovation strengths with business needs.It addresses emerging opportunities and market developments in a coherent manner, while avoiding duplication and fragmentation of efforts, and may take the form of (or be included in) a national or a regional research and innovation (R&amp;I) strategic policy framework.</w:t>
      </w:r>
    </w:p>
    <w:p w:rsidR="00DF4E40" w:rsidRPr="00304864" w:rsidRDefault="00DF4E40">
      <w:pPr>
        <w:rPr>
          <w:rFonts w:ascii="Arial" w:hAnsi="Arial" w:cs="Arial"/>
          <w:b/>
          <w:sz w:val="22"/>
          <w:szCs w:val="22"/>
        </w:rPr>
      </w:pPr>
      <w:r w:rsidRPr="00304864">
        <w:rPr>
          <w:rFonts w:ascii="Arial" w:hAnsi="Arial" w:cs="Arial"/>
          <w:b/>
          <w:sz w:val="22"/>
          <w:szCs w:val="22"/>
        </w:rPr>
        <w:t>Social innovation</w:t>
      </w:r>
    </w:p>
    <w:p w:rsidR="00DF4E40" w:rsidRPr="00304864" w:rsidRDefault="00DF4E40">
      <w:pPr>
        <w:rPr>
          <w:rFonts w:ascii="Arial" w:hAnsi="Arial" w:cs="Arial"/>
          <w:bCs/>
          <w:sz w:val="22"/>
          <w:szCs w:val="22"/>
        </w:rPr>
      </w:pPr>
      <w:r w:rsidRPr="00304864">
        <w:rPr>
          <w:rFonts w:ascii="Arial" w:hAnsi="Arial" w:cs="Arial"/>
          <w:bCs/>
          <w:sz w:val="22"/>
          <w:szCs w:val="22"/>
        </w:rPr>
        <w:t xml:space="preserve">Social innovations are new ideas (products, services and models) that simultaneously meet social needs (more effectively than alternatives) and create new social relationships or collaborations (Murray </w:t>
      </w:r>
      <w:r w:rsidRPr="00304864">
        <w:rPr>
          <w:rFonts w:ascii="Arial" w:hAnsi="Arial" w:cs="Arial"/>
          <w:bCs/>
          <w:i/>
          <w:sz w:val="22"/>
          <w:szCs w:val="22"/>
        </w:rPr>
        <w:t>et. al</w:t>
      </w:r>
      <w:r w:rsidRPr="00304864">
        <w:rPr>
          <w:rFonts w:ascii="Arial" w:hAnsi="Arial" w:cs="Arial"/>
          <w:bCs/>
          <w:sz w:val="22"/>
          <w:szCs w:val="22"/>
        </w:rPr>
        <w:t>, “Open Book of Social Innovation”, 2010). Fields of activity are among others work integration, social services, education and research, culture and recreation, health etc.</w:t>
      </w:r>
    </w:p>
    <w:p w:rsidR="00DF4E40" w:rsidRPr="00304864" w:rsidRDefault="00DF4E40">
      <w:pPr>
        <w:pStyle w:val="Default"/>
        <w:spacing w:after="120"/>
        <w:jc w:val="both"/>
        <w:rPr>
          <w:sz w:val="22"/>
          <w:szCs w:val="22"/>
        </w:rPr>
      </w:pPr>
      <w:r w:rsidRPr="00304864">
        <w:rPr>
          <w:b/>
          <w:bCs/>
          <w:sz w:val="22"/>
          <w:szCs w:val="22"/>
        </w:rPr>
        <w:t xml:space="preserve">Sustainable development </w:t>
      </w:r>
    </w:p>
    <w:p w:rsidR="00DF4E40" w:rsidRPr="00304864" w:rsidRDefault="00DF4E40">
      <w:pPr>
        <w:rPr>
          <w:rFonts w:ascii="Arial" w:hAnsi="Arial" w:cs="Arial"/>
          <w:bCs/>
          <w:sz w:val="22"/>
          <w:szCs w:val="22"/>
        </w:rPr>
      </w:pPr>
      <w:r w:rsidRPr="00304864">
        <w:rPr>
          <w:rFonts w:ascii="Arial" w:hAnsi="Arial" w:cs="Arial"/>
          <w:sz w:val="22"/>
          <w:szCs w:val="22"/>
        </w:rPr>
        <w:t>“</w:t>
      </w:r>
      <w:r w:rsidRPr="00304864">
        <w:rPr>
          <w:rFonts w:ascii="Arial" w:hAnsi="Arial" w:cs="Arial"/>
          <w:bCs/>
          <w:sz w:val="22"/>
          <w:szCs w:val="22"/>
        </w:rPr>
        <w:t>Development that meets the needs of the present without compromising the ability of future generations to meet their own needs” (WCDE/WCED, 1989).</w:t>
      </w:r>
    </w:p>
    <w:p w:rsidR="00DF4E40" w:rsidRPr="00304864" w:rsidRDefault="00DF4E40">
      <w:pPr>
        <w:rPr>
          <w:rFonts w:ascii="Arial" w:hAnsi="Arial" w:cs="Arial"/>
          <w:b/>
          <w:sz w:val="22"/>
          <w:szCs w:val="22"/>
        </w:rPr>
      </w:pPr>
      <w:r w:rsidRPr="00304864">
        <w:rPr>
          <w:rFonts w:ascii="Arial" w:hAnsi="Arial" w:cs="Arial"/>
          <w:b/>
          <w:sz w:val="22"/>
          <w:szCs w:val="22"/>
        </w:rPr>
        <w:t>Target groups / end users</w:t>
      </w:r>
    </w:p>
    <w:p w:rsidR="00DF4E40" w:rsidRPr="00304864" w:rsidRDefault="00DF4E40">
      <w:pPr>
        <w:rPr>
          <w:rFonts w:ascii="Arial" w:hAnsi="Arial" w:cs="Arial"/>
          <w:bCs/>
          <w:sz w:val="22"/>
          <w:szCs w:val="22"/>
        </w:rPr>
      </w:pPr>
      <w:r w:rsidRPr="00304864">
        <w:rPr>
          <w:rFonts w:ascii="Arial" w:hAnsi="Arial" w:cs="Arial"/>
          <w:bCs/>
          <w:sz w:val="22"/>
          <w:szCs w:val="22"/>
        </w:rPr>
        <w:t>The target groups or end users concern individuals and/or organisations directly positively affected by the activities and results of operations. Not necessarily receiving a financial grant and even not directly involved in the operation, the target groups may exploit project outcomes for their own benefits.</w:t>
      </w:r>
    </w:p>
    <w:p w:rsidR="00DF4E40" w:rsidRPr="00304864" w:rsidRDefault="00DF4E40">
      <w:pPr>
        <w:pStyle w:val="Default"/>
        <w:spacing w:after="120"/>
        <w:jc w:val="both"/>
        <w:rPr>
          <w:sz w:val="22"/>
          <w:szCs w:val="22"/>
        </w:rPr>
      </w:pPr>
      <w:r w:rsidRPr="00304864">
        <w:rPr>
          <w:b/>
          <w:bCs/>
          <w:sz w:val="22"/>
          <w:szCs w:val="22"/>
        </w:rPr>
        <w:t>Target value</w:t>
      </w:r>
    </w:p>
    <w:p w:rsidR="00DF4E40" w:rsidRPr="00304864" w:rsidRDefault="00DF4E40">
      <w:pPr>
        <w:pStyle w:val="Default"/>
        <w:spacing w:after="120"/>
        <w:jc w:val="both"/>
        <w:rPr>
          <w:sz w:val="22"/>
          <w:szCs w:val="22"/>
        </w:rPr>
      </w:pPr>
      <w:r w:rsidRPr="00304864">
        <w:rPr>
          <w:sz w:val="22"/>
          <w:szCs w:val="22"/>
        </w:rPr>
        <w:t>A quantified objective expressed as a value to be reached by an indicator (output or result indicator), within a given time frame.</w:t>
      </w:r>
    </w:p>
    <w:p w:rsidR="00DF4E40" w:rsidRPr="00304864" w:rsidRDefault="00DF4E40">
      <w:pPr>
        <w:rPr>
          <w:rFonts w:ascii="Arial" w:hAnsi="Arial" w:cs="Arial"/>
          <w:sz w:val="22"/>
          <w:szCs w:val="22"/>
          <w:lang w:eastAsia="sv-SE"/>
        </w:rPr>
      </w:pPr>
    </w:p>
    <w:p w:rsidR="00DF4E40" w:rsidRPr="00304864" w:rsidRDefault="00DF4E40">
      <w:pPr>
        <w:rPr>
          <w:rFonts w:ascii="Arial" w:hAnsi="Arial" w:cs="Arial"/>
          <w:sz w:val="22"/>
          <w:szCs w:val="22"/>
          <w:lang w:eastAsia="sv-SE"/>
        </w:rPr>
      </w:pPr>
    </w:p>
    <w:p w:rsidR="00DF4E40" w:rsidRPr="00304864" w:rsidRDefault="00DF4E40">
      <w:pPr>
        <w:jc w:val="center"/>
        <w:rPr>
          <w:rFonts w:ascii="Arial" w:hAnsi="Arial" w:cs="Arial"/>
          <w:sz w:val="22"/>
          <w:szCs w:val="22"/>
          <w:lang w:eastAsia="sv-SE"/>
        </w:rPr>
      </w:pPr>
    </w:p>
    <w:sectPr w:rsidR="00DF4E40" w:rsidRPr="00304864" w:rsidSect="00A961B0">
      <w:pgSz w:w="11906" w:h="16838"/>
      <w:pgMar w:top="1417" w:right="1134" w:bottom="1134" w:left="1134" w:header="601"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5FD" w:rsidRDefault="006725FD" w:rsidP="00BF202F">
      <w:r>
        <w:separator/>
      </w:r>
    </w:p>
  </w:endnote>
  <w:endnote w:type="continuationSeparator" w:id="1">
    <w:p w:rsidR="006725FD" w:rsidRDefault="006725FD" w:rsidP="00BF202F">
      <w:r>
        <w:continuationSeparator/>
      </w:r>
    </w:p>
  </w:endnote>
  <w:endnote w:type="continuationNotice" w:id="2">
    <w:p w:rsidR="006725FD" w:rsidRDefault="006725FD" w:rsidP="00BF202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E2" w:rsidRDefault="00365F12" w:rsidP="00BF202F">
    <w:pPr>
      <w:pStyle w:val="Footer"/>
      <w:rPr>
        <w:rStyle w:val="PageNumber"/>
      </w:rPr>
    </w:pPr>
    <w:r>
      <w:rPr>
        <w:rStyle w:val="PageNumber"/>
      </w:rPr>
      <w:fldChar w:fldCharType="begin"/>
    </w:r>
    <w:r w:rsidR="00C558E2">
      <w:rPr>
        <w:rStyle w:val="PageNumber"/>
      </w:rPr>
      <w:instrText xml:space="preserve">PAGE  </w:instrText>
    </w:r>
    <w:r>
      <w:rPr>
        <w:rStyle w:val="PageNumber"/>
      </w:rPr>
      <w:fldChar w:fldCharType="end"/>
    </w:r>
  </w:p>
  <w:p w:rsidR="00C558E2" w:rsidRDefault="00C558E2" w:rsidP="00BF20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E2" w:rsidRDefault="00365F12" w:rsidP="00A961B0">
    <w:pPr>
      <w:pStyle w:val="Footer"/>
      <w:jc w:val="center"/>
    </w:pPr>
    <w:r>
      <w:fldChar w:fldCharType="begin"/>
    </w:r>
    <w:r w:rsidR="00C558E2">
      <w:instrText xml:space="preserve"> PAGE </w:instrText>
    </w:r>
    <w:r>
      <w:fldChar w:fldCharType="separate"/>
    </w:r>
    <w:r w:rsidR="00DB594C">
      <w:rPr>
        <w:noProof/>
      </w:rPr>
      <w:t>2</w:t>
    </w:r>
    <w:r>
      <w:rPr>
        <w:noProof/>
      </w:rPr>
      <w:fldChar w:fldCharType="end"/>
    </w:r>
    <w:r w:rsidR="00C558E2">
      <w:t>/</w:t>
    </w:r>
    <w:r>
      <w:fldChar w:fldCharType="begin"/>
    </w:r>
    <w:r w:rsidR="00C558E2">
      <w:instrText xml:space="preserve"> NUMPAGES  </w:instrText>
    </w:r>
    <w:r>
      <w:fldChar w:fldCharType="separate"/>
    </w:r>
    <w:r w:rsidR="00DB594C">
      <w:rPr>
        <w:noProof/>
      </w:rPr>
      <w:t>4</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E2" w:rsidRDefault="00C558E2" w:rsidP="00A961B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5FD" w:rsidRDefault="006725FD" w:rsidP="00BF202F">
      <w:r>
        <w:separator/>
      </w:r>
    </w:p>
  </w:footnote>
  <w:footnote w:type="continuationSeparator" w:id="1">
    <w:p w:rsidR="006725FD" w:rsidRDefault="006725FD" w:rsidP="00BF202F">
      <w:r>
        <w:continuationSeparator/>
      </w:r>
    </w:p>
  </w:footnote>
  <w:footnote w:type="continuationNotice" w:id="2">
    <w:p w:rsidR="006725FD" w:rsidRDefault="006725FD" w:rsidP="00BF202F"/>
  </w:footnote>
  <w:footnote w:id="3">
    <w:p w:rsidR="00C558E2" w:rsidRPr="00A30AEC" w:rsidRDefault="00C558E2" w:rsidP="00A961B0">
      <w:pPr>
        <w:pStyle w:val="CommentText"/>
        <w:spacing w:after="0"/>
        <w:rPr>
          <w:rFonts w:ascii="Arial" w:hAnsi="Arial" w:cs="Arial"/>
          <w:lang w:val="en-US"/>
        </w:rPr>
      </w:pPr>
      <w:r w:rsidRPr="00A30AEC">
        <w:rPr>
          <w:rStyle w:val="FootnoteReference"/>
          <w:rFonts w:ascii="Arial" w:hAnsi="Arial" w:cs="Arial"/>
        </w:rPr>
        <w:footnoteRef/>
      </w:r>
      <w:r w:rsidRPr="00A30AEC">
        <w:rPr>
          <w:rFonts w:ascii="Arial" w:hAnsi="Arial" w:cs="Arial"/>
          <w:lang w:val="en-US"/>
        </w:rPr>
        <w:t xml:space="preserve"> More detailed information and data on accessibility in South East Europe was collected and elaborated by SEE Projects, and are available here </w:t>
      </w:r>
      <w:hyperlink r:id="rId1" w:history="1">
        <w:r w:rsidRPr="00A30AEC">
          <w:rPr>
            <w:rStyle w:val="Hyperlink"/>
            <w:rFonts w:ascii="Arial" w:hAnsi="Arial" w:cs="Arial"/>
            <w:lang w:val="en-US"/>
          </w:rPr>
          <w:t>http://www.southeast-europe.net/en/achievements/outputs_library/</w:t>
        </w:r>
      </w:hyperlink>
      <w:r w:rsidRPr="00A30AEC">
        <w:rPr>
          <w:rFonts w:ascii="Arial" w:hAnsi="Arial" w:cs="Arial"/>
          <w:lang w:val="en-US"/>
        </w:rPr>
        <w:t xml:space="preserve"> In particular see achievements and outputs of SEETAC project </w:t>
      </w:r>
      <w:hyperlink r:id="rId2" w:history="1">
        <w:r w:rsidRPr="00A30AEC">
          <w:rPr>
            <w:rStyle w:val="Hyperlink"/>
            <w:rFonts w:ascii="Arial" w:hAnsi="Arial" w:cs="Arial"/>
            <w:lang w:val="en-US"/>
          </w:rPr>
          <w:t>http://www.seetac.eu/download/results.aspx</w:t>
        </w:r>
      </w:hyperlink>
      <w:r w:rsidRPr="00A30AEC">
        <w:rPr>
          <w:rFonts w:ascii="Arial" w:hAnsi="Arial" w:cs="Arial"/>
          <w:lang w:val="en-US"/>
        </w:rPr>
        <w:t xml:space="preserve"> and SETA Project </w:t>
      </w:r>
      <w:hyperlink r:id="rId3" w:history="1">
        <w:r w:rsidRPr="00A30AEC">
          <w:rPr>
            <w:rStyle w:val="Hyperlink"/>
            <w:rFonts w:ascii="Arial" w:hAnsi="Arial" w:cs="Arial"/>
            <w:lang w:val="en-US"/>
          </w:rPr>
          <w:t>http://www.seta-project.eu/index.php/start</w:t>
        </w:r>
      </w:hyperlink>
      <w:r w:rsidRPr="00A30AEC">
        <w:rPr>
          <w:rFonts w:ascii="Arial" w:hAnsi="Arial" w:cs="Arial"/>
          <w:lang w:val="en-US"/>
        </w:rPr>
        <w:t xml:space="preserve"> and WATERMODE </w:t>
      </w:r>
      <w:hyperlink r:id="rId4" w:history="1">
        <w:r w:rsidRPr="00A30AEC">
          <w:rPr>
            <w:rStyle w:val="Hyperlink"/>
            <w:rFonts w:ascii="Arial" w:hAnsi="Arial" w:cs="Arial"/>
            <w:lang w:val="en-US"/>
          </w:rPr>
          <w:t>http://www.watermode.eu/</w:t>
        </w:r>
      </w:hyperlink>
      <w:r w:rsidRPr="00A30AEC">
        <w:rPr>
          <w:rFonts w:ascii="Arial" w:hAnsi="Arial" w:cs="Arial"/>
          <w:lang w:val="en-US"/>
        </w:rPr>
        <w:t xml:space="preserve"> and RAIL4SEE </w:t>
      </w:r>
      <w:hyperlink r:id="rId5" w:history="1">
        <w:r w:rsidRPr="00A30AEC">
          <w:rPr>
            <w:rStyle w:val="Hyperlink"/>
            <w:rFonts w:ascii="Arial" w:hAnsi="Arial" w:cs="Arial"/>
            <w:lang w:val="en-US"/>
          </w:rPr>
          <w:t>http://rail4see.eu/downloads/deliverable/</w:t>
        </w:r>
      </w:hyperlink>
    </w:p>
  </w:footnote>
  <w:footnote w:id="4">
    <w:p w:rsidR="00C558E2" w:rsidRPr="00A30AEC" w:rsidRDefault="00C558E2" w:rsidP="00A961B0">
      <w:pPr>
        <w:pStyle w:val="FootnoteText"/>
        <w:spacing w:after="0"/>
        <w:rPr>
          <w:lang w:val="en-US"/>
        </w:rPr>
      </w:pPr>
      <w:r w:rsidRPr="00A961B0">
        <w:rPr>
          <w:rStyle w:val="FootnoteReference"/>
          <w:rFonts w:ascii="Arial" w:hAnsi="Arial" w:cs="Arial"/>
        </w:rPr>
        <w:footnoteRef/>
      </w:r>
      <w:r w:rsidRPr="00A30AEC">
        <w:rPr>
          <w:rFonts w:ascii="Arial" w:hAnsi="Arial" w:cs="Arial"/>
          <w:lang w:val="en-US"/>
        </w:rPr>
        <w:t>Studies to support the development of sea basin cooperation in the Mediterranean, Adriatic/Ionian and the Black Sea, C</w:t>
      </w:r>
      <w:r>
        <w:rPr>
          <w:rFonts w:ascii="Arial" w:hAnsi="Arial" w:cs="Arial"/>
          <w:lang w:val="en-US"/>
        </w:rPr>
        <w:t xml:space="preserve">ontract Number </w:t>
      </w:r>
      <w:r w:rsidRPr="00A30AEC">
        <w:rPr>
          <w:rFonts w:ascii="Arial" w:hAnsi="Arial" w:cs="Arial"/>
          <w:lang w:val="en-US"/>
        </w:rPr>
        <w:t>MARE/2012/07 - Ref. No 2, Report n.2, December 2013 (EUNETMAR).</w:t>
      </w:r>
    </w:p>
  </w:footnote>
  <w:footnote w:id="5">
    <w:p w:rsidR="00C558E2" w:rsidRPr="00A30AEC" w:rsidRDefault="00C558E2" w:rsidP="00A961B0">
      <w:pPr>
        <w:pStyle w:val="FootnoteText"/>
        <w:spacing w:after="0"/>
        <w:rPr>
          <w:lang w:val="en-US"/>
        </w:rPr>
      </w:pPr>
      <w:r w:rsidRPr="00A961B0">
        <w:rPr>
          <w:rStyle w:val="FootnoteReference"/>
          <w:rFonts w:ascii="Arial" w:hAnsi="Arial" w:cs="Arial"/>
        </w:rPr>
        <w:footnoteRef/>
      </w:r>
      <w:r w:rsidRPr="00A30AEC">
        <w:rPr>
          <w:rFonts w:ascii="Arial" w:hAnsi="Arial" w:cs="Arial"/>
          <w:lang w:val="en-US"/>
        </w:rPr>
        <w:t>All ESIF programmes including ETC, Cohesion Fund, IPA, sectoral programmes of the EU (</w:t>
      </w:r>
      <w:r w:rsidRPr="00A961B0">
        <w:rPr>
          <w:rFonts w:ascii="Arial" w:hAnsi="Arial" w:cs="Arial"/>
          <w:noProof/>
          <w:lang w:val="en-US"/>
        </w:rPr>
        <w:t>H</w:t>
      </w:r>
      <w:r>
        <w:rPr>
          <w:rFonts w:ascii="Arial" w:hAnsi="Arial" w:cs="Arial"/>
          <w:noProof/>
          <w:lang w:val="en-US"/>
        </w:rPr>
        <w:t>orizon</w:t>
      </w:r>
      <w:r w:rsidRPr="00A30AEC">
        <w:rPr>
          <w:rFonts w:ascii="Arial" w:hAnsi="Arial" w:cs="Arial"/>
          <w:noProof/>
          <w:lang w:val="en-US"/>
        </w:rPr>
        <w:t xml:space="preserve"> 2020), LIFE, COSME, </w:t>
      </w:r>
      <w:r w:rsidRPr="00A30AEC">
        <w:rPr>
          <w:rFonts w:ascii="Arial" w:hAnsi="Arial" w:cs="Arial"/>
          <w:noProof/>
          <w:lang w:val="en-US" w:eastAsia="de-DE"/>
        </w:rPr>
        <w:t>Connecting Europe Facility</w:t>
      </w:r>
      <w:r w:rsidRPr="00A30AEC">
        <w:rPr>
          <w:rFonts w:ascii="Arial" w:hAnsi="Arial" w:cs="Arial"/>
          <w:lang w:val="en-US"/>
        </w:rPr>
        <w:t xml:space="preserve">, national-regional programmes, international financing institutions (EIB, </w:t>
      </w:r>
      <w:r w:rsidRPr="00A30AEC">
        <w:rPr>
          <w:rFonts w:ascii="Arial" w:hAnsi="Arial" w:cs="Arial"/>
          <w:noProof/>
          <w:szCs w:val="24"/>
          <w:lang w:val="en-US"/>
        </w:rPr>
        <w:t>Western Balkan Investment Framework (WBIF)</w:t>
      </w:r>
      <w:r w:rsidRPr="00A30AEC">
        <w:rPr>
          <w:rFonts w:ascii="Arial" w:hAnsi="Arial" w:cs="Arial"/>
          <w:lang w:val="en-US"/>
        </w:rPr>
        <w:t xml:space="preserve"> etc.), banks, private financers, donors, etc. </w:t>
      </w:r>
    </w:p>
  </w:footnote>
  <w:footnote w:id="6">
    <w:p w:rsidR="00C558E2" w:rsidRPr="00A30AEC" w:rsidRDefault="00C558E2" w:rsidP="00A961B0">
      <w:pPr>
        <w:pStyle w:val="FootnoteText"/>
        <w:spacing w:after="0"/>
        <w:rPr>
          <w:lang w:val="en-US"/>
        </w:rPr>
      </w:pPr>
      <w:r w:rsidRPr="00654539">
        <w:rPr>
          <w:rStyle w:val="FootnoteReference"/>
        </w:rPr>
        <w:footnoteRef/>
      </w:r>
      <w:r w:rsidRPr="00A30AEC">
        <w:rPr>
          <w:rFonts w:ascii="Arial" w:hAnsi="Arial" w:cs="Arial"/>
          <w:lang w:val="en-US"/>
        </w:rPr>
        <w:t>Presentation of the shares corresponding to ENI and IPA amounts depends on management option chosen.</w:t>
      </w:r>
    </w:p>
  </w:footnote>
  <w:footnote w:id="7">
    <w:p w:rsidR="00C558E2" w:rsidRPr="00A30AEC" w:rsidRDefault="00C558E2" w:rsidP="00A961B0">
      <w:pPr>
        <w:pStyle w:val="FootnoteText"/>
        <w:spacing w:after="0"/>
        <w:rPr>
          <w:lang w:val="en-US"/>
        </w:rPr>
      </w:pPr>
      <w:r w:rsidRPr="00A961B0">
        <w:rPr>
          <w:rStyle w:val="FootnoteReference"/>
          <w:rFonts w:ascii="Arial" w:hAnsi="Arial" w:cs="Arial"/>
        </w:rPr>
        <w:footnoteRef/>
      </w:r>
      <w:r w:rsidRPr="00A30AEC">
        <w:rPr>
          <w:rFonts w:ascii="Arial" w:hAnsi="Arial" w:cs="Arial"/>
          <w:lang w:val="en-US"/>
        </w:rPr>
        <w:t xml:space="preserve"> Title of the thematic objective, not applicable to technical assistance.</w:t>
      </w:r>
    </w:p>
  </w:footnote>
  <w:footnote w:id="8">
    <w:p w:rsidR="00C558E2" w:rsidRPr="00A30AEC" w:rsidRDefault="00C558E2" w:rsidP="00A961B0">
      <w:pPr>
        <w:pStyle w:val="FootnoteText"/>
        <w:spacing w:after="0"/>
        <w:rPr>
          <w:lang w:val="en-US"/>
        </w:rPr>
      </w:pPr>
      <w:r w:rsidRPr="00A961B0">
        <w:rPr>
          <w:rStyle w:val="FootnoteReference"/>
          <w:rFonts w:ascii="Arial" w:hAnsi="Arial" w:cs="Arial"/>
        </w:rPr>
        <w:footnoteRef/>
      </w:r>
      <w:r w:rsidRPr="00A30AEC">
        <w:rPr>
          <w:rFonts w:ascii="Arial" w:hAnsi="Arial" w:cs="Arial"/>
          <w:lang w:val="en-US"/>
        </w:rPr>
        <w:t xml:space="preserve"> Title of the investment priority, not applicable to technical assistance.</w:t>
      </w:r>
    </w:p>
  </w:footnote>
  <w:footnote w:id="9">
    <w:p w:rsidR="00C558E2" w:rsidRDefault="00C558E2" w:rsidP="00A961B0">
      <w:pPr>
        <w:spacing w:after="0"/>
      </w:pPr>
      <w:r w:rsidRPr="00A961B0">
        <w:rPr>
          <w:rStyle w:val="FootnoteReference"/>
          <w:rFonts w:ascii="Arial" w:hAnsi="Arial" w:cs="Arial"/>
          <w:sz w:val="20"/>
        </w:rPr>
        <w:footnoteRef/>
      </w:r>
      <w:r w:rsidRPr="00A961B0">
        <w:rPr>
          <w:rFonts w:ascii="Arial" w:hAnsi="Arial" w:cs="Arial"/>
          <w:sz w:val="20"/>
        </w:rPr>
        <w:t>Target values can be qualitative or quantitative</w:t>
      </w:r>
    </w:p>
  </w:footnote>
  <w:footnote w:id="10">
    <w:p w:rsidR="00C558E2" w:rsidRDefault="00C558E2" w:rsidP="00A961B0">
      <w:pPr>
        <w:spacing w:after="0"/>
      </w:pPr>
      <w:r w:rsidRPr="00A961B0">
        <w:rPr>
          <w:rStyle w:val="FootnoteReference"/>
          <w:rFonts w:ascii="Arial" w:hAnsi="Arial" w:cs="Arial"/>
          <w:sz w:val="20"/>
        </w:rPr>
        <w:footnoteRef/>
      </w:r>
      <w:r w:rsidRPr="00A961B0">
        <w:rPr>
          <w:rFonts w:ascii="Arial" w:hAnsi="Arial" w:cs="Arial"/>
          <w:sz w:val="20"/>
        </w:rPr>
        <w:t>Target values can be qualitative or quantitative.</w:t>
      </w:r>
    </w:p>
  </w:footnote>
  <w:footnote w:id="11">
    <w:p w:rsidR="00C558E2" w:rsidRDefault="00C558E2" w:rsidP="00A961B0">
      <w:pPr>
        <w:spacing w:after="0"/>
      </w:pPr>
      <w:r w:rsidRPr="00A961B0">
        <w:rPr>
          <w:rStyle w:val="FootnoteReference"/>
          <w:rFonts w:ascii="Arial" w:hAnsi="Arial" w:cs="Arial"/>
          <w:sz w:val="20"/>
        </w:rPr>
        <w:footnoteRef/>
      </w:r>
      <w:r w:rsidRPr="00A961B0">
        <w:rPr>
          <w:rFonts w:ascii="Arial" w:hAnsi="Arial" w:cs="Arial"/>
          <w:sz w:val="20"/>
        </w:rPr>
        <w:t>Target values can be qualitative or quantitative.</w:t>
      </w:r>
    </w:p>
  </w:footnote>
  <w:footnote w:id="12">
    <w:p w:rsidR="00C558E2" w:rsidRDefault="00C558E2" w:rsidP="00A961B0">
      <w:pPr>
        <w:spacing w:after="0"/>
      </w:pPr>
      <w:r w:rsidRPr="00A961B0">
        <w:rPr>
          <w:rStyle w:val="FootnoteReference"/>
          <w:rFonts w:ascii="Arial" w:hAnsi="Arial" w:cs="Arial"/>
          <w:sz w:val="20"/>
        </w:rPr>
        <w:footnoteRef/>
      </w:r>
      <w:r w:rsidRPr="00A961B0">
        <w:rPr>
          <w:rFonts w:ascii="Arial" w:hAnsi="Arial" w:cs="Arial"/>
          <w:sz w:val="20"/>
        </w:rPr>
        <w:t>Target values can be qualitative or quantitative.</w:t>
      </w:r>
    </w:p>
  </w:footnote>
  <w:footnote w:id="13">
    <w:p w:rsidR="00C558E2" w:rsidRDefault="00C558E2" w:rsidP="00A961B0">
      <w:pPr>
        <w:spacing w:after="0"/>
      </w:pPr>
      <w:r w:rsidRPr="00A961B0">
        <w:rPr>
          <w:rStyle w:val="FootnoteReference"/>
          <w:rFonts w:ascii="Arial" w:hAnsi="Arial" w:cs="Arial"/>
          <w:sz w:val="20"/>
        </w:rPr>
        <w:footnoteRef/>
      </w:r>
      <w:r w:rsidRPr="00A961B0">
        <w:rPr>
          <w:rFonts w:ascii="Arial" w:hAnsi="Arial" w:cs="Arial"/>
          <w:sz w:val="20"/>
          <w:lang w:val="en-US"/>
        </w:rPr>
        <w:t>Target values can be qualitative or quantitative.</w:t>
      </w:r>
    </w:p>
  </w:footnote>
  <w:footnote w:id="14">
    <w:p w:rsidR="00C558E2" w:rsidRPr="00A30AEC" w:rsidRDefault="00C558E2" w:rsidP="00A961B0">
      <w:pPr>
        <w:pStyle w:val="FootnoteText"/>
        <w:spacing w:after="0"/>
        <w:rPr>
          <w:lang w:val="en-US"/>
        </w:rPr>
      </w:pPr>
      <w:r w:rsidRPr="00A961B0">
        <w:rPr>
          <w:rStyle w:val="FootnoteReference"/>
          <w:rFonts w:ascii="Arial" w:hAnsi="Arial" w:cs="Arial"/>
        </w:rPr>
        <w:footnoteRef/>
      </w:r>
      <w:r w:rsidRPr="00A30AEC">
        <w:rPr>
          <w:rFonts w:ascii="Arial" w:hAnsi="Arial" w:cs="Arial"/>
          <w:lang w:val="en-US"/>
        </w:rPr>
        <w:t xml:space="preserve"> This table is generated automatically based on tables on categories of intervention included under each of the </w:t>
      </w:r>
      <w:r>
        <w:rPr>
          <w:rFonts w:ascii="Arial" w:hAnsi="Arial" w:cs="Arial"/>
          <w:lang w:val="en-US"/>
        </w:rPr>
        <w:t>PAs</w:t>
      </w:r>
      <w:r w:rsidRPr="00A30AEC">
        <w:rPr>
          <w:rFonts w:ascii="Arial" w:hAnsi="Arial" w:cs="Arial"/>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E2" w:rsidRPr="00A30AEC" w:rsidRDefault="00C558E2" w:rsidP="00BF202F">
    <w:pPr>
      <w:pStyle w:val="Header"/>
      <w:rPr>
        <w:i/>
        <w:sz w:val="16"/>
        <w:szCs w:val="16"/>
        <w:lang w:val="de-AT"/>
      </w:rPr>
    </w:pPr>
    <w:r w:rsidRPr="00A30AEC">
      <w:rPr>
        <w:i/>
        <w:sz w:val="16"/>
        <w:szCs w:val="16"/>
        <w:lang w:val="de-AT"/>
      </w:rPr>
      <w:t>ADRION CP- version</w:t>
    </w:r>
    <w:r>
      <w:rPr>
        <w:i/>
        <w:sz w:val="16"/>
        <w:szCs w:val="16"/>
        <w:lang w:val="de-AT"/>
      </w:rPr>
      <w:t xml:space="preserve">28 </w:t>
    </w:r>
    <w:r w:rsidRPr="00C558E2">
      <w:rPr>
        <w:i/>
        <w:sz w:val="16"/>
        <w:szCs w:val="16"/>
        <w:lang w:val="de-AT"/>
      </w:rPr>
      <w:t>August</w:t>
    </w:r>
    <w:r w:rsidRPr="00A30AEC">
      <w:rPr>
        <w:i/>
        <w:sz w:val="16"/>
        <w:szCs w:val="16"/>
        <w:lang w:val="de-AT"/>
      </w:rPr>
      <w:t>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5CAE7E"/>
    <w:lvl w:ilvl="0">
      <w:start w:val="1"/>
      <w:numFmt w:val="decimal"/>
      <w:lvlText w:val="%1."/>
      <w:lvlJc w:val="left"/>
      <w:pPr>
        <w:tabs>
          <w:tab w:val="num" w:pos="1492"/>
        </w:tabs>
        <w:ind w:left="1492" w:hanging="360"/>
      </w:pPr>
    </w:lvl>
  </w:abstractNum>
  <w:abstractNum w:abstractNumId="1">
    <w:nsid w:val="FFFFFF7D"/>
    <w:multiLevelType w:val="singleLevel"/>
    <w:tmpl w:val="164CD678"/>
    <w:lvl w:ilvl="0">
      <w:start w:val="1"/>
      <w:numFmt w:val="decimal"/>
      <w:pStyle w:val="Heading5"/>
      <w:lvlText w:val="%1."/>
      <w:lvlJc w:val="left"/>
      <w:pPr>
        <w:tabs>
          <w:tab w:val="num" w:pos="1209"/>
        </w:tabs>
        <w:ind w:left="1209" w:hanging="360"/>
      </w:pPr>
    </w:lvl>
  </w:abstractNum>
  <w:abstractNum w:abstractNumId="2">
    <w:nsid w:val="FFFFFF7E"/>
    <w:multiLevelType w:val="singleLevel"/>
    <w:tmpl w:val="EFE25A50"/>
    <w:lvl w:ilvl="0">
      <w:start w:val="1"/>
      <w:numFmt w:val="decimal"/>
      <w:lvlText w:val="%1."/>
      <w:lvlJc w:val="left"/>
      <w:pPr>
        <w:tabs>
          <w:tab w:val="num" w:pos="926"/>
        </w:tabs>
        <w:ind w:left="926" w:hanging="360"/>
      </w:pPr>
    </w:lvl>
  </w:abstractNum>
  <w:abstractNum w:abstractNumId="3">
    <w:nsid w:val="FFFFFF7F"/>
    <w:multiLevelType w:val="singleLevel"/>
    <w:tmpl w:val="98CC78DC"/>
    <w:lvl w:ilvl="0">
      <w:start w:val="1"/>
      <w:numFmt w:val="decimal"/>
      <w:lvlText w:val="%1."/>
      <w:lvlJc w:val="left"/>
      <w:pPr>
        <w:tabs>
          <w:tab w:val="num" w:pos="643"/>
        </w:tabs>
        <w:ind w:left="643" w:hanging="360"/>
      </w:pPr>
    </w:lvl>
  </w:abstractNum>
  <w:abstractNum w:abstractNumId="4">
    <w:nsid w:val="FFFFFF80"/>
    <w:multiLevelType w:val="singleLevel"/>
    <w:tmpl w:val="714264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DAA8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DE39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A4CA3A"/>
    <w:lvl w:ilvl="0">
      <w:start w:val="1"/>
      <w:numFmt w:val="bullet"/>
      <w:pStyle w:val="ListNumber5"/>
      <w:lvlText w:val=""/>
      <w:lvlJc w:val="left"/>
      <w:pPr>
        <w:tabs>
          <w:tab w:val="num" w:pos="643"/>
        </w:tabs>
        <w:ind w:left="643" w:hanging="360"/>
      </w:pPr>
      <w:rPr>
        <w:rFonts w:ascii="Symbol" w:hAnsi="Symbol" w:hint="default"/>
      </w:rPr>
    </w:lvl>
  </w:abstractNum>
  <w:abstractNum w:abstractNumId="8">
    <w:nsid w:val="FFFFFF88"/>
    <w:multiLevelType w:val="singleLevel"/>
    <w:tmpl w:val="34C26B02"/>
    <w:lvl w:ilvl="0">
      <w:start w:val="1"/>
      <w:numFmt w:val="decimal"/>
      <w:lvlText w:val="%1."/>
      <w:lvlJc w:val="left"/>
      <w:pPr>
        <w:tabs>
          <w:tab w:val="num" w:pos="360"/>
        </w:tabs>
        <w:ind w:left="360" w:hanging="360"/>
      </w:pPr>
    </w:lvl>
  </w:abstractNum>
  <w:abstractNum w:abstractNumId="9">
    <w:nsid w:val="FFFFFF89"/>
    <w:multiLevelType w:val="singleLevel"/>
    <w:tmpl w:val="9CA87762"/>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0000020"/>
    <w:multiLevelType w:val="singleLevel"/>
    <w:tmpl w:val="00000020"/>
    <w:name w:val="WW8Num32"/>
    <w:lvl w:ilvl="0">
      <w:start w:val="1"/>
      <w:numFmt w:val="bullet"/>
      <w:lvlText w:val="–"/>
      <w:lvlJc w:val="left"/>
      <w:pPr>
        <w:tabs>
          <w:tab w:val="num" w:pos="1360"/>
        </w:tabs>
        <w:ind w:left="1360" w:hanging="283"/>
      </w:pPr>
      <w:rPr>
        <w:rFonts w:ascii="Times New Roman" w:hAnsi="Times New Roman"/>
      </w:rPr>
    </w:lvl>
  </w:abstractNum>
  <w:abstractNum w:abstractNumId="11">
    <w:nsid w:val="000277FE"/>
    <w:multiLevelType w:val="hybridMultilevel"/>
    <w:tmpl w:val="02B2BA5C"/>
    <w:lvl w:ilvl="0" w:tplc="09182EE2">
      <w:start w:val="1"/>
      <w:numFmt w:val="lowerLetter"/>
      <w:lvlText w:val="%1)"/>
      <w:lvlJc w:val="left"/>
      <w:pPr>
        <w:ind w:left="814" w:hanging="360"/>
      </w:pPr>
      <w:rPr>
        <w:rFonts w:cs="Times New Roman" w:hint="default"/>
      </w:rPr>
    </w:lvl>
    <w:lvl w:ilvl="1" w:tplc="08090019">
      <w:start w:val="1"/>
      <w:numFmt w:val="lowerLetter"/>
      <w:lvlText w:val="%2."/>
      <w:lvlJc w:val="left"/>
      <w:pPr>
        <w:ind w:left="1534" w:hanging="360"/>
      </w:pPr>
      <w:rPr>
        <w:rFonts w:cs="Times New Roman"/>
      </w:rPr>
    </w:lvl>
    <w:lvl w:ilvl="2" w:tplc="0809001B" w:tentative="1">
      <w:start w:val="1"/>
      <w:numFmt w:val="lowerRoman"/>
      <w:lvlText w:val="%3."/>
      <w:lvlJc w:val="right"/>
      <w:pPr>
        <w:ind w:left="2254" w:hanging="180"/>
      </w:pPr>
      <w:rPr>
        <w:rFonts w:cs="Times New Roman"/>
      </w:rPr>
    </w:lvl>
    <w:lvl w:ilvl="3" w:tplc="0809000F">
      <w:start w:val="1"/>
      <w:numFmt w:val="decimal"/>
      <w:lvlText w:val="%4."/>
      <w:lvlJc w:val="left"/>
      <w:pPr>
        <w:ind w:left="2974" w:hanging="360"/>
      </w:pPr>
      <w:rPr>
        <w:rFonts w:cs="Times New Roman"/>
      </w:rPr>
    </w:lvl>
    <w:lvl w:ilvl="4" w:tplc="08090019" w:tentative="1">
      <w:start w:val="1"/>
      <w:numFmt w:val="lowerLetter"/>
      <w:lvlText w:val="%5."/>
      <w:lvlJc w:val="left"/>
      <w:pPr>
        <w:ind w:left="3694" w:hanging="360"/>
      </w:pPr>
      <w:rPr>
        <w:rFonts w:cs="Times New Roman"/>
      </w:rPr>
    </w:lvl>
    <w:lvl w:ilvl="5" w:tplc="0809001B" w:tentative="1">
      <w:start w:val="1"/>
      <w:numFmt w:val="lowerRoman"/>
      <w:lvlText w:val="%6."/>
      <w:lvlJc w:val="right"/>
      <w:pPr>
        <w:ind w:left="4414" w:hanging="180"/>
      </w:pPr>
      <w:rPr>
        <w:rFonts w:cs="Times New Roman"/>
      </w:rPr>
    </w:lvl>
    <w:lvl w:ilvl="6" w:tplc="0809000F" w:tentative="1">
      <w:start w:val="1"/>
      <w:numFmt w:val="decimal"/>
      <w:lvlText w:val="%7."/>
      <w:lvlJc w:val="left"/>
      <w:pPr>
        <w:ind w:left="5134" w:hanging="360"/>
      </w:pPr>
      <w:rPr>
        <w:rFonts w:cs="Times New Roman"/>
      </w:rPr>
    </w:lvl>
    <w:lvl w:ilvl="7" w:tplc="08090019" w:tentative="1">
      <w:start w:val="1"/>
      <w:numFmt w:val="lowerLetter"/>
      <w:lvlText w:val="%8."/>
      <w:lvlJc w:val="left"/>
      <w:pPr>
        <w:ind w:left="5854" w:hanging="360"/>
      </w:pPr>
      <w:rPr>
        <w:rFonts w:cs="Times New Roman"/>
      </w:rPr>
    </w:lvl>
    <w:lvl w:ilvl="8" w:tplc="0809001B" w:tentative="1">
      <w:start w:val="1"/>
      <w:numFmt w:val="lowerRoman"/>
      <w:lvlText w:val="%9."/>
      <w:lvlJc w:val="right"/>
      <w:pPr>
        <w:ind w:left="6574" w:hanging="180"/>
      </w:pPr>
      <w:rPr>
        <w:rFonts w:cs="Times New Roman"/>
      </w:rPr>
    </w:lvl>
  </w:abstractNum>
  <w:abstractNum w:abstractNumId="12">
    <w:nsid w:val="004B6770"/>
    <w:multiLevelType w:val="hybridMultilevel"/>
    <w:tmpl w:val="1D1650DA"/>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01512A01"/>
    <w:multiLevelType w:val="hybridMultilevel"/>
    <w:tmpl w:val="59BCD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28569F2"/>
    <w:multiLevelType w:val="hybridMultilevel"/>
    <w:tmpl w:val="8FC851DC"/>
    <w:name w:val="WW8Num20"/>
    <w:lvl w:ilvl="0" w:tplc="6DA833D4">
      <w:start w:val="1"/>
      <w:numFmt w:val="bullet"/>
      <w:lvlText w:val=""/>
      <w:lvlJc w:val="left"/>
      <w:pPr>
        <w:tabs>
          <w:tab w:val="num" w:pos="720"/>
        </w:tabs>
        <w:ind w:left="720" w:hanging="360"/>
      </w:pPr>
      <w:rPr>
        <w:rFonts w:ascii="Symbol" w:hAnsi="Symbol" w:hint="default"/>
      </w:rPr>
    </w:lvl>
    <w:lvl w:ilvl="1" w:tplc="D0304754" w:tentative="1">
      <w:start w:val="1"/>
      <w:numFmt w:val="bullet"/>
      <w:lvlText w:val="o"/>
      <w:lvlJc w:val="left"/>
      <w:pPr>
        <w:tabs>
          <w:tab w:val="num" w:pos="1440"/>
        </w:tabs>
        <w:ind w:left="1440" w:hanging="360"/>
      </w:pPr>
      <w:rPr>
        <w:rFonts w:ascii="Courier New" w:hAnsi="Courier New" w:hint="default"/>
      </w:rPr>
    </w:lvl>
    <w:lvl w:ilvl="2" w:tplc="F36AEC32" w:tentative="1">
      <w:start w:val="1"/>
      <w:numFmt w:val="bullet"/>
      <w:lvlText w:val=""/>
      <w:lvlJc w:val="left"/>
      <w:pPr>
        <w:tabs>
          <w:tab w:val="num" w:pos="2160"/>
        </w:tabs>
        <w:ind w:left="2160" w:hanging="360"/>
      </w:pPr>
      <w:rPr>
        <w:rFonts w:ascii="Wingdings" w:hAnsi="Wingdings" w:hint="default"/>
      </w:rPr>
    </w:lvl>
    <w:lvl w:ilvl="3" w:tplc="BD62EC20" w:tentative="1">
      <w:start w:val="1"/>
      <w:numFmt w:val="bullet"/>
      <w:lvlText w:val=""/>
      <w:lvlJc w:val="left"/>
      <w:pPr>
        <w:tabs>
          <w:tab w:val="num" w:pos="2880"/>
        </w:tabs>
        <w:ind w:left="2880" w:hanging="360"/>
      </w:pPr>
      <w:rPr>
        <w:rFonts w:ascii="Symbol" w:hAnsi="Symbol" w:hint="default"/>
      </w:rPr>
    </w:lvl>
    <w:lvl w:ilvl="4" w:tplc="410AAF50" w:tentative="1">
      <w:start w:val="1"/>
      <w:numFmt w:val="bullet"/>
      <w:lvlText w:val="o"/>
      <w:lvlJc w:val="left"/>
      <w:pPr>
        <w:tabs>
          <w:tab w:val="num" w:pos="3600"/>
        </w:tabs>
        <w:ind w:left="3600" w:hanging="360"/>
      </w:pPr>
      <w:rPr>
        <w:rFonts w:ascii="Courier New" w:hAnsi="Courier New" w:hint="default"/>
      </w:rPr>
    </w:lvl>
    <w:lvl w:ilvl="5" w:tplc="42F08810" w:tentative="1">
      <w:start w:val="1"/>
      <w:numFmt w:val="bullet"/>
      <w:lvlText w:val=""/>
      <w:lvlJc w:val="left"/>
      <w:pPr>
        <w:tabs>
          <w:tab w:val="num" w:pos="4320"/>
        </w:tabs>
        <w:ind w:left="4320" w:hanging="360"/>
      </w:pPr>
      <w:rPr>
        <w:rFonts w:ascii="Wingdings" w:hAnsi="Wingdings" w:hint="default"/>
      </w:rPr>
    </w:lvl>
    <w:lvl w:ilvl="6" w:tplc="38D2415C" w:tentative="1">
      <w:start w:val="1"/>
      <w:numFmt w:val="bullet"/>
      <w:lvlText w:val=""/>
      <w:lvlJc w:val="left"/>
      <w:pPr>
        <w:tabs>
          <w:tab w:val="num" w:pos="5040"/>
        </w:tabs>
        <w:ind w:left="5040" w:hanging="360"/>
      </w:pPr>
      <w:rPr>
        <w:rFonts w:ascii="Symbol" w:hAnsi="Symbol" w:hint="default"/>
      </w:rPr>
    </w:lvl>
    <w:lvl w:ilvl="7" w:tplc="D3D4197E" w:tentative="1">
      <w:start w:val="1"/>
      <w:numFmt w:val="bullet"/>
      <w:lvlText w:val="o"/>
      <w:lvlJc w:val="left"/>
      <w:pPr>
        <w:tabs>
          <w:tab w:val="num" w:pos="5760"/>
        </w:tabs>
        <w:ind w:left="5760" w:hanging="360"/>
      </w:pPr>
      <w:rPr>
        <w:rFonts w:ascii="Courier New" w:hAnsi="Courier New" w:hint="default"/>
      </w:rPr>
    </w:lvl>
    <w:lvl w:ilvl="8" w:tplc="3EA48994" w:tentative="1">
      <w:start w:val="1"/>
      <w:numFmt w:val="bullet"/>
      <w:lvlText w:val=""/>
      <w:lvlJc w:val="left"/>
      <w:pPr>
        <w:tabs>
          <w:tab w:val="num" w:pos="6480"/>
        </w:tabs>
        <w:ind w:left="6480" w:hanging="360"/>
      </w:pPr>
      <w:rPr>
        <w:rFonts w:ascii="Wingdings" w:hAnsi="Wingdings" w:hint="default"/>
      </w:rPr>
    </w:lvl>
  </w:abstractNum>
  <w:abstractNum w:abstractNumId="15">
    <w:nsid w:val="02912C62"/>
    <w:multiLevelType w:val="hybridMultilevel"/>
    <w:tmpl w:val="55E6E94C"/>
    <w:lvl w:ilvl="0" w:tplc="C30C5722">
      <w:start w:val="1"/>
      <w:numFmt w:val="bullet"/>
      <w:lvlText w:val="–"/>
      <w:lvlJc w:val="left"/>
      <w:pPr>
        <w:ind w:left="360" w:hanging="360"/>
      </w:pPr>
      <w:rPr>
        <w:rFonts w:ascii="Humnst777 Lt BT" w:hAnsi="Humnst777 Lt BT"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36B4BEC"/>
    <w:multiLevelType w:val="hybridMultilevel"/>
    <w:tmpl w:val="7ED0916E"/>
    <w:lvl w:ilvl="0" w:tplc="AE60296E">
      <w:start w:val="1"/>
      <w:numFmt w:val="bullet"/>
      <w:lvlText w:val="–"/>
      <w:lvlJc w:val="left"/>
      <w:pPr>
        <w:ind w:left="360" w:hanging="360"/>
      </w:pPr>
      <w:rPr>
        <w:rFonts w:ascii="Humnst777 Lt BT" w:hAnsi="Humnst777 Lt BT" w:hint="default"/>
        <w:color w:val="auto"/>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04E45292"/>
    <w:multiLevelType w:val="hybridMultilevel"/>
    <w:tmpl w:val="02B4F750"/>
    <w:lvl w:ilvl="0" w:tplc="51BC187C">
      <w:start w:val="13"/>
      <w:numFmt w:val="bullet"/>
      <w:lvlText w:val="-"/>
      <w:lvlJc w:val="left"/>
      <w:pPr>
        <w:ind w:left="587" w:hanging="360"/>
      </w:pPr>
      <w:rPr>
        <w:rFonts w:ascii="Arial" w:eastAsia="Times New Roman" w:hAnsi="Arial" w:hint="default"/>
      </w:rPr>
    </w:lvl>
    <w:lvl w:ilvl="1" w:tplc="08090003" w:tentative="1">
      <w:start w:val="1"/>
      <w:numFmt w:val="bullet"/>
      <w:lvlText w:val="o"/>
      <w:lvlJc w:val="left"/>
      <w:pPr>
        <w:ind w:left="1307" w:hanging="360"/>
      </w:pPr>
      <w:rPr>
        <w:rFonts w:ascii="Courier New" w:hAnsi="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8">
    <w:nsid w:val="04EB5425"/>
    <w:multiLevelType w:val="hybridMultilevel"/>
    <w:tmpl w:val="3B7A149E"/>
    <w:lvl w:ilvl="0" w:tplc="51BC187C">
      <w:start w:val="13"/>
      <w:numFmt w:val="bullet"/>
      <w:lvlText w:val="-"/>
      <w:lvlJc w:val="left"/>
      <w:pPr>
        <w:ind w:left="360" w:hanging="360"/>
      </w:pPr>
      <w:rPr>
        <w:rFonts w:ascii="Arial" w:eastAsia="Times New Roman" w:hAnsi="Arial" w:hint="default"/>
      </w:rPr>
    </w:lvl>
    <w:lvl w:ilvl="1" w:tplc="08090003">
      <w:start w:val="1"/>
      <w:numFmt w:val="bullet"/>
      <w:lvlText w:val="o"/>
      <w:lvlJc w:val="left"/>
      <w:pPr>
        <w:ind w:left="1080" w:hanging="360"/>
      </w:pPr>
      <w:rPr>
        <w:rFonts w:ascii="Courier New" w:hAnsi="Courier New" w:hint="default"/>
      </w:rPr>
    </w:lvl>
    <w:lvl w:ilvl="2" w:tplc="5C382B88">
      <w:numFmt w:val="bullet"/>
      <w:lvlText w:val="–"/>
      <w:lvlJc w:val="left"/>
      <w:pPr>
        <w:ind w:left="1800" w:hanging="360"/>
      </w:pPr>
      <w:rPr>
        <w:rFonts w:ascii="Times New Roman" w:eastAsia="Times New Roman" w:hAnsi="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08915D95"/>
    <w:multiLevelType w:val="hybridMultilevel"/>
    <w:tmpl w:val="CDF83A4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08E15199"/>
    <w:multiLevelType w:val="hybridMultilevel"/>
    <w:tmpl w:val="2D048278"/>
    <w:lvl w:ilvl="0" w:tplc="51BC187C">
      <w:start w:val="13"/>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0C497505"/>
    <w:multiLevelType w:val="hybridMultilevel"/>
    <w:tmpl w:val="154C89D2"/>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0DC97D3D"/>
    <w:multiLevelType w:val="hybridMultilevel"/>
    <w:tmpl w:val="CBB80A3C"/>
    <w:lvl w:ilvl="0" w:tplc="0410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0E7A05B1"/>
    <w:multiLevelType w:val="hybridMultilevel"/>
    <w:tmpl w:val="188E68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5">
    <w:nsid w:val="0E7A1FBD"/>
    <w:multiLevelType w:val="hybridMultilevel"/>
    <w:tmpl w:val="621C63D0"/>
    <w:lvl w:ilvl="0" w:tplc="04100017">
      <w:start w:val="1"/>
      <w:numFmt w:val="lowerLetter"/>
      <w:lvlText w:val="%1)"/>
      <w:lvlJc w:val="left"/>
      <w:pPr>
        <w:ind w:left="720" w:hanging="360"/>
      </w:pPr>
      <w:rPr>
        <w:rFonts w:cs="Times New Roman" w:hint="default"/>
      </w:rPr>
    </w:lvl>
    <w:lvl w:ilvl="1" w:tplc="8CE6D73A">
      <w:start w:val="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0413672"/>
    <w:multiLevelType w:val="hybridMultilevel"/>
    <w:tmpl w:val="82EC22FC"/>
    <w:lvl w:ilvl="0" w:tplc="0E60EF50">
      <w:start w:val="1"/>
      <w:numFmt w:val="decimal"/>
      <w:pStyle w:val="StyleHeading1Left0cm"/>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125871D1"/>
    <w:multiLevelType w:val="hybridMultilevel"/>
    <w:tmpl w:val="6FEE6FE4"/>
    <w:lvl w:ilvl="0" w:tplc="0410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9">
    <w:nsid w:val="139440C7"/>
    <w:multiLevelType w:val="hybridMultilevel"/>
    <w:tmpl w:val="CABC3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13DD31FA"/>
    <w:multiLevelType w:val="hybridMultilevel"/>
    <w:tmpl w:val="4B6AB25A"/>
    <w:lvl w:ilvl="0" w:tplc="04100017">
      <w:start w:val="1"/>
      <w:numFmt w:val="lowerLetter"/>
      <w:lvlText w:val="%1)"/>
      <w:lvlJc w:val="left"/>
      <w:pPr>
        <w:ind w:left="720" w:hanging="360"/>
      </w:pPr>
      <w:rPr>
        <w:rFonts w:cs="Times New Roman" w:hint="default"/>
      </w:rPr>
    </w:lvl>
    <w:lvl w:ilvl="1" w:tplc="C05AE116">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2">
    <w:nsid w:val="16BF4135"/>
    <w:multiLevelType w:val="hybridMultilevel"/>
    <w:tmpl w:val="7464B772"/>
    <w:lvl w:ilvl="0" w:tplc="66903F0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1A0B5D40"/>
    <w:multiLevelType w:val="multilevel"/>
    <w:tmpl w:val="52445B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1B00058D"/>
    <w:multiLevelType w:val="hybridMultilevel"/>
    <w:tmpl w:val="3094F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1B123235"/>
    <w:multiLevelType w:val="hybridMultilevel"/>
    <w:tmpl w:val="C6EE288C"/>
    <w:lvl w:ilvl="0" w:tplc="C8CCD50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1C673FE0"/>
    <w:multiLevelType w:val="hybridMultilevel"/>
    <w:tmpl w:val="78501A14"/>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1EF1284C"/>
    <w:multiLevelType w:val="hybridMultilevel"/>
    <w:tmpl w:val="B2084D8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1EFE2C96"/>
    <w:multiLevelType w:val="multilevel"/>
    <w:tmpl w:val="DF401680"/>
    <w:lvl w:ilvl="0">
      <w:start w:val="1"/>
      <w:numFmt w:val="decimal"/>
      <w:lvlText w:val="(%1)"/>
      <w:lvlJc w:val="left"/>
      <w:pPr>
        <w:tabs>
          <w:tab w:val="num" w:pos="3440"/>
        </w:tabs>
        <w:ind w:left="3440" w:hanging="560"/>
      </w:pPr>
      <w:rPr>
        <w:rFonts w:cs="Times New Roman"/>
      </w:rPr>
    </w:lvl>
    <w:lvl w:ilvl="1">
      <w:start w:val="1"/>
      <w:numFmt w:val="lowerLetter"/>
      <w:lvlText w:val="(%2)"/>
      <w:lvlJc w:val="left"/>
      <w:pPr>
        <w:tabs>
          <w:tab w:val="num" w:pos="4000"/>
        </w:tabs>
        <w:ind w:left="4000" w:hanging="560"/>
      </w:pPr>
      <w:rPr>
        <w:rFonts w:cs="Times New Roman"/>
      </w:rPr>
    </w:lvl>
    <w:lvl w:ilvl="2">
      <w:start w:val="1"/>
      <w:numFmt w:val="bullet"/>
      <w:lvlText w:val="–"/>
      <w:lvlJc w:val="left"/>
      <w:pPr>
        <w:tabs>
          <w:tab w:val="num" w:pos="4560"/>
        </w:tabs>
        <w:ind w:left="4560" w:hanging="560"/>
      </w:pPr>
      <w:rPr>
        <w:rFonts w:ascii="Times New Roman" w:hAnsi="Times New Roman"/>
      </w:rPr>
    </w:lvl>
    <w:lvl w:ilvl="3">
      <w:start w:val="1"/>
      <w:numFmt w:val="bullet"/>
      <w:pStyle w:val="Point1letter"/>
      <w:lvlText w:val=""/>
      <w:lvlJc w:val="left"/>
      <w:pPr>
        <w:tabs>
          <w:tab w:val="num" w:pos="5120"/>
        </w:tabs>
        <w:ind w:left="5120" w:hanging="560"/>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219A4DED"/>
    <w:multiLevelType w:val="multilevel"/>
    <w:tmpl w:val="21EA7A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2153E46"/>
    <w:multiLevelType w:val="hybridMultilevel"/>
    <w:tmpl w:val="9CA037A2"/>
    <w:lvl w:ilvl="0" w:tplc="04100001">
      <w:start w:val="1"/>
      <w:numFmt w:val="bullet"/>
      <w:lvlText w:val=""/>
      <w:lvlJc w:val="left"/>
      <w:pPr>
        <w:tabs>
          <w:tab w:val="num" w:pos="720"/>
        </w:tabs>
        <w:ind w:left="720" w:hanging="360"/>
      </w:pPr>
      <w:rPr>
        <w:rFonts w:ascii="Symbol" w:hAnsi="Symbol" w:hint="default"/>
      </w:rPr>
    </w:lvl>
    <w:lvl w:ilvl="1" w:tplc="D018E592" w:tentative="1">
      <w:start w:val="1"/>
      <w:numFmt w:val="bullet"/>
      <w:lvlText w:val="-"/>
      <w:lvlJc w:val="left"/>
      <w:pPr>
        <w:tabs>
          <w:tab w:val="num" w:pos="1440"/>
        </w:tabs>
        <w:ind w:left="1440" w:hanging="360"/>
      </w:pPr>
      <w:rPr>
        <w:rFonts w:ascii="Calibri" w:hAnsi="Calibri" w:hint="default"/>
      </w:rPr>
    </w:lvl>
    <w:lvl w:ilvl="2" w:tplc="B476A5B4" w:tentative="1">
      <w:start w:val="1"/>
      <w:numFmt w:val="bullet"/>
      <w:lvlText w:val="-"/>
      <w:lvlJc w:val="left"/>
      <w:pPr>
        <w:tabs>
          <w:tab w:val="num" w:pos="2160"/>
        </w:tabs>
        <w:ind w:left="2160" w:hanging="360"/>
      </w:pPr>
      <w:rPr>
        <w:rFonts w:ascii="Calibri" w:hAnsi="Calibri" w:hint="default"/>
      </w:rPr>
    </w:lvl>
    <w:lvl w:ilvl="3" w:tplc="7EA2B0B4" w:tentative="1">
      <w:start w:val="1"/>
      <w:numFmt w:val="bullet"/>
      <w:lvlText w:val="-"/>
      <w:lvlJc w:val="left"/>
      <w:pPr>
        <w:tabs>
          <w:tab w:val="num" w:pos="2880"/>
        </w:tabs>
        <w:ind w:left="2880" w:hanging="360"/>
      </w:pPr>
      <w:rPr>
        <w:rFonts w:ascii="Calibri" w:hAnsi="Calibri" w:hint="default"/>
      </w:rPr>
    </w:lvl>
    <w:lvl w:ilvl="4" w:tplc="6E26427E" w:tentative="1">
      <w:start w:val="1"/>
      <w:numFmt w:val="bullet"/>
      <w:lvlText w:val="-"/>
      <w:lvlJc w:val="left"/>
      <w:pPr>
        <w:tabs>
          <w:tab w:val="num" w:pos="3600"/>
        </w:tabs>
        <w:ind w:left="3600" w:hanging="360"/>
      </w:pPr>
      <w:rPr>
        <w:rFonts w:ascii="Calibri" w:hAnsi="Calibri" w:hint="default"/>
      </w:rPr>
    </w:lvl>
    <w:lvl w:ilvl="5" w:tplc="573E5DCE" w:tentative="1">
      <w:start w:val="1"/>
      <w:numFmt w:val="bullet"/>
      <w:lvlText w:val="-"/>
      <w:lvlJc w:val="left"/>
      <w:pPr>
        <w:tabs>
          <w:tab w:val="num" w:pos="4320"/>
        </w:tabs>
        <w:ind w:left="4320" w:hanging="360"/>
      </w:pPr>
      <w:rPr>
        <w:rFonts w:ascii="Calibri" w:hAnsi="Calibri" w:hint="default"/>
      </w:rPr>
    </w:lvl>
    <w:lvl w:ilvl="6" w:tplc="0EC86034" w:tentative="1">
      <w:start w:val="1"/>
      <w:numFmt w:val="bullet"/>
      <w:lvlText w:val="-"/>
      <w:lvlJc w:val="left"/>
      <w:pPr>
        <w:tabs>
          <w:tab w:val="num" w:pos="5040"/>
        </w:tabs>
        <w:ind w:left="5040" w:hanging="360"/>
      </w:pPr>
      <w:rPr>
        <w:rFonts w:ascii="Calibri" w:hAnsi="Calibri" w:hint="default"/>
      </w:rPr>
    </w:lvl>
    <w:lvl w:ilvl="7" w:tplc="035676D2" w:tentative="1">
      <w:start w:val="1"/>
      <w:numFmt w:val="bullet"/>
      <w:lvlText w:val="-"/>
      <w:lvlJc w:val="left"/>
      <w:pPr>
        <w:tabs>
          <w:tab w:val="num" w:pos="5760"/>
        </w:tabs>
        <w:ind w:left="5760" w:hanging="360"/>
      </w:pPr>
      <w:rPr>
        <w:rFonts w:ascii="Calibri" w:hAnsi="Calibri" w:hint="default"/>
      </w:rPr>
    </w:lvl>
    <w:lvl w:ilvl="8" w:tplc="C052B242" w:tentative="1">
      <w:start w:val="1"/>
      <w:numFmt w:val="bullet"/>
      <w:lvlText w:val="-"/>
      <w:lvlJc w:val="left"/>
      <w:pPr>
        <w:tabs>
          <w:tab w:val="num" w:pos="6480"/>
        </w:tabs>
        <w:ind w:left="6480" w:hanging="360"/>
      </w:pPr>
      <w:rPr>
        <w:rFonts w:ascii="Calibri" w:hAnsi="Calibri" w:hint="default"/>
      </w:rPr>
    </w:lvl>
  </w:abstractNum>
  <w:abstractNum w:abstractNumId="41">
    <w:nsid w:val="239A0DED"/>
    <w:multiLevelType w:val="hybridMultilevel"/>
    <w:tmpl w:val="A066D128"/>
    <w:lvl w:ilvl="0" w:tplc="AC2C96E6">
      <w:start w:val="1"/>
      <w:numFmt w:val="decimal"/>
      <w:pStyle w:val="StyleHeading1Hanging085cm"/>
      <w:lvlText w:val="SECTION %1."/>
      <w:lvlJc w:val="left"/>
      <w:pPr>
        <w:ind w:left="1211" w:hanging="360"/>
      </w:pPr>
      <w:rPr>
        <w:rFonts w:ascii="Times New Roman Bold" w:hAnsi="Times New Roman Bold" w:cs="Times New Roman" w:hint="default"/>
        <w:b/>
        <w:i w:val="0"/>
        <w:caps/>
        <w:sz w:val="24"/>
        <w:szCs w:val="24"/>
      </w:rPr>
    </w:lvl>
    <w:lvl w:ilvl="1" w:tplc="08090019" w:tentative="1">
      <w:start w:val="1"/>
      <w:numFmt w:val="lowerLetter"/>
      <w:lvlText w:val="%2."/>
      <w:lvlJc w:val="left"/>
      <w:pPr>
        <w:ind w:left="590" w:hanging="360"/>
      </w:pPr>
      <w:rPr>
        <w:rFonts w:cs="Times New Roman"/>
      </w:rPr>
    </w:lvl>
    <w:lvl w:ilvl="2" w:tplc="0809001B" w:tentative="1">
      <w:start w:val="1"/>
      <w:numFmt w:val="lowerRoman"/>
      <w:lvlText w:val="%3."/>
      <w:lvlJc w:val="right"/>
      <w:pPr>
        <w:ind w:left="1310" w:hanging="180"/>
      </w:pPr>
      <w:rPr>
        <w:rFonts w:cs="Times New Roman"/>
      </w:rPr>
    </w:lvl>
    <w:lvl w:ilvl="3" w:tplc="0809000F" w:tentative="1">
      <w:start w:val="1"/>
      <w:numFmt w:val="decimal"/>
      <w:lvlText w:val="%4."/>
      <w:lvlJc w:val="left"/>
      <w:pPr>
        <w:ind w:left="2030" w:hanging="360"/>
      </w:pPr>
      <w:rPr>
        <w:rFonts w:cs="Times New Roman"/>
      </w:rPr>
    </w:lvl>
    <w:lvl w:ilvl="4" w:tplc="08090019" w:tentative="1">
      <w:start w:val="1"/>
      <w:numFmt w:val="lowerLetter"/>
      <w:lvlText w:val="%5."/>
      <w:lvlJc w:val="left"/>
      <w:pPr>
        <w:ind w:left="2750" w:hanging="360"/>
      </w:pPr>
      <w:rPr>
        <w:rFonts w:cs="Times New Roman"/>
      </w:rPr>
    </w:lvl>
    <w:lvl w:ilvl="5" w:tplc="0809001B" w:tentative="1">
      <w:start w:val="1"/>
      <w:numFmt w:val="lowerRoman"/>
      <w:lvlText w:val="%6."/>
      <w:lvlJc w:val="right"/>
      <w:pPr>
        <w:ind w:left="3470" w:hanging="180"/>
      </w:pPr>
      <w:rPr>
        <w:rFonts w:cs="Times New Roman"/>
      </w:rPr>
    </w:lvl>
    <w:lvl w:ilvl="6" w:tplc="0809000F" w:tentative="1">
      <w:start w:val="1"/>
      <w:numFmt w:val="decimal"/>
      <w:lvlText w:val="%7."/>
      <w:lvlJc w:val="left"/>
      <w:pPr>
        <w:ind w:left="4190" w:hanging="360"/>
      </w:pPr>
      <w:rPr>
        <w:rFonts w:cs="Times New Roman"/>
      </w:rPr>
    </w:lvl>
    <w:lvl w:ilvl="7" w:tplc="08090019" w:tentative="1">
      <w:start w:val="1"/>
      <w:numFmt w:val="lowerLetter"/>
      <w:lvlText w:val="%8."/>
      <w:lvlJc w:val="left"/>
      <w:pPr>
        <w:ind w:left="4910" w:hanging="360"/>
      </w:pPr>
      <w:rPr>
        <w:rFonts w:cs="Times New Roman"/>
      </w:rPr>
    </w:lvl>
    <w:lvl w:ilvl="8" w:tplc="0809001B" w:tentative="1">
      <w:start w:val="1"/>
      <w:numFmt w:val="lowerRoman"/>
      <w:lvlText w:val="%9."/>
      <w:lvlJc w:val="right"/>
      <w:pPr>
        <w:ind w:left="5630" w:hanging="180"/>
      </w:pPr>
      <w:rPr>
        <w:rFonts w:cs="Times New Roman"/>
      </w:rPr>
    </w:lvl>
  </w:abstractNum>
  <w:abstractNum w:abstractNumId="4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3">
    <w:nsid w:val="256257B8"/>
    <w:multiLevelType w:val="hybridMultilevel"/>
    <w:tmpl w:val="F812899E"/>
    <w:lvl w:ilvl="0" w:tplc="08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4">
    <w:nsid w:val="26037D60"/>
    <w:multiLevelType w:val="hybridMultilevel"/>
    <w:tmpl w:val="44D29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298163BC"/>
    <w:multiLevelType w:val="hybridMultilevel"/>
    <w:tmpl w:val="DB12DC6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29874FE3"/>
    <w:multiLevelType w:val="hybridMultilevel"/>
    <w:tmpl w:val="1D3CE4A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C0273EC"/>
    <w:multiLevelType w:val="hybridMultilevel"/>
    <w:tmpl w:val="C6321438"/>
    <w:lvl w:ilvl="0" w:tplc="04100003">
      <w:start w:val="1"/>
      <w:numFmt w:val="bullet"/>
      <w:lvlText w:val="o"/>
      <w:lvlJc w:val="left"/>
      <w:pPr>
        <w:ind w:left="720" w:hanging="360"/>
      </w:pPr>
      <w:rPr>
        <w:rFonts w:ascii="Courier New" w:hAnsi="Courier New" w:cs="Courier New" w:hint="default"/>
      </w:rPr>
    </w:lvl>
    <w:lvl w:ilvl="1" w:tplc="FF342046">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50">
    <w:nsid w:val="307E129C"/>
    <w:multiLevelType w:val="hybridMultilevel"/>
    <w:tmpl w:val="1F707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31F1162E"/>
    <w:multiLevelType w:val="multilevel"/>
    <w:tmpl w:val="8F70275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2232EC4"/>
    <w:multiLevelType w:val="hybridMultilevel"/>
    <w:tmpl w:val="A20E6340"/>
    <w:lvl w:ilvl="0" w:tplc="51BC187C">
      <w:start w:val="1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4E0332F"/>
    <w:multiLevelType w:val="hybridMultilevel"/>
    <w:tmpl w:val="91BA1F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351A6DF8"/>
    <w:multiLevelType w:val="hybridMultilevel"/>
    <w:tmpl w:val="3AA2A9A2"/>
    <w:lvl w:ilvl="0" w:tplc="26584186">
      <w:start w:val="1"/>
      <w:numFmt w:val="bullet"/>
      <w:lvlText w:val="–"/>
      <w:lvlJc w:val="left"/>
      <w:pPr>
        <w:ind w:left="360" w:hanging="360"/>
      </w:pPr>
      <w:rPr>
        <w:rFonts w:ascii="Humnst777 Lt BT" w:hAnsi="Humnst777 Lt BT"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37E17A8A"/>
    <w:multiLevelType w:val="hybridMultilevel"/>
    <w:tmpl w:val="A318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86F338D"/>
    <w:multiLevelType w:val="hybridMultilevel"/>
    <w:tmpl w:val="B880BD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3B7E02A8"/>
    <w:multiLevelType w:val="hybridMultilevel"/>
    <w:tmpl w:val="27B46D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3B7E210B"/>
    <w:multiLevelType w:val="hybridMultilevel"/>
    <w:tmpl w:val="B33A5A86"/>
    <w:lvl w:ilvl="0" w:tplc="0C0A0001">
      <w:start w:val="1"/>
      <w:numFmt w:val="bullet"/>
      <w:lvlText w:val=""/>
      <w:lvlJc w:val="left"/>
      <w:pPr>
        <w:ind w:left="1040" w:hanging="360"/>
      </w:pPr>
      <w:rPr>
        <w:rFonts w:ascii="Symbol" w:hAnsi="Symbol" w:hint="default"/>
      </w:rPr>
    </w:lvl>
    <w:lvl w:ilvl="1" w:tplc="0C070019">
      <w:start w:val="1"/>
      <w:numFmt w:val="lowerLetter"/>
      <w:lvlText w:val="%2."/>
      <w:lvlJc w:val="left"/>
      <w:pPr>
        <w:ind w:left="1760" w:hanging="360"/>
      </w:pPr>
      <w:rPr>
        <w:rFonts w:cs="Times New Roman"/>
      </w:rPr>
    </w:lvl>
    <w:lvl w:ilvl="2" w:tplc="0C07001B">
      <w:start w:val="1"/>
      <w:numFmt w:val="lowerRoman"/>
      <w:lvlText w:val="%3."/>
      <w:lvlJc w:val="right"/>
      <w:pPr>
        <w:ind w:left="2480" w:hanging="180"/>
      </w:pPr>
      <w:rPr>
        <w:rFonts w:cs="Times New Roman"/>
      </w:rPr>
    </w:lvl>
    <w:lvl w:ilvl="3" w:tplc="0C07000F">
      <w:start w:val="1"/>
      <w:numFmt w:val="decimal"/>
      <w:lvlText w:val="%4."/>
      <w:lvlJc w:val="left"/>
      <w:pPr>
        <w:ind w:left="3200" w:hanging="360"/>
      </w:pPr>
      <w:rPr>
        <w:rFonts w:cs="Times New Roman"/>
      </w:rPr>
    </w:lvl>
    <w:lvl w:ilvl="4" w:tplc="0C070019">
      <w:start w:val="1"/>
      <w:numFmt w:val="lowerLetter"/>
      <w:lvlText w:val="%5."/>
      <w:lvlJc w:val="left"/>
      <w:pPr>
        <w:ind w:left="3920" w:hanging="360"/>
      </w:pPr>
      <w:rPr>
        <w:rFonts w:cs="Times New Roman"/>
      </w:rPr>
    </w:lvl>
    <w:lvl w:ilvl="5" w:tplc="0C07001B">
      <w:start w:val="1"/>
      <w:numFmt w:val="lowerRoman"/>
      <w:lvlText w:val="%6."/>
      <w:lvlJc w:val="right"/>
      <w:pPr>
        <w:ind w:left="4640" w:hanging="180"/>
      </w:pPr>
      <w:rPr>
        <w:rFonts w:cs="Times New Roman"/>
      </w:rPr>
    </w:lvl>
    <w:lvl w:ilvl="6" w:tplc="0C07000F">
      <w:start w:val="1"/>
      <w:numFmt w:val="decimal"/>
      <w:lvlText w:val="%7."/>
      <w:lvlJc w:val="left"/>
      <w:pPr>
        <w:ind w:left="5360" w:hanging="360"/>
      </w:pPr>
      <w:rPr>
        <w:rFonts w:cs="Times New Roman"/>
      </w:rPr>
    </w:lvl>
    <w:lvl w:ilvl="7" w:tplc="0C070019">
      <w:start w:val="1"/>
      <w:numFmt w:val="lowerLetter"/>
      <w:lvlText w:val="%8."/>
      <w:lvlJc w:val="left"/>
      <w:pPr>
        <w:ind w:left="6080" w:hanging="360"/>
      </w:pPr>
      <w:rPr>
        <w:rFonts w:cs="Times New Roman"/>
      </w:rPr>
    </w:lvl>
    <w:lvl w:ilvl="8" w:tplc="0C07001B">
      <w:start w:val="1"/>
      <w:numFmt w:val="lowerRoman"/>
      <w:lvlText w:val="%9."/>
      <w:lvlJc w:val="right"/>
      <w:pPr>
        <w:ind w:left="6800" w:hanging="180"/>
      </w:pPr>
      <w:rPr>
        <w:rFonts w:cs="Times New Roman"/>
      </w:rPr>
    </w:lvl>
  </w:abstractNum>
  <w:abstractNum w:abstractNumId="59">
    <w:nsid w:val="3BBE2913"/>
    <w:multiLevelType w:val="multilevel"/>
    <w:tmpl w:val="FC84E1D8"/>
    <w:lvl w:ilvl="0">
      <w:start w:val="1"/>
      <w:numFmt w:val="decimal"/>
      <w:lvlText w:val="%1"/>
      <w:lvlJc w:val="left"/>
      <w:pPr>
        <w:ind w:left="432" w:hanging="432"/>
      </w:pPr>
      <w:rPr>
        <w:rFonts w:cs="Times New Roman" w:hint="default"/>
      </w:rPr>
    </w:lvl>
    <w:lvl w:ilvl="1">
      <w:start w:val="1"/>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0">
    <w:nsid w:val="3C2A4BA7"/>
    <w:multiLevelType w:val="hybridMultilevel"/>
    <w:tmpl w:val="F238DE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3DDF5C28"/>
    <w:multiLevelType w:val="hybridMultilevel"/>
    <w:tmpl w:val="51521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40455225"/>
    <w:multiLevelType w:val="hybridMultilevel"/>
    <w:tmpl w:val="AF4EC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405E2232"/>
    <w:multiLevelType w:val="hybridMultilevel"/>
    <w:tmpl w:val="C21893D6"/>
    <w:lvl w:ilvl="0" w:tplc="60F4ED36">
      <w:numFmt w:val="bullet"/>
      <w:lvlText w:val="-"/>
      <w:lvlJc w:val="left"/>
      <w:pPr>
        <w:tabs>
          <w:tab w:val="num" w:pos="720"/>
        </w:tabs>
        <w:ind w:left="720" w:hanging="360"/>
      </w:pPr>
      <w:rPr>
        <w:rFonts w:ascii="Times New Roman" w:eastAsia="Times New Roman" w:hAnsi="Times New Roman"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40AC5397"/>
    <w:multiLevelType w:val="hybridMultilevel"/>
    <w:tmpl w:val="21D64F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65">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nsid w:val="43247115"/>
    <w:multiLevelType w:val="hybridMultilevel"/>
    <w:tmpl w:val="E9D649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450C2ADC"/>
    <w:multiLevelType w:val="hybridMultilevel"/>
    <w:tmpl w:val="F3D26F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0">
    <w:nsid w:val="45934DD7"/>
    <w:multiLevelType w:val="hybridMultilevel"/>
    <w:tmpl w:val="DB026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5B200BE"/>
    <w:multiLevelType w:val="hybridMultilevel"/>
    <w:tmpl w:val="3A9823CE"/>
    <w:lvl w:ilvl="0" w:tplc="7E5877B0">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2">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nsid w:val="4A0F5F0D"/>
    <w:multiLevelType w:val="hybridMultilevel"/>
    <w:tmpl w:val="A01E3B90"/>
    <w:lvl w:ilvl="0" w:tplc="3D4CE86E">
      <w:start w:val="7"/>
      <w:numFmt w:val="bullet"/>
      <w:lvlText w:val="-"/>
      <w:lvlJc w:val="left"/>
      <w:pPr>
        <w:ind w:left="1080" w:hanging="360"/>
      </w:pPr>
      <w:rPr>
        <w:rFonts w:ascii="Trebuchet MS" w:eastAsia="Times New Roman" w:hAnsi="Trebuchet M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5">
    <w:nsid w:val="4A1846B9"/>
    <w:multiLevelType w:val="hybridMultilevel"/>
    <w:tmpl w:val="D8A82B6E"/>
    <w:lvl w:ilvl="0" w:tplc="0C07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4CAF1317"/>
    <w:multiLevelType w:val="multilevel"/>
    <w:tmpl w:val="046E28B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nsid w:val="4DA73357"/>
    <w:multiLevelType w:val="hybridMultilevel"/>
    <w:tmpl w:val="15AE2992"/>
    <w:lvl w:ilvl="0" w:tplc="D8A2656A">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78">
    <w:nsid w:val="4E5256EA"/>
    <w:multiLevelType w:val="hybridMultilevel"/>
    <w:tmpl w:val="2D04760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4EDF020C"/>
    <w:multiLevelType w:val="hybridMultilevel"/>
    <w:tmpl w:val="71B46AE2"/>
    <w:lvl w:ilvl="0" w:tplc="51BC187C">
      <w:start w:val="13"/>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4EE449DD"/>
    <w:multiLevelType w:val="hybridMultilevel"/>
    <w:tmpl w:val="B010FC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1">
    <w:nsid w:val="50187D31"/>
    <w:multiLevelType w:val="hybridMultilevel"/>
    <w:tmpl w:val="240646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5072785B"/>
    <w:multiLevelType w:val="multilevel"/>
    <w:tmpl w:val="AA9CBF7C"/>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nsid w:val="51503B3F"/>
    <w:multiLevelType w:val="hybridMultilevel"/>
    <w:tmpl w:val="214826F0"/>
    <w:lvl w:ilvl="0" w:tplc="9D9C0E26">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517403F1"/>
    <w:multiLevelType w:val="hybridMultilevel"/>
    <w:tmpl w:val="B3D6A61C"/>
    <w:lvl w:ilvl="0" w:tplc="0410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85">
    <w:nsid w:val="52C62CE9"/>
    <w:multiLevelType w:val="hybridMultilevel"/>
    <w:tmpl w:val="5C1E50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5458790B"/>
    <w:multiLevelType w:val="multilevel"/>
    <w:tmpl w:val="CF4E5C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48D5DBB"/>
    <w:multiLevelType w:val="multilevel"/>
    <w:tmpl w:val="24566A5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54A50A14"/>
    <w:multiLevelType w:val="hybridMultilevel"/>
    <w:tmpl w:val="9BF6DC2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9">
    <w:nsid w:val="54BD0BEC"/>
    <w:multiLevelType w:val="singleLevel"/>
    <w:tmpl w:val="72D6F376"/>
    <w:lvl w:ilvl="0">
      <w:start w:val="1"/>
      <w:numFmt w:val="bullet"/>
      <w:pStyle w:val="ListBullet"/>
      <w:lvlText w:val=""/>
      <w:lvlJc w:val="left"/>
      <w:pPr>
        <w:tabs>
          <w:tab w:val="num" w:pos="567"/>
        </w:tabs>
        <w:ind w:left="567" w:hanging="283"/>
      </w:pPr>
      <w:rPr>
        <w:rFonts w:ascii="Symbol" w:hAnsi="Symbol"/>
      </w:rPr>
    </w:lvl>
  </w:abstractNum>
  <w:abstractNum w:abstractNumId="90">
    <w:nsid w:val="5623561A"/>
    <w:multiLevelType w:val="hybridMultilevel"/>
    <w:tmpl w:val="BB38E20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571916C9"/>
    <w:multiLevelType w:val="hybridMultilevel"/>
    <w:tmpl w:val="A7AE6A5C"/>
    <w:lvl w:ilvl="0" w:tplc="0410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nsid w:val="593165A4"/>
    <w:multiLevelType w:val="hybridMultilevel"/>
    <w:tmpl w:val="1FAC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97B0307"/>
    <w:multiLevelType w:val="hybridMultilevel"/>
    <w:tmpl w:val="A8F2C784"/>
    <w:lvl w:ilvl="0" w:tplc="0410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nsid w:val="5A48586B"/>
    <w:multiLevelType w:val="hybridMultilevel"/>
    <w:tmpl w:val="A4C45AEC"/>
    <w:lvl w:ilvl="0" w:tplc="04100003">
      <w:start w:val="1"/>
      <w:numFmt w:val="bullet"/>
      <w:lvlText w:val="o"/>
      <w:lvlJc w:val="left"/>
      <w:pPr>
        <w:ind w:left="814" w:hanging="360"/>
      </w:pPr>
      <w:rPr>
        <w:rFonts w:ascii="Courier New" w:hAnsi="Courier New" w:hint="default"/>
      </w:rPr>
    </w:lvl>
    <w:lvl w:ilvl="1" w:tplc="0C0A0003" w:tentative="1">
      <w:start w:val="1"/>
      <w:numFmt w:val="bullet"/>
      <w:lvlText w:val="o"/>
      <w:lvlJc w:val="left"/>
      <w:pPr>
        <w:ind w:left="1534" w:hanging="360"/>
      </w:pPr>
      <w:rPr>
        <w:rFonts w:ascii="Courier New" w:hAnsi="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95">
    <w:nsid w:val="5B5D4175"/>
    <w:multiLevelType w:val="hybridMultilevel"/>
    <w:tmpl w:val="E36C4FD8"/>
    <w:lvl w:ilvl="0" w:tplc="0410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nsid w:val="5C40506A"/>
    <w:multiLevelType w:val="multilevel"/>
    <w:tmpl w:val="94EA411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7">
    <w:nsid w:val="5CCB14D9"/>
    <w:multiLevelType w:val="hybridMultilevel"/>
    <w:tmpl w:val="EA707088"/>
    <w:lvl w:ilvl="0" w:tplc="0410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8">
    <w:nsid w:val="5D735DC2"/>
    <w:multiLevelType w:val="hybridMultilevel"/>
    <w:tmpl w:val="4A1A5AC0"/>
    <w:lvl w:ilvl="0" w:tplc="04100003">
      <w:start w:val="1"/>
      <w:numFmt w:val="bullet"/>
      <w:lvlText w:val="o"/>
      <w:lvlJc w:val="left"/>
      <w:pPr>
        <w:ind w:left="720" w:hanging="360"/>
      </w:pPr>
      <w:rPr>
        <w:rFonts w:ascii="Courier New" w:hAnsi="Courier New" w:cs="Courier New" w:hint="default"/>
      </w:rPr>
    </w:lvl>
    <w:lvl w:ilvl="1" w:tplc="D47ADA26">
      <w:numFmt w:val="bullet"/>
      <w:lvlText w:val="-"/>
      <w:lvlJc w:val="left"/>
      <w:pPr>
        <w:ind w:left="1440" w:hanging="360"/>
      </w:pPr>
      <w:rPr>
        <w:rFonts w:ascii="Times New Roman" w:eastAsia="Times New Roman" w:hAnsi="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nsid w:val="5FB86507"/>
    <w:multiLevelType w:val="hybridMultilevel"/>
    <w:tmpl w:val="F5741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nsid w:val="60CD61D4"/>
    <w:multiLevelType w:val="hybridMultilevel"/>
    <w:tmpl w:val="B3EA8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618D3C15"/>
    <w:multiLevelType w:val="multilevel"/>
    <w:tmpl w:val="660A1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63BA153A"/>
    <w:multiLevelType w:val="multilevel"/>
    <w:tmpl w:val="1960DD8E"/>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nsid w:val="64863A0B"/>
    <w:multiLevelType w:val="hybridMultilevel"/>
    <w:tmpl w:val="D324B424"/>
    <w:lvl w:ilvl="0" w:tplc="0410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hint="default"/>
      </w:rPr>
    </w:lvl>
    <w:lvl w:ilvl="2" w:tplc="5C382B88">
      <w:numFmt w:val="bullet"/>
      <w:lvlText w:val="–"/>
      <w:lvlJc w:val="left"/>
      <w:pPr>
        <w:ind w:left="1800" w:hanging="360"/>
      </w:pPr>
      <w:rPr>
        <w:rFonts w:ascii="Times New Roman" w:eastAsia="Times New Roman" w:hAnsi="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nsid w:val="649F7768"/>
    <w:multiLevelType w:val="hybridMultilevel"/>
    <w:tmpl w:val="42AE7586"/>
    <w:lvl w:ilvl="0" w:tplc="51BC187C">
      <w:start w:val="13"/>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0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08">
    <w:nsid w:val="677C5811"/>
    <w:multiLevelType w:val="hybridMultilevel"/>
    <w:tmpl w:val="A1B66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nsid w:val="6A61486B"/>
    <w:multiLevelType w:val="hybridMultilevel"/>
    <w:tmpl w:val="E40416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10">
    <w:nsid w:val="6C066201"/>
    <w:multiLevelType w:val="hybridMultilevel"/>
    <w:tmpl w:val="16785194"/>
    <w:lvl w:ilvl="0" w:tplc="04100003">
      <w:start w:val="1"/>
      <w:numFmt w:val="bullet"/>
      <w:lvlText w:val="o"/>
      <w:lvlJc w:val="left"/>
      <w:pPr>
        <w:ind w:left="720" w:hanging="360"/>
      </w:pPr>
      <w:rPr>
        <w:rFonts w:ascii="Courier New" w:hAnsi="Courier New" w:cs="Courier New" w:hint="default"/>
      </w:rPr>
    </w:lvl>
    <w:lvl w:ilvl="1" w:tplc="D47ADA26">
      <w:numFmt w:val="bullet"/>
      <w:lvlText w:val="-"/>
      <w:lvlJc w:val="left"/>
      <w:pPr>
        <w:ind w:left="1440" w:hanging="360"/>
      </w:pPr>
      <w:rPr>
        <w:rFonts w:ascii="Times New Roman" w:eastAsia="Times New Roman" w:hAnsi="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1">
    <w:nsid w:val="6CB53B8D"/>
    <w:multiLevelType w:val="multilevel"/>
    <w:tmpl w:val="AC5A732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3">
    <w:nsid w:val="6EAF072F"/>
    <w:multiLevelType w:val="hybridMultilevel"/>
    <w:tmpl w:val="85C8BFB6"/>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nsid w:val="70205689"/>
    <w:multiLevelType w:val="hybridMultilevel"/>
    <w:tmpl w:val="35A2D582"/>
    <w:lvl w:ilvl="0" w:tplc="0410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5">
    <w:nsid w:val="703F7C63"/>
    <w:multiLevelType w:val="multilevel"/>
    <w:tmpl w:val="69101100"/>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6">
    <w:nsid w:val="724A5958"/>
    <w:multiLevelType w:val="hybridMultilevel"/>
    <w:tmpl w:val="B3B6F5AA"/>
    <w:lvl w:ilvl="0" w:tplc="0C0A0001">
      <w:start w:val="1"/>
      <w:numFmt w:val="bullet"/>
      <w:lvlText w:val=""/>
      <w:lvlJc w:val="left"/>
      <w:pPr>
        <w:ind w:left="720" w:hanging="360"/>
      </w:pPr>
      <w:rPr>
        <w:rFonts w:ascii="Symbol" w:hAnsi="Symbol" w:hint="default"/>
      </w:rPr>
    </w:lvl>
    <w:lvl w:ilvl="1" w:tplc="FF342046">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72877878"/>
    <w:multiLevelType w:val="hybridMultilevel"/>
    <w:tmpl w:val="EF7622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18">
    <w:nsid w:val="72BB2E1E"/>
    <w:multiLevelType w:val="hybridMultilevel"/>
    <w:tmpl w:val="F7A2878C"/>
    <w:lvl w:ilvl="0" w:tplc="2376EC96">
      <w:numFmt w:val="bullet"/>
      <w:lvlText w:val="-"/>
      <w:lvlJc w:val="left"/>
      <w:pPr>
        <w:ind w:left="720" w:hanging="360"/>
      </w:pPr>
      <w:rPr>
        <w:rFonts w:ascii="Trebuchet MS" w:eastAsia="Times New Roman"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nsid w:val="72EE7087"/>
    <w:multiLevelType w:val="hybridMultilevel"/>
    <w:tmpl w:val="43600690"/>
    <w:lvl w:ilvl="0" w:tplc="51BC187C">
      <w:start w:val="13"/>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590" w:hanging="360"/>
      </w:pPr>
      <w:rPr>
        <w:rFonts w:ascii="Courier New" w:hAnsi="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120">
    <w:nsid w:val="74704B97"/>
    <w:multiLevelType w:val="hybridMultilevel"/>
    <w:tmpl w:val="D6B8ED80"/>
    <w:lvl w:ilvl="0" w:tplc="04080001">
      <w:start w:val="1"/>
      <w:numFmt w:val="bullet"/>
      <w:lvlText w:val=""/>
      <w:lvlJc w:val="left"/>
      <w:pPr>
        <w:ind w:left="720" w:hanging="360"/>
      </w:pPr>
      <w:rPr>
        <w:rFonts w:ascii="Symbol" w:hAnsi="Symbol" w:hint="default"/>
      </w:rPr>
    </w:lvl>
    <w:lvl w:ilvl="1" w:tplc="D47ADA26">
      <w:numFmt w:val="bullet"/>
      <w:lvlText w:val="-"/>
      <w:lvlJc w:val="left"/>
      <w:pPr>
        <w:ind w:left="1440" w:hanging="360"/>
      </w:pPr>
      <w:rPr>
        <w:rFonts w:ascii="Times New Roman" w:eastAsia="Times New Roman" w:hAnsi="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750B6BF0"/>
    <w:multiLevelType w:val="multilevel"/>
    <w:tmpl w:val="6E402E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5CC5196"/>
    <w:multiLevelType w:val="hybridMultilevel"/>
    <w:tmpl w:val="6098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78507A4"/>
    <w:multiLevelType w:val="hybridMultilevel"/>
    <w:tmpl w:val="8B7EE1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4">
    <w:nsid w:val="78A2390E"/>
    <w:multiLevelType w:val="hybridMultilevel"/>
    <w:tmpl w:val="04E8992C"/>
    <w:lvl w:ilvl="0" w:tplc="0410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25">
    <w:nsid w:val="7954522D"/>
    <w:multiLevelType w:val="hybridMultilevel"/>
    <w:tmpl w:val="91B695DC"/>
    <w:lvl w:ilvl="0" w:tplc="0C07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nsid w:val="7A1E36E2"/>
    <w:multiLevelType w:val="hybridMultilevel"/>
    <w:tmpl w:val="6B9CBFDE"/>
    <w:lvl w:ilvl="0" w:tplc="0410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nsid w:val="7AB24E67"/>
    <w:multiLevelType w:val="hybridMultilevel"/>
    <w:tmpl w:val="F71EF012"/>
    <w:lvl w:ilvl="0" w:tplc="8C422D54">
      <w:start w:val="1"/>
      <w:numFmt w:val="bullet"/>
      <w:pStyle w:val="TableListBullet"/>
      <w:lvlText w:val=""/>
      <w:lvlJc w:val="left"/>
      <w:pPr>
        <w:tabs>
          <w:tab w:val="num" w:pos="181"/>
        </w:tabs>
        <w:ind w:left="181" w:hanging="181"/>
      </w:pPr>
      <w:rPr>
        <w:rFonts w:ascii="Symbol" w:hAnsi="Symbol" w:hint="default"/>
        <w:color w:val="FF0000"/>
      </w:rPr>
    </w:lvl>
    <w:lvl w:ilvl="1" w:tplc="5920AA5C" w:tentative="1">
      <w:start w:val="1"/>
      <w:numFmt w:val="bullet"/>
      <w:lvlText w:val="o"/>
      <w:lvlJc w:val="left"/>
      <w:pPr>
        <w:tabs>
          <w:tab w:val="num" w:pos="1440"/>
        </w:tabs>
        <w:ind w:left="1440" w:hanging="360"/>
      </w:pPr>
      <w:rPr>
        <w:rFonts w:ascii="Courier New" w:hAnsi="Courier New" w:hint="default"/>
      </w:rPr>
    </w:lvl>
    <w:lvl w:ilvl="2" w:tplc="20FCB178" w:tentative="1">
      <w:start w:val="1"/>
      <w:numFmt w:val="bullet"/>
      <w:lvlText w:val=""/>
      <w:lvlJc w:val="left"/>
      <w:pPr>
        <w:tabs>
          <w:tab w:val="num" w:pos="2160"/>
        </w:tabs>
        <w:ind w:left="2160" w:hanging="360"/>
      </w:pPr>
      <w:rPr>
        <w:rFonts w:ascii="Wingdings" w:hAnsi="Wingdings" w:hint="default"/>
      </w:rPr>
    </w:lvl>
    <w:lvl w:ilvl="3" w:tplc="C2FCB810" w:tentative="1">
      <w:start w:val="1"/>
      <w:numFmt w:val="bullet"/>
      <w:lvlText w:val=""/>
      <w:lvlJc w:val="left"/>
      <w:pPr>
        <w:tabs>
          <w:tab w:val="num" w:pos="2880"/>
        </w:tabs>
        <w:ind w:left="2880" w:hanging="360"/>
      </w:pPr>
      <w:rPr>
        <w:rFonts w:ascii="Symbol" w:hAnsi="Symbol" w:hint="default"/>
      </w:rPr>
    </w:lvl>
    <w:lvl w:ilvl="4" w:tplc="F264841E" w:tentative="1">
      <w:start w:val="1"/>
      <w:numFmt w:val="bullet"/>
      <w:lvlText w:val="o"/>
      <w:lvlJc w:val="left"/>
      <w:pPr>
        <w:tabs>
          <w:tab w:val="num" w:pos="3600"/>
        </w:tabs>
        <w:ind w:left="3600" w:hanging="360"/>
      </w:pPr>
      <w:rPr>
        <w:rFonts w:ascii="Courier New" w:hAnsi="Courier New" w:hint="default"/>
      </w:rPr>
    </w:lvl>
    <w:lvl w:ilvl="5" w:tplc="13CCE308" w:tentative="1">
      <w:start w:val="1"/>
      <w:numFmt w:val="bullet"/>
      <w:lvlText w:val=""/>
      <w:lvlJc w:val="left"/>
      <w:pPr>
        <w:tabs>
          <w:tab w:val="num" w:pos="4320"/>
        </w:tabs>
        <w:ind w:left="4320" w:hanging="360"/>
      </w:pPr>
      <w:rPr>
        <w:rFonts w:ascii="Wingdings" w:hAnsi="Wingdings" w:hint="default"/>
      </w:rPr>
    </w:lvl>
    <w:lvl w:ilvl="6" w:tplc="33B642BC" w:tentative="1">
      <w:start w:val="1"/>
      <w:numFmt w:val="bullet"/>
      <w:lvlText w:val=""/>
      <w:lvlJc w:val="left"/>
      <w:pPr>
        <w:tabs>
          <w:tab w:val="num" w:pos="5040"/>
        </w:tabs>
        <w:ind w:left="5040" w:hanging="360"/>
      </w:pPr>
      <w:rPr>
        <w:rFonts w:ascii="Symbol" w:hAnsi="Symbol" w:hint="default"/>
      </w:rPr>
    </w:lvl>
    <w:lvl w:ilvl="7" w:tplc="8BFE34A2" w:tentative="1">
      <w:start w:val="1"/>
      <w:numFmt w:val="bullet"/>
      <w:lvlText w:val="o"/>
      <w:lvlJc w:val="left"/>
      <w:pPr>
        <w:tabs>
          <w:tab w:val="num" w:pos="5760"/>
        </w:tabs>
        <w:ind w:left="5760" w:hanging="360"/>
      </w:pPr>
      <w:rPr>
        <w:rFonts w:ascii="Courier New" w:hAnsi="Courier New" w:hint="default"/>
      </w:rPr>
    </w:lvl>
    <w:lvl w:ilvl="8" w:tplc="71F2ED22" w:tentative="1">
      <w:start w:val="1"/>
      <w:numFmt w:val="bullet"/>
      <w:lvlText w:val=""/>
      <w:lvlJc w:val="left"/>
      <w:pPr>
        <w:tabs>
          <w:tab w:val="num" w:pos="6480"/>
        </w:tabs>
        <w:ind w:left="6480" w:hanging="360"/>
      </w:pPr>
      <w:rPr>
        <w:rFonts w:ascii="Wingdings" w:hAnsi="Wingdings" w:hint="default"/>
      </w:rPr>
    </w:lvl>
  </w:abstractNum>
  <w:abstractNum w:abstractNumId="128">
    <w:nsid w:val="7B280350"/>
    <w:multiLevelType w:val="hybridMultilevel"/>
    <w:tmpl w:val="A0C67A7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BD87188"/>
    <w:multiLevelType w:val="hybridMultilevel"/>
    <w:tmpl w:val="DD602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nsid w:val="7CE64CBB"/>
    <w:multiLevelType w:val="hybridMultilevel"/>
    <w:tmpl w:val="19C4CD66"/>
    <w:lvl w:ilvl="0" w:tplc="0F06D3B4">
      <w:start w:val="5"/>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nsid w:val="7DE465A0"/>
    <w:multiLevelType w:val="multilevel"/>
    <w:tmpl w:val="FA764B9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nsid w:val="7FC756A3"/>
    <w:multiLevelType w:val="hybridMultilevel"/>
    <w:tmpl w:val="C20CD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nsid w:val="7FC9106D"/>
    <w:multiLevelType w:val="hybridMultilevel"/>
    <w:tmpl w:val="B44408A6"/>
    <w:lvl w:ilvl="0" w:tplc="0410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38"/>
  </w:num>
  <w:num w:numId="14">
    <w:abstractNumId w:val="89"/>
  </w:num>
  <w:num w:numId="15">
    <w:abstractNumId w:val="48"/>
  </w:num>
  <w:num w:numId="16">
    <w:abstractNumId w:val="31"/>
  </w:num>
  <w:num w:numId="17">
    <w:abstractNumId w:val="28"/>
  </w:num>
  <w:num w:numId="18">
    <w:abstractNumId w:val="105"/>
  </w:num>
  <w:num w:numId="19">
    <w:abstractNumId w:val="107"/>
  </w:num>
  <w:num w:numId="20">
    <w:abstractNumId w:val="106"/>
  </w:num>
  <w:num w:numId="21">
    <w:abstractNumId w:val="112"/>
  </w:num>
  <w:num w:numId="22">
    <w:abstractNumId w:val="42"/>
  </w:num>
  <w:num w:numId="23">
    <w:abstractNumId w:val="65"/>
  </w:num>
  <w:num w:numId="24">
    <w:abstractNumId w:val="72"/>
  </w:num>
  <w:num w:numId="25">
    <w:abstractNumId w:val="68"/>
  </w:num>
  <w:num w:numId="26">
    <w:abstractNumId w:val="19"/>
  </w:num>
  <w:num w:numId="27">
    <w:abstractNumId w:val="73"/>
  </w:num>
  <w:num w:numId="28">
    <w:abstractNumId w:val="26"/>
  </w:num>
  <w:num w:numId="29">
    <w:abstractNumId w:val="59"/>
  </w:num>
  <w:num w:numId="30">
    <w:abstractNumId w:val="122"/>
  </w:num>
  <w:num w:numId="31">
    <w:abstractNumId w:val="41"/>
  </w:num>
  <w:num w:numId="32">
    <w:abstractNumId w:val="55"/>
  </w:num>
  <w:num w:numId="33">
    <w:abstractNumId w:val="96"/>
  </w:num>
  <w:num w:numId="34">
    <w:abstractNumId w:val="76"/>
  </w:num>
  <w:num w:numId="35">
    <w:abstractNumId w:val="131"/>
  </w:num>
  <w:num w:numId="36">
    <w:abstractNumId w:val="127"/>
  </w:num>
  <w:num w:numId="37">
    <w:abstractNumId w:val="119"/>
  </w:num>
  <w:num w:numId="38">
    <w:abstractNumId w:val="11"/>
  </w:num>
  <w:num w:numId="39">
    <w:abstractNumId w:val="115"/>
  </w:num>
  <w:num w:numId="40">
    <w:abstractNumId w:val="18"/>
  </w:num>
  <w:num w:numId="41">
    <w:abstractNumId w:val="16"/>
  </w:num>
  <w:num w:numId="42">
    <w:abstractNumId w:val="111"/>
  </w:num>
  <w:num w:numId="43">
    <w:abstractNumId w:val="82"/>
  </w:num>
  <w:num w:numId="44">
    <w:abstractNumId w:val="92"/>
  </w:num>
  <w:num w:numId="45">
    <w:abstractNumId w:val="49"/>
  </w:num>
  <w:num w:numId="46">
    <w:abstractNumId w:val="69"/>
    <w:lvlOverride w:ilvl="0">
      <w:startOverride w:val="1"/>
    </w:lvlOverride>
  </w:num>
  <w:num w:numId="47">
    <w:abstractNumId w:val="17"/>
  </w:num>
  <w:num w:numId="48">
    <w:abstractNumId w:val="102"/>
  </w:num>
  <w:num w:numId="49">
    <w:abstractNumId w:val="52"/>
  </w:num>
  <w:num w:numId="50">
    <w:abstractNumId w:val="66"/>
  </w:num>
  <w:num w:numId="51">
    <w:abstractNumId w:val="71"/>
  </w:num>
  <w:num w:numId="52">
    <w:abstractNumId w:val="63"/>
  </w:num>
  <w:num w:numId="53">
    <w:abstractNumId w:val="130"/>
  </w:num>
  <w:num w:numId="54">
    <w:abstractNumId w:val="54"/>
  </w:num>
  <w:num w:numId="55">
    <w:abstractNumId w:val="15"/>
  </w:num>
  <w:num w:numId="56">
    <w:abstractNumId w:val="24"/>
  </w:num>
  <w:num w:numId="57">
    <w:abstractNumId w:val="13"/>
  </w:num>
  <w:num w:numId="58">
    <w:abstractNumId w:val="79"/>
  </w:num>
  <w:num w:numId="59">
    <w:abstractNumId w:val="21"/>
  </w:num>
  <w:num w:numId="60">
    <w:abstractNumId w:val="104"/>
  </w:num>
  <w:num w:numId="61">
    <w:abstractNumId w:val="30"/>
  </w:num>
  <w:num w:numId="62">
    <w:abstractNumId w:val="88"/>
  </w:num>
  <w:num w:numId="63">
    <w:abstractNumId w:val="129"/>
  </w:num>
  <w:num w:numId="64">
    <w:abstractNumId w:val="50"/>
  </w:num>
  <w:num w:numId="65">
    <w:abstractNumId w:val="61"/>
  </w:num>
  <w:num w:numId="66">
    <w:abstractNumId w:val="113"/>
  </w:num>
  <w:num w:numId="67">
    <w:abstractNumId w:val="109"/>
  </w:num>
  <w:num w:numId="68">
    <w:abstractNumId w:val="43"/>
  </w:num>
  <w:num w:numId="69">
    <w:abstractNumId w:val="64"/>
  </w:num>
  <w:num w:numId="70">
    <w:abstractNumId w:val="117"/>
  </w:num>
  <w:num w:numId="71">
    <w:abstractNumId w:val="109"/>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2">
    <w:abstractNumId w:val="123"/>
  </w:num>
  <w:num w:numId="73">
    <w:abstractNumId w:val="36"/>
  </w:num>
  <w:num w:numId="74">
    <w:abstractNumId w:val="132"/>
  </w:num>
  <w:num w:numId="75">
    <w:abstractNumId w:val="99"/>
  </w:num>
  <w:num w:numId="76">
    <w:abstractNumId w:val="120"/>
  </w:num>
  <w:num w:numId="77">
    <w:abstractNumId w:val="62"/>
  </w:num>
  <w:num w:numId="78">
    <w:abstractNumId w:val="70"/>
  </w:num>
  <w:num w:numId="79">
    <w:abstractNumId w:val="116"/>
  </w:num>
  <w:num w:numId="80">
    <w:abstractNumId w:val="118"/>
  </w:num>
  <w:num w:numId="81">
    <w:abstractNumId w:val="29"/>
  </w:num>
  <w:num w:numId="82">
    <w:abstractNumId w:val="75"/>
  </w:num>
  <w:num w:numId="83">
    <w:abstractNumId w:val="125"/>
  </w:num>
  <w:num w:numId="84">
    <w:abstractNumId w:val="34"/>
  </w:num>
  <w:num w:numId="85">
    <w:abstractNumId w:val="108"/>
  </w:num>
  <w:num w:numId="86">
    <w:abstractNumId w:val="35"/>
  </w:num>
  <w:num w:numId="87">
    <w:abstractNumId w:val="32"/>
  </w:num>
  <w:num w:numId="88">
    <w:abstractNumId w:val="58"/>
  </w:num>
  <w:num w:numId="89">
    <w:abstractNumId w:val="84"/>
  </w:num>
  <w:num w:numId="90">
    <w:abstractNumId w:val="40"/>
  </w:num>
  <w:num w:numId="91">
    <w:abstractNumId w:val="80"/>
  </w:num>
  <w:num w:numId="92">
    <w:abstractNumId w:val="74"/>
  </w:num>
  <w:num w:numId="93">
    <w:abstractNumId w:val="128"/>
  </w:num>
  <w:num w:numId="94">
    <w:abstractNumId w:val="67"/>
  </w:num>
  <w:num w:numId="95">
    <w:abstractNumId w:val="53"/>
  </w:num>
  <w:num w:numId="96">
    <w:abstractNumId w:val="44"/>
  </w:num>
  <w:num w:numId="97">
    <w:abstractNumId w:val="90"/>
  </w:num>
  <w:num w:numId="98">
    <w:abstractNumId w:val="25"/>
  </w:num>
  <w:num w:numId="99">
    <w:abstractNumId w:val="94"/>
  </w:num>
  <w:num w:numId="100">
    <w:abstractNumId w:val="100"/>
  </w:num>
  <w:num w:numId="101">
    <w:abstractNumId w:val="83"/>
  </w:num>
  <w:num w:numId="102">
    <w:abstractNumId w:val="101"/>
  </w:num>
  <w:num w:numId="1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3"/>
  </w:num>
  <w:num w:numId="119">
    <w:abstractNumId w:val="57"/>
  </w:num>
  <w:num w:numId="120">
    <w:abstractNumId w:val="91"/>
  </w:num>
  <w:num w:numId="121">
    <w:abstractNumId w:val="114"/>
  </w:num>
  <w:num w:numId="122">
    <w:abstractNumId w:val="12"/>
  </w:num>
  <w:num w:numId="123">
    <w:abstractNumId w:val="27"/>
  </w:num>
  <w:num w:numId="124">
    <w:abstractNumId w:val="93"/>
  </w:num>
  <w:num w:numId="125">
    <w:abstractNumId w:val="98"/>
  </w:num>
  <w:num w:numId="126">
    <w:abstractNumId w:val="110"/>
  </w:num>
  <w:num w:numId="127">
    <w:abstractNumId w:val="47"/>
  </w:num>
  <w:num w:numId="128">
    <w:abstractNumId w:val="103"/>
  </w:num>
  <w:num w:numId="129">
    <w:abstractNumId w:val="124"/>
  </w:num>
  <w:num w:numId="130">
    <w:abstractNumId w:val="97"/>
  </w:num>
  <w:num w:numId="131">
    <w:abstractNumId w:val="23"/>
  </w:num>
  <w:num w:numId="132">
    <w:abstractNumId w:val="22"/>
  </w:num>
  <w:num w:numId="133">
    <w:abstractNumId w:val="126"/>
  </w:num>
  <w:num w:numId="134">
    <w:abstractNumId w:val="85"/>
  </w:num>
  <w:num w:numId="135">
    <w:abstractNumId w:val="20"/>
  </w:num>
  <w:num w:numId="136">
    <w:abstractNumId w:val="95"/>
  </w:num>
  <w:num w:numId="137">
    <w:abstractNumId w:val="78"/>
  </w:num>
  <w:num w:numId="138">
    <w:abstractNumId w:val="45"/>
  </w:num>
  <w:num w:numId="139">
    <w:abstractNumId w:val="81"/>
  </w:num>
  <w:num w:numId="140">
    <w:abstractNumId w:val="33"/>
  </w:num>
  <w:num w:numId="141">
    <w:abstractNumId w:val="60"/>
  </w:num>
  <w:num w:numId="142">
    <w:abstractNumId w:val="51"/>
  </w:num>
  <w:num w:numId="143">
    <w:abstractNumId w:val="56"/>
  </w:num>
  <w:num w:numId="144">
    <w:abstractNumId w:val="51"/>
  </w:num>
  <w:num w:numId="145">
    <w:abstractNumId w:val="87"/>
  </w:num>
  <w:num w:numId="146">
    <w:abstractNumId w:val="87"/>
    <w:lvlOverride w:ilvl="0">
      <w:startOverride w:val="4"/>
    </w:lvlOverride>
    <w:lvlOverride w:ilvl="1">
      <w:startOverride w:val="4"/>
    </w:lvlOverride>
  </w:num>
  <w:num w:numId="147">
    <w:abstractNumId w:val="87"/>
  </w:num>
  <w:num w:numId="148">
    <w:abstractNumId w:val="37"/>
  </w:num>
  <w:num w:numId="149">
    <w:abstractNumId w:val="87"/>
    <w:lvlOverride w:ilvl="0">
      <w:startOverride w:val="5"/>
    </w:lvlOverride>
    <w:lvlOverride w:ilvl="1">
      <w:startOverride w:val="1"/>
    </w:lvlOverride>
  </w:num>
  <w:num w:numId="150">
    <w:abstractNumId w:val="46"/>
  </w:num>
  <w:num w:numId="151">
    <w:abstractNumId w:val="39"/>
  </w:num>
  <w:num w:numId="152">
    <w:abstractNumId w:val="87"/>
  </w:num>
  <w:num w:numId="153">
    <w:abstractNumId w:val="87"/>
  </w:num>
  <w:num w:numId="154">
    <w:abstractNumId w:val="39"/>
    <w:lvlOverride w:ilvl="0">
      <w:startOverride w:val="5"/>
    </w:lvlOverride>
    <w:lvlOverride w:ilvl="1">
      <w:startOverride w:val="2"/>
    </w:lvlOverride>
  </w:num>
  <w:num w:numId="155">
    <w:abstractNumId w:val="39"/>
  </w:num>
  <w:num w:numId="156">
    <w:abstractNumId w:val="39"/>
    <w:lvlOverride w:ilvl="0">
      <w:startOverride w:val="4"/>
    </w:lvlOverride>
    <w:lvlOverride w:ilvl="1">
      <w:startOverride w:val="3"/>
    </w:lvlOverride>
  </w:num>
  <w:num w:numId="157">
    <w:abstractNumId w:val="86"/>
  </w:num>
  <w:num w:numId="158">
    <w:abstractNumId w:val="121"/>
  </w:num>
  <w:num w:numId="159">
    <w:abstractNumId w:val="77"/>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227"/>
  <w:hyphenationZone w:val="425"/>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0"/>
    <w:footnote w:id="1"/>
    <w:footnote w:id="2"/>
  </w:footnotePr>
  <w:endnotePr>
    <w:endnote w:id="0"/>
    <w:endnote w:id="1"/>
    <w:endnote w:id="2"/>
  </w:endnotePr>
  <w:compat/>
  <w:docVars>
    <w:docVar w:name="LW_DocType" w:val="NOT"/>
  </w:docVars>
  <w:rsids>
    <w:rsidRoot w:val="0066496A"/>
    <w:rsid w:val="000007D8"/>
    <w:rsid w:val="00000B96"/>
    <w:rsid w:val="00000CCC"/>
    <w:rsid w:val="00001575"/>
    <w:rsid w:val="000015F9"/>
    <w:rsid w:val="0000196E"/>
    <w:rsid w:val="00001A72"/>
    <w:rsid w:val="00001C2D"/>
    <w:rsid w:val="00001C5C"/>
    <w:rsid w:val="00001F08"/>
    <w:rsid w:val="0000263C"/>
    <w:rsid w:val="000028F4"/>
    <w:rsid w:val="000035F4"/>
    <w:rsid w:val="00003838"/>
    <w:rsid w:val="00003FD1"/>
    <w:rsid w:val="0000458D"/>
    <w:rsid w:val="00004E1B"/>
    <w:rsid w:val="00004E42"/>
    <w:rsid w:val="00004FED"/>
    <w:rsid w:val="00005240"/>
    <w:rsid w:val="0000544B"/>
    <w:rsid w:val="000057BB"/>
    <w:rsid w:val="00005C0C"/>
    <w:rsid w:val="000061B9"/>
    <w:rsid w:val="000069D7"/>
    <w:rsid w:val="00006C2A"/>
    <w:rsid w:val="00006E99"/>
    <w:rsid w:val="0000707A"/>
    <w:rsid w:val="000070FF"/>
    <w:rsid w:val="0000745F"/>
    <w:rsid w:val="00007CF9"/>
    <w:rsid w:val="0001001F"/>
    <w:rsid w:val="000107C9"/>
    <w:rsid w:val="00010916"/>
    <w:rsid w:val="00010C3F"/>
    <w:rsid w:val="000112BB"/>
    <w:rsid w:val="000112F6"/>
    <w:rsid w:val="0001181A"/>
    <w:rsid w:val="00011AB2"/>
    <w:rsid w:val="00011E76"/>
    <w:rsid w:val="000122FD"/>
    <w:rsid w:val="00012773"/>
    <w:rsid w:val="0001290D"/>
    <w:rsid w:val="00012FDC"/>
    <w:rsid w:val="000137F4"/>
    <w:rsid w:val="0001381C"/>
    <w:rsid w:val="00013EBF"/>
    <w:rsid w:val="000147F7"/>
    <w:rsid w:val="0001486A"/>
    <w:rsid w:val="00015248"/>
    <w:rsid w:val="00015304"/>
    <w:rsid w:val="000153AA"/>
    <w:rsid w:val="000153B3"/>
    <w:rsid w:val="000159BC"/>
    <w:rsid w:val="00015A5D"/>
    <w:rsid w:val="000161F7"/>
    <w:rsid w:val="00016726"/>
    <w:rsid w:val="00017552"/>
    <w:rsid w:val="0001761A"/>
    <w:rsid w:val="00017DA3"/>
    <w:rsid w:val="00020035"/>
    <w:rsid w:val="000203C7"/>
    <w:rsid w:val="000204DE"/>
    <w:rsid w:val="000204ED"/>
    <w:rsid w:val="00020B65"/>
    <w:rsid w:val="00020B8A"/>
    <w:rsid w:val="00020C91"/>
    <w:rsid w:val="00020FAA"/>
    <w:rsid w:val="0002112E"/>
    <w:rsid w:val="00021173"/>
    <w:rsid w:val="0002149A"/>
    <w:rsid w:val="00021620"/>
    <w:rsid w:val="000221F3"/>
    <w:rsid w:val="000222A1"/>
    <w:rsid w:val="000225F0"/>
    <w:rsid w:val="0002265A"/>
    <w:rsid w:val="00022AA3"/>
    <w:rsid w:val="00022F97"/>
    <w:rsid w:val="00022FDA"/>
    <w:rsid w:val="000230C8"/>
    <w:rsid w:val="00024D23"/>
    <w:rsid w:val="000253D9"/>
    <w:rsid w:val="000255BB"/>
    <w:rsid w:val="0002594A"/>
    <w:rsid w:val="00025A42"/>
    <w:rsid w:val="00025B15"/>
    <w:rsid w:val="00025BF2"/>
    <w:rsid w:val="00025E5D"/>
    <w:rsid w:val="00025FA4"/>
    <w:rsid w:val="000260CD"/>
    <w:rsid w:val="000268B4"/>
    <w:rsid w:val="00026AF4"/>
    <w:rsid w:val="00026E50"/>
    <w:rsid w:val="00026FA9"/>
    <w:rsid w:val="00027BC4"/>
    <w:rsid w:val="000300E3"/>
    <w:rsid w:val="00030216"/>
    <w:rsid w:val="00030852"/>
    <w:rsid w:val="00030A82"/>
    <w:rsid w:val="00030EC6"/>
    <w:rsid w:val="00031126"/>
    <w:rsid w:val="00031340"/>
    <w:rsid w:val="00032108"/>
    <w:rsid w:val="00032482"/>
    <w:rsid w:val="000324D8"/>
    <w:rsid w:val="00032751"/>
    <w:rsid w:val="00032C71"/>
    <w:rsid w:val="000336B4"/>
    <w:rsid w:val="0003391F"/>
    <w:rsid w:val="00034347"/>
    <w:rsid w:val="00034407"/>
    <w:rsid w:val="000344E7"/>
    <w:rsid w:val="00034A68"/>
    <w:rsid w:val="00034B94"/>
    <w:rsid w:val="00034DFC"/>
    <w:rsid w:val="00034EB0"/>
    <w:rsid w:val="00034F45"/>
    <w:rsid w:val="00034FF1"/>
    <w:rsid w:val="00035039"/>
    <w:rsid w:val="00035579"/>
    <w:rsid w:val="00035B1F"/>
    <w:rsid w:val="00035EF6"/>
    <w:rsid w:val="00036093"/>
    <w:rsid w:val="00036299"/>
    <w:rsid w:val="0003689D"/>
    <w:rsid w:val="00037A37"/>
    <w:rsid w:val="00037BBB"/>
    <w:rsid w:val="00037D00"/>
    <w:rsid w:val="00037FEB"/>
    <w:rsid w:val="000405D4"/>
    <w:rsid w:val="00040673"/>
    <w:rsid w:val="00040730"/>
    <w:rsid w:val="0004110C"/>
    <w:rsid w:val="0004143A"/>
    <w:rsid w:val="00042B1A"/>
    <w:rsid w:val="00043345"/>
    <w:rsid w:val="00043730"/>
    <w:rsid w:val="00044160"/>
    <w:rsid w:val="0004425E"/>
    <w:rsid w:val="00044478"/>
    <w:rsid w:val="00045015"/>
    <w:rsid w:val="000450E3"/>
    <w:rsid w:val="0004530C"/>
    <w:rsid w:val="0004605A"/>
    <w:rsid w:val="0004668F"/>
    <w:rsid w:val="00046A8B"/>
    <w:rsid w:val="000470D3"/>
    <w:rsid w:val="0004753A"/>
    <w:rsid w:val="000503AB"/>
    <w:rsid w:val="00050400"/>
    <w:rsid w:val="000506F7"/>
    <w:rsid w:val="000507A4"/>
    <w:rsid w:val="00051035"/>
    <w:rsid w:val="000517E1"/>
    <w:rsid w:val="00052578"/>
    <w:rsid w:val="00053CA8"/>
    <w:rsid w:val="00053F92"/>
    <w:rsid w:val="00054318"/>
    <w:rsid w:val="00054864"/>
    <w:rsid w:val="00054C9C"/>
    <w:rsid w:val="00055720"/>
    <w:rsid w:val="000559CA"/>
    <w:rsid w:val="00057973"/>
    <w:rsid w:val="000605CF"/>
    <w:rsid w:val="00060A72"/>
    <w:rsid w:val="000611B9"/>
    <w:rsid w:val="0006161A"/>
    <w:rsid w:val="00061BFB"/>
    <w:rsid w:val="0006268D"/>
    <w:rsid w:val="000626BE"/>
    <w:rsid w:val="000626E0"/>
    <w:rsid w:val="0006296B"/>
    <w:rsid w:val="00063006"/>
    <w:rsid w:val="00063464"/>
    <w:rsid w:val="00063A0F"/>
    <w:rsid w:val="00063BC8"/>
    <w:rsid w:val="00064444"/>
    <w:rsid w:val="0006446D"/>
    <w:rsid w:val="0006487A"/>
    <w:rsid w:val="00064A5D"/>
    <w:rsid w:val="0006505B"/>
    <w:rsid w:val="00065110"/>
    <w:rsid w:val="000651E4"/>
    <w:rsid w:val="00065C97"/>
    <w:rsid w:val="00066352"/>
    <w:rsid w:val="000665CA"/>
    <w:rsid w:val="00066886"/>
    <w:rsid w:val="00067025"/>
    <w:rsid w:val="000674F3"/>
    <w:rsid w:val="00067736"/>
    <w:rsid w:val="00067A97"/>
    <w:rsid w:val="00067B5D"/>
    <w:rsid w:val="00067C81"/>
    <w:rsid w:val="000705D1"/>
    <w:rsid w:val="00070B8E"/>
    <w:rsid w:val="00070F01"/>
    <w:rsid w:val="00071157"/>
    <w:rsid w:val="00071B63"/>
    <w:rsid w:val="00071C4C"/>
    <w:rsid w:val="000722DB"/>
    <w:rsid w:val="00072BFC"/>
    <w:rsid w:val="000732BC"/>
    <w:rsid w:val="00073509"/>
    <w:rsid w:val="00073632"/>
    <w:rsid w:val="00073BB0"/>
    <w:rsid w:val="000741B2"/>
    <w:rsid w:val="00074443"/>
    <w:rsid w:val="00075AA7"/>
    <w:rsid w:val="00076969"/>
    <w:rsid w:val="000771C3"/>
    <w:rsid w:val="00077315"/>
    <w:rsid w:val="0007762A"/>
    <w:rsid w:val="00077717"/>
    <w:rsid w:val="00077B03"/>
    <w:rsid w:val="00077E28"/>
    <w:rsid w:val="000804AE"/>
    <w:rsid w:val="000804EE"/>
    <w:rsid w:val="000805F8"/>
    <w:rsid w:val="00080EF4"/>
    <w:rsid w:val="0008160C"/>
    <w:rsid w:val="000821BF"/>
    <w:rsid w:val="00082D36"/>
    <w:rsid w:val="00082E96"/>
    <w:rsid w:val="000835CA"/>
    <w:rsid w:val="00083D1C"/>
    <w:rsid w:val="00084631"/>
    <w:rsid w:val="00084C73"/>
    <w:rsid w:val="00084CF7"/>
    <w:rsid w:val="00085076"/>
    <w:rsid w:val="00085423"/>
    <w:rsid w:val="00085657"/>
    <w:rsid w:val="00085C28"/>
    <w:rsid w:val="00085EB5"/>
    <w:rsid w:val="0008627C"/>
    <w:rsid w:val="00086628"/>
    <w:rsid w:val="00086800"/>
    <w:rsid w:val="000868C9"/>
    <w:rsid w:val="00087484"/>
    <w:rsid w:val="000875BC"/>
    <w:rsid w:val="0009048D"/>
    <w:rsid w:val="00090A59"/>
    <w:rsid w:val="0009161B"/>
    <w:rsid w:val="00091957"/>
    <w:rsid w:val="00091C4D"/>
    <w:rsid w:val="00091E17"/>
    <w:rsid w:val="00091E3C"/>
    <w:rsid w:val="00092336"/>
    <w:rsid w:val="00092672"/>
    <w:rsid w:val="0009286C"/>
    <w:rsid w:val="00093132"/>
    <w:rsid w:val="000931BF"/>
    <w:rsid w:val="00093284"/>
    <w:rsid w:val="000943FF"/>
    <w:rsid w:val="0009470B"/>
    <w:rsid w:val="00094D04"/>
    <w:rsid w:val="000951BD"/>
    <w:rsid w:val="00095227"/>
    <w:rsid w:val="000957C9"/>
    <w:rsid w:val="0009666E"/>
    <w:rsid w:val="00096FC9"/>
    <w:rsid w:val="00096FDB"/>
    <w:rsid w:val="00096FE8"/>
    <w:rsid w:val="00097257"/>
    <w:rsid w:val="00097409"/>
    <w:rsid w:val="00097782"/>
    <w:rsid w:val="00097799"/>
    <w:rsid w:val="000A01BC"/>
    <w:rsid w:val="000A04E4"/>
    <w:rsid w:val="000A0D2B"/>
    <w:rsid w:val="000A11F4"/>
    <w:rsid w:val="000A1431"/>
    <w:rsid w:val="000A1594"/>
    <w:rsid w:val="000A1621"/>
    <w:rsid w:val="000A163D"/>
    <w:rsid w:val="000A179D"/>
    <w:rsid w:val="000A19E1"/>
    <w:rsid w:val="000A1D15"/>
    <w:rsid w:val="000A207B"/>
    <w:rsid w:val="000A2111"/>
    <w:rsid w:val="000A217A"/>
    <w:rsid w:val="000A21D7"/>
    <w:rsid w:val="000A26A8"/>
    <w:rsid w:val="000A3171"/>
    <w:rsid w:val="000A3EF4"/>
    <w:rsid w:val="000A4881"/>
    <w:rsid w:val="000A4B77"/>
    <w:rsid w:val="000A5084"/>
    <w:rsid w:val="000A5090"/>
    <w:rsid w:val="000A5107"/>
    <w:rsid w:val="000A56D5"/>
    <w:rsid w:val="000A575C"/>
    <w:rsid w:val="000A5C1C"/>
    <w:rsid w:val="000A603C"/>
    <w:rsid w:val="000A6207"/>
    <w:rsid w:val="000A678E"/>
    <w:rsid w:val="000A6EE1"/>
    <w:rsid w:val="000A7015"/>
    <w:rsid w:val="000A72C7"/>
    <w:rsid w:val="000A775F"/>
    <w:rsid w:val="000A7815"/>
    <w:rsid w:val="000B03E5"/>
    <w:rsid w:val="000B0513"/>
    <w:rsid w:val="000B07C2"/>
    <w:rsid w:val="000B0B2E"/>
    <w:rsid w:val="000B110A"/>
    <w:rsid w:val="000B1374"/>
    <w:rsid w:val="000B1716"/>
    <w:rsid w:val="000B1BA3"/>
    <w:rsid w:val="000B1E31"/>
    <w:rsid w:val="000B2E13"/>
    <w:rsid w:val="000B345E"/>
    <w:rsid w:val="000B3890"/>
    <w:rsid w:val="000B38CD"/>
    <w:rsid w:val="000B3FBA"/>
    <w:rsid w:val="000B442D"/>
    <w:rsid w:val="000B4EA7"/>
    <w:rsid w:val="000B55C9"/>
    <w:rsid w:val="000B55E0"/>
    <w:rsid w:val="000B5BA0"/>
    <w:rsid w:val="000B667F"/>
    <w:rsid w:val="000B69D4"/>
    <w:rsid w:val="000B6D9C"/>
    <w:rsid w:val="000B6E74"/>
    <w:rsid w:val="000B7BCF"/>
    <w:rsid w:val="000C0007"/>
    <w:rsid w:val="000C057E"/>
    <w:rsid w:val="000C07E2"/>
    <w:rsid w:val="000C0B46"/>
    <w:rsid w:val="000C0B6F"/>
    <w:rsid w:val="000C0BEE"/>
    <w:rsid w:val="000C110E"/>
    <w:rsid w:val="000C124A"/>
    <w:rsid w:val="000C19EB"/>
    <w:rsid w:val="000C19FB"/>
    <w:rsid w:val="000C1BB0"/>
    <w:rsid w:val="000C1FC3"/>
    <w:rsid w:val="000C2544"/>
    <w:rsid w:val="000C2C6E"/>
    <w:rsid w:val="000C3756"/>
    <w:rsid w:val="000C387D"/>
    <w:rsid w:val="000C3D0A"/>
    <w:rsid w:val="000C3E4E"/>
    <w:rsid w:val="000C44DE"/>
    <w:rsid w:val="000C4B66"/>
    <w:rsid w:val="000C566E"/>
    <w:rsid w:val="000C598F"/>
    <w:rsid w:val="000C5DD1"/>
    <w:rsid w:val="000C655D"/>
    <w:rsid w:val="000C6D1A"/>
    <w:rsid w:val="000C7248"/>
    <w:rsid w:val="000C7309"/>
    <w:rsid w:val="000C74B3"/>
    <w:rsid w:val="000C759C"/>
    <w:rsid w:val="000C7CA3"/>
    <w:rsid w:val="000C7E6A"/>
    <w:rsid w:val="000D0BC6"/>
    <w:rsid w:val="000D0D0A"/>
    <w:rsid w:val="000D0E1C"/>
    <w:rsid w:val="000D1817"/>
    <w:rsid w:val="000D1B88"/>
    <w:rsid w:val="000D1C9A"/>
    <w:rsid w:val="000D1E32"/>
    <w:rsid w:val="000D27C1"/>
    <w:rsid w:val="000D2D25"/>
    <w:rsid w:val="000D3194"/>
    <w:rsid w:val="000D31B5"/>
    <w:rsid w:val="000D334A"/>
    <w:rsid w:val="000D3D23"/>
    <w:rsid w:val="000D43AC"/>
    <w:rsid w:val="000D4CED"/>
    <w:rsid w:val="000D4FBF"/>
    <w:rsid w:val="000D5374"/>
    <w:rsid w:val="000D6222"/>
    <w:rsid w:val="000D6AD8"/>
    <w:rsid w:val="000D6F4C"/>
    <w:rsid w:val="000D7753"/>
    <w:rsid w:val="000D7877"/>
    <w:rsid w:val="000D79BE"/>
    <w:rsid w:val="000D7D55"/>
    <w:rsid w:val="000D7F58"/>
    <w:rsid w:val="000E0100"/>
    <w:rsid w:val="000E028A"/>
    <w:rsid w:val="000E04B1"/>
    <w:rsid w:val="000E05A9"/>
    <w:rsid w:val="000E060D"/>
    <w:rsid w:val="000E085D"/>
    <w:rsid w:val="000E176E"/>
    <w:rsid w:val="000E1C95"/>
    <w:rsid w:val="000E2174"/>
    <w:rsid w:val="000E23D3"/>
    <w:rsid w:val="000E29DC"/>
    <w:rsid w:val="000E4462"/>
    <w:rsid w:val="000E4F19"/>
    <w:rsid w:val="000E575C"/>
    <w:rsid w:val="000E57F7"/>
    <w:rsid w:val="000E5C5D"/>
    <w:rsid w:val="000E5EB3"/>
    <w:rsid w:val="000E61AC"/>
    <w:rsid w:val="000E6323"/>
    <w:rsid w:val="000E684D"/>
    <w:rsid w:val="000E6B07"/>
    <w:rsid w:val="000E6E37"/>
    <w:rsid w:val="000E6E66"/>
    <w:rsid w:val="000E7467"/>
    <w:rsid w:val="000E786F"/>
    <w:rsid w:val="000E794D"/>
    <w:rsid w:val="000E7C0C"/>
    <w:rsid w:val="000F0559"/>
    <w:rsid w:val="000F0C83"/>
    <w:rsid w:val="000F0E45"/>
    <w:rsid w:val="000F0E56"/>
    <w:rsid w:val="000F0FA6"/>
    <w:rsid w:val="000F12B6"/>
    <w:rsid w:val="000F12C9"/>
    <w:rsid w:val="000F137A"/>
    <w:rsid w:val="000F19F5"/>
    <w:rsid w:val="000F1DD0"/>
    <w:rsid w:val="000F1EB0"/>
    <w:rsid w:val="000F1FE2"/>
    <w:rsid w:val="000F2228"/>
    <w:rsid w:val="000F26BA"/>
    <w:rsid w:val="000F2801"/>
    <w:rsid w:val="000F2AA3"/>
    <w:rsid w:val="000F390F"/>
    <w:rsid w:val="000F4451"/>
    <w:rsid w:val="000F4518"/>
    <w:rsid w:val="000F4877"/>
    <w:rsid w:val="000F4D2C"/>
    <w:rsid w:val="000F5356"/>
    <w:rsid w:val="000F53B1"/>
    <w:rsid w:val="000F61B4"/>
    <w:rsid w:val="000F61F2"/>
    <w:rsid w:val="000F6AC8"/>
    <w:rsid w:val="000F6B17"/>
    <w:rsid w:val="000F7091"/>
    <w:rsid w:val="000F73AF"/>
    <w:rsid w:val="000F7744"/>
    <w:rsid w:val="000F7A65"/>
    <w:rsid w:val="000F7F77"/>
    <w:rsid w:val="00100EE3"/>
    <w:rsid w:val="00101646"/>
    <w:rsid w:val="001018AC"/>
    <w:rsid w:val="00101F87"/>
    <w:rsid w:val="001021EE"/>
    <w:rsid w:val="0010284B"/>
    <w:rsid w:val="00102E33"/>
    <w:rsid w:val="00102F59"/>
    <w:rsid w:val="0010356B"/>
    <w:rsid w:val="001035DC"/>
    <w:rsid w:val="00103797"/>
    <w:rsid w:val="00103C5F"/>
    <w:rsid w:val="00103CAC"/>
    <w:rsid w:val="00103D38"/>
    <w:rsid w:val="00103D6D"/>
    <w:rsid w:val="00104445"/>
    <w:rsid w:val="00104537"/>
    <w:rsid w:val="00104FB9"/>
    <w:rsid w:val="001053A5"/>
    <w:rsid w:val="00106A66"/>
    <w:rsid w:val="00106A77"/>
    <w:rsid w:val="00107033"/>
    <w:rsid w:val="00107260"/>
    <w:rsid w:val="00110558"/>
    <w:rsid w:val="001105C9"/>
    <w:rsid w:val="001105EF"/>
    <w:rsid w:val="00110626"/>
    <w:rsid w:val="00110D13"/>
    <w:rsid w:val="0011129D"/>
    <w:rsid w:val="0011140A"/>
    <w:rsid w:val="001114A7"/>
    <w:rsid w:val="0011154D"/>
    <w:rsid w:val="001116E2"/>
    <w:rsid w:val="00112038"/>
    <w:rsid w:val="001125FB"/>
    <w:rsid w:val="001126C5"/>
    <w:rsid w:val="001127B5"/>
    <w:rsid w:val="00112CC7"/>
    <w:rsid w:val="001131AC"/>
    <w:rsid w:val="00113257"/>
    <w:rsid w:val="0011377A"/>
    <w:rsid w:val="001138D0"/>
    <w:rsid w:val="00113A36"/>
    <w:rsid w:val="00113ADC"/>
    <w:rsid w:val="00113B1F"/>
    <w:rsid w:val="00113C41"/>
    <w:rsid w:val="00113D2F"/>
    <w:rsid w:val="00113FA8"/>
    <w:rsid w:val="001141A5"/>
    <w:rsid w:val="00114A2C"/>
    <w:rsid w:val="0011554D"/>
    <w:rsid w:val="00115F48"/>
    <w:rsid w:val="001165A0"/>
    <w:rsid w:val="001165B7"/>
    <w:rsid w:val="00116747"/>
    <w:rsid w:val="001172E6"/>
    <w:rsid w:val="001178C9"/>
    <w:rsid w:val="00117C2F"/>
    <w:rsid w:val="00117C4C"/>
    <w:rsid w:val="00117DF1"/>
    <w:rsid w:val="0012000E"/>
    <w:rsid w:val="00121593"/>
    <w:rsid w:val="00122D27"/>
    <w:rsid w:val="001233AD"/>
    <w:rsid w:val="00123B3C"/>
    <w:rsid w:val="00123E9E"/>
    <w:rsid w:val="001241C0"/>
    <w:rsid w:val="00124955"/>
    <w:rsid w:val="00124C51"/>
    <w:rsid w:val="00124DDB"/>
    <w:rsid w:val="00125120"/>
    <w:rsid w:val="001251BB"/>
    <w:rsid w:val="00125300"/>
    <w:rsid w:val="00125585"/>
    <w:rsid w:val="00125899"/>
    <w:rsid w:val="001260C7"/>
    <w:rsid w:val="001267F7"/>
    <w:rsid w:val="00126D52"/>
    <w:rsid w:val="00126FA9"/>
    <w:rsid w:val="00127230"/>
    <w:rsid w:val="00127590"/>
    <w:rsid w:val="0013027A"/>
    <w:rsid w:val="001302E5"/>
    <w:rsid w:val="001308BC"/>
    <w:rsid w:val="00130AE6"/>
    <w:rsid w:val="00131D34"/>
    <w:rsid w:val="001324C6"/>
    <w:rsid w:val="00132A26"/>
    <w:rsid w:val="00132B15"/>
    <w:rsid w:val="00132F15"/>
    <w:rsid w:val="0013343C"/>
    <w:rsid w:val="001334CF"/>
    <w:rsid w:val="0013358C"/>
    <w:rsid w:val="0013397F"/>
    <w:rsid w:val="00133D61"/>
    <w:rsid w:val="00133F5A"/>
    <w:rsid w:val="00134243"/>
    <w:rsid w:val="0013428F"/>
    <w:rsid w:val="00134450"/>
    <w:rsid w:val="001344BE"/>
    <w:rsid w:val="001345FF"/>
    <w:rsid w:val="00134676"/>
    <w:rsid w:val="001346F0"/>
    <w:rsid w:val="00134901"/>
    <w:rsid w:val="00135004"/>
    <w:rsid w:val="001356AB"/>
    <w:rsid w:val="00135A74"/>
    <w:rsid w:val="00135D23"/>
    <w:rsid w:val="001361FE"/>
    <w:rsid w:val="00136276"/>
    <w:rsid w:val="00136717"/>
    <w:rsid w:val="00136F65"/>
    <w:rsid w:val="00137107"/>
    <w:rsid w:val="00137343"/>
    <w:rsid w:val="00140081"/>
    <w:rsid w:val="00140625"/>
    <w:rsid w:val="00140861"/>
    <w:rsid w:val="00140B08"/>
    <w:rsid w:val="00140C45"/>
    <w:rsid w:val="00140C5C"/>
    <w:rsid w:val="00140FA3"/>
    <w:rsid w:val="00140FC9"/>
    <w:rsid w:val="0014104F"/>
    <w:rsid w:val="00141804"/>
    <w:rsid w:val="00141D6F"/>
    <w:rsid w:val="00141FE5"/>
    <w:rsid w:val="001427E8"/>
    <w:rsid w:val="0014307F"/>
    <w:rsid w:val="0014328A"/>
    <w:rsid w:val="00143774"/>
    <w:rsid w:val="00143F59"/>
    <w:rsid w:val="00144365"/>
    <w:rsid w:val="0014532B"/>
    <w:rsid w:val="0014543E"/>
    <w:rsid w:val="0014552F"/>
    <w:rsid w:val="00145665"/>
    <w:rsid w:val="001458A7"/>
    <w:rsid w:val="00145A09"/>
    <w:rsid w:val="00145F34"/>
    <w:rsid w:val="0014600A"/>
    <w:rsid w:val="00146057"/>
    <w:rsid w:val="00146268"/>
    <w:rsid w:val="00146749"/>
    <w:rsid w:val="00146B4C"/>
    <w:rsid w:val="00147095"/>
    <w:rsid w:val="001475BC"/>
    <w:rsid w:val="00147F31"/>
    <w:rsid w:val="001511AA"/>
    <w:rsid w:val="00151506"/>
    <w:rsid w:val="001515E5"/>
    <w:rsid w:val="001519AC"/>
    <w:rsid w:val="00151B20"/>
    <w:rsid w:val="00151D12"/>
    <w:rsid w:val="00152789"/>
    <w:rsid w:val="00152E12"/>
    <w:rsid w:val="00153201"/>
    <w:rsid w:val="00153338"/>
    <w:rsid w:val="00153F82"/>
    <w:rsid w:val="001540BB"/>
    <w:rsid w:val="00154D74"/>
    <w:rsid w:val="0015551A"/>
    <w:rsid w:val="00155791"/>
    <w:rsid w:val="001557BC"/>
    <w:rsid w:val="00155A6D"/>
    <w:rsid w:val="00155B26"/>
    <w:rsid w:val="00155FA5"/>
    <w:rsid w:val="001560CD"/>
    <w:rsid w:val="00156798"/>
    <w:rsid w:val="001569A7"/>
    <w:rsid w:val="001573C1"/>
    <w:rsid w:val="0015777B"/>
    <w:rsid w:val="00157A77"/>
    <w:rsid w:val="00157F71"/>
    <w:rsid w:val="001601FD"/>
    <w:rsid w:val="00160685"/>
    <w:rsid w:val="00160B09"/>
    <w:rsid w:val="00160B72"/>
    <w:rsid w:val="00160C8C"/>
    <w:rsid w:val="00160F87"/>
    <w:rsid w:val="00161C06"/>
    <w:rsid w:val="00162E88"/>
    <w:rsid w:val="00163482"/>
    <w:rsid w:val="00163B5A"/>
    <w:rsid w:val="00163B6D"/>
    <w:rsid w:val="00163E61"/>
    <w:rsid w:val="001646ED"/>
    <w:rsid w:val="001647C7"/>
    <w:rsid w:val="001647E9"/>
    <w:rsid w:val="00164980"/>
    <w:rsid w:val="00164BB9"/>
    <w:rsid w:val="00164C57"/>
    <w:rsid w:val="00165957"/>
    <w:rsid w:val="00165ACC"/>
    <w:rsid w:val="00165C43"/>
    <w:rsid w:val="00165ED3"/>
    <w:rsid w:val="00166102"/>
    <w:rsid w:val="0016643A"/>
    <w:rsid w:val="00166BCB"/>
    <w:rsid w:val="0016760B"/>
    <w:rsid w:val="0016770A"/>
    <w:rsid w:val="00167A29"/>
    <w:rsid w:val="00170358"/>
    <w:rsid w:val="00170DDE"/>
    <w:rsid w:val="00171550"/>
    <w:rsid w:val="00171916"/>
    <w:rsid w:val="00171D6A"/>
    <w:rsid w:val="001721FA"/>
    <w:rsid w:val="001723D5"/>
    <w:rsid w:val="001724DC"/>
    <w:rsid w:val="00172938"/>
    <w:rsid w:val="00172EA1"/>
    <w:rsid w:val="00172EF0"/>
    <w:rsid w:val="00172F65"/>
    <w:rsid w:val="00173774"/>
    <w:rsid w:val="00173A0D"/>
    <w:rsid w:val="00173DAE"/>
    <w:rsid w:val="0017430B"/>
    <w:rsid w:val="00174DC8"/>
    <w:rsid w:val="00174E38"/>
    <w:rsid w:val="0017518C"/>
    <w:rsid w:val="0017574D"/>
    <w:rsid w:val="00175EC7"/>
    <w:rsid w:val="0017608F"/>
    <w:rsid w:val="001760F7"/>
    <w:rsid w:val="00176EE9"/>
    <w:rsid w:val="001778C1"/>
    <w:rsid w:val="00177CED"/>
    <w:rsid w:val="00177D93"/>
    <w:rsid w:val="00177DD0"/>
    <w:rsid w:val="001800D8"/>
    <w:rsid w:val="001802F2"/>
    <w:rsid w:val="00180B20"/>
    <w:rsid w:val="00181C3A"/>
    <w:rsid w:val="00181E86"/>
    <w:rsid w:val="00182437"/>
    <w:rsid w:val="0018270C"/>
    <w:rsid w:val="00182ABF"/>
    <w:rsid w:val="00182B08"/>
    <w:rsid w:val="00182D7F"/>
    <w:rsid w:val="00182DB7"/>
    <w:rsid w:val="0018324F"/>
    <w:rsid w:val="00183908"/>
    <w:rsid w:val="00183A73"/>
    <w:rsid w:val="00183B21"/>
    <w:rsid w:val="00183F4C"/>
    <w:rsid w:val="00184AB2"/>
    <w:rsid w:val="00184AFD"/>
    <w:rsid w:val="00184D7A"/>
    <w:rsid w:val="001857D8"/>
    <w:rsid w:val="00185B6C"/>
    <w:rsid w:val="001869E5"/>
    <w:rsid w:val="00186C89"/>
    <w:rsid w:val="00186F5E"/>
    <w:rsid w:val="00187CFD"/>
    <w:rsid w:val="00187EEF"/>
    <w:rsid w:val="00187FE6"/>
    <w:rsid w:val="00190343"/>
    <w:rsid w:val="00190541"/>
    <w:rsid w:val="001907E3"/>
    <w:rsid w:val="00190F49"/>
    <w:rsid w:val="0019128F"/>
    <w:rsid w:val="00191715"/>
    <w:rsid w:val="0019197E"/>
    <w:rsid w:val="00191D3A"/>
    <w:rsid w:val="00191E74"/>
    <w:rsid w:val="0019205F"/>
    <w:rsid w:val="0019207F"/>
    <w:rsid w:val="0019287C"/>
    <w:rsid w:val="001929B8"/>
    <w:rsid w:val="001929BB"/>
    <w:rsid w:val="001930BB"/>
    <w:rsid w:val="0019332B"/>
    <w:rsid w:val="001935E9"/>
    <w:rsid w:val="0019389F"/>
    <w:rsid w:val="00193AC4"/>
    <w:rsid w:val="00194226"/>
    <w:rsid w:val="001952AB"/>
    <w:rsid w:val="001952BD"/>
    <w:rsid w:val="00195FA9"/>
    <w:rsid w:val="00196133"/>
    <w:rsid w:val="001963C9"/>
    <w:rsid w:val="001965E6"/>
    <w:rsid w:val="00196E06"/>
    <w:rsid w:val="00196EE9"/>
    <w:rsid w:val="001970EC"/>
    <w:rsid w:val="0019787C"/>
    <w:rsid w:val="00197F3D"/>
    <w:rsid w:val="001A0090"/>
    <w:rsid w:val="001A01E2"/>
    <w:rsid w:val="001A03DF"/>
    <w:rsid w:val="001A0ADD"/>
    <w:rsid w:val="001A0B2F"/>
    <w:rsid w:val="001A1B6A"/>
    <w:rsid w:val="001A202F"/>
    <w:rsid w:val="001A3411"/>
    <w:rsid w:val="001A3681"/>
    <w:rsid w:val="001A3728"/>
    <w:rsid w:val="001A4638"/>
    <w:rsid w:val="001A473A"/>
    <w:rsid w:val="001A523D"/>
    <w:rsid w:val="001A570C"/>
    <w:rsid w:val="001A587D"/>
    <w:rsid w:val="001A6C52"/>
    <w:rsid w:val="001A701A"/>
    <w:rsid w:val="001A7185"/>
    <w:rsid w:val="001A7FC4"/>
    <w:rsid w:val="001B02E9"/>
    <w:rsid w:val="001B05C8"/>
    <w:rsid w:val="001B0C4C"/>
    <w:rsid w:val="001B0F4C"/>
    <w:rsid w:val="001B159E"/>
    <w:rsid w:val="001B1B3D"/>
    <w:rsid w:val="001B1D7F"/>
    <w:rsid w:val="001B2358"/>
    <w:rsid w:val="001B341A"/>
    <w:rsid w:val="001B348A"/>
    <w:rsid w:val="001B36CE"/>
    <w:rsid w:val="001B379E"/>
    <w:rsid w:val="001B4076"/>
    <w:rsid w:val="001B41BC"/>
    <w:rsid w:val="001B4480"/>
    <w:rsid w:val="001B45F8"/>
    <w:rsid w:val="001B4B57"/>
    <w:rsid w:val="001B4CFF"/>
    <w:rsid w:val="001B5165"/>
    <w:rsid w:val="001B51B2"/>
    <w:rsid w:val="001B520C"/>
    <w:rsid w:val="001B570F"/>
    <w:rsid w:val="001B5779"/>
    <w:rsid w:val="001B57F9"/>
    <w:rsid w:val="001B5831"/>
    <w:rsid w:val="001B629C"/>
    <w:rsid w:val="001B660C"/>
    <w:rsid w:val="001B6D63"/>
    <w:rsid w:val="001B7231"/>
    <w:rsid w:val="001B7531"/>
    <w:rsid w:val="001B75D4"/>
    <w:rsid w:val="001B7AF4"/>
    <w:rsid w:val="001B7CD7"/>
    <w:rsid w:val="001C0353"/>
    <w:rsid w:val="001C08A6"/>
    <w:rsid w:val="001C0912"/>
    <w:rsid w:val="001C1681"/>
    <w:rsid w:val="001C19B0"/>
    <w:rsid w:val="001C2105"/>
    <w:rsid w:val="001C2AB3"/>
    <w:rsid w:val="001C2CFE"/>
    <w:rsid w:val="001C2D1D"/>
    <w:rsid w:val="001C2EFE"/>
    <w:rsid w:val="001C318C"/>
    <w:rsid w:val="001C34DF"/>
    <w:rsid w:val="001C4548"/>
    <w:rsid w:val="001C4E25"/>
    <w:rsid w:val="001C4F5A"/>
    <w:rsid w:val="001C66B1"/>
    <w:rsid w:val="001C7BA7"/>
    <w:rsid w:val="001C7D1E"/>
    <w:rsid w:val="001D0FCE"/>
    <w:rsid w:val="001D1063"/>
    <w:rsid w:val="001D1071"/>
    <w:rsid w:val="001D1219"/>
    <w:rsid w:val="001D168B"/>
    <w:rsid w:val="001D1B1E"/>
    <w:rsid w:val="001D1C16"/>
    <w:rsid w:val="001D386D"/>
    <w:rsid w:val="001D3D66"/>
    <w:rsid w:val="001D3E64"/>
    <w:rsid w:val="001D4DD6"/>
    <w:rsid w:val="001D4E2F"/>
    <w:rsid w:val="001D4F6D"/>
    <w:rsid w:val="001D5594"/>
    <w:rsid w:val="001D5706"/>
    <w:rsid w:val="001D5902"/>
    <w:rsid w:val="001D5946"/>
    <w:rsid w:val="001D5EA1"/>
    <w:rsid w:val="001D5ECC"/>
    <w:rsid w:val="001D6256"/>
    <w:rsid w:val="001D66E1"/>
    <w:rsid w:val="001D6BDB"/>
    <w:rsid w:val="001D767B"/>
    <w:rsid w:val="001D79C5"/>
    <w:rsid w:val="001D79FA"/>
    <w:rsid w:val="001D7C61"/>
    <w:rsid w:val="001D7CF8"/>
    <w:rsid w:val="001D7F70"/>
    <w:rsid w:val="001E0C2E"/>
    <w:rsid w:val="001E109C"/>
    <w:rsid w:val="001E1AD6"/>
    <w:rsid w:val="001E1BE3"/>
    <w:rsid w:val="001E1F38"/>
    <w:rsid w:val="001E3335"/>
    <w:rsid w:val="001E3662"/>
    <w:rsid w:val="001E37D8"/>
    <w:rsid w:val="001E3B5F"/>
    <w:rsid w:val="001E3DA5"/>
    <w:rsid w:val="001E4699"/>
    <w:rsid w:val="001E4BD5"/>
    <w:rsid w:val="001E4D97"/>
    <w:rsid w:val="001E4F9D"/>
    <w:rsid w:val="001E500F"/>
    <w:rsid w:val="001E580C"/>
    <w:rsid w:val="001E58FB"/>
    <w:rsid w:val="001E5C9D"/>
    <w:rsid w:val="001E6147"/>
    <w:rsid w:val="001E61C4"/>
    <w:rsid w:val="001E6A77"/>
    <w:rsid w:val="001E6AE4"/>
    <w:rsid w:val="001E6C1A"/>
    <w:rsid w:val="001E70C8"/>
    <w:rsid w:val="001E71E0"/>
    <w:rsid w:val="001E73FB"/>
    <w:rsid w:val="001E7852"/>
    <w:rsid w:val="001E7A66"/>
    <w:rsid w:val="001E7B51"/>
    <w:rsid w:val="001E7E5C"/>
    <w:rsid w:val="001F06AB"/>
    <w:rsid w:val="001F06CF"/>
    <w:rsid w:val="001F09D1"/>
    <w:rsid w:val="001F12CA"/>
    <w:rsid w:val="001F19FE"/>
    <w:rsid w:val="001F1AD4"/>
    <w:rsid w:val="001F1D74"/>
    <w:rsid w:val="001F2C57"/>
    <w:rsid w:val="001F2CBF"/>
    <w:rsid w:val="001F30D0"/>
    <w:rsid w:val="001F3919"/>
    <w:rsid w:val="001F46C3"/>
    <w:rsid w:val="001F49FB"/>
    <w:rsid w:val="001F4D45"/>
    <w:rsid w:val="001F4EA9"/>
    <w:rsid w:val="001F4FEF"/>
    <w:rsid w:val="001F503C"/>
    <w:rsid w:val="001F5188"/>
    <w:rsid w:val="001F5EE4"/>
    <w:rsid w:val="001F6306"/>
    <w:rsid w:val="001F67AC"/>
    <w:rsid w:val="001F6AAB"/>
    <w:rsid w:val="001F7DC9"/>
    <w:rsid w:val="001F7EC6"/>
    <w:rsid w:val="0020016B"/>
    <w:rsid w:val="00200352"/>
    <w:rsid w:val="0020057D"/>
    <w:rsid w:val="00201582"/>
    <w:rsid w:val="00201778"/>
    <w:rsid w:val="00201D2A"/>
    <w:rsid w:val="00201F92"/>
    <w:rsid w:val="00202194"/>
    <w:rsid w:val="002021FA"/>
    <w:rsid w:val="0020268C"/>
    <w:rsid w:val="00202ADD"/>
    <w:rsid w:val="00202C81"/>
    <w:rsid w:val="00202EA6"/>
    <w:rsid w:val="002035D7"/>
    <w:rsid w:val="002039AA"/>
    <w:rsid w:val="002043E2"/>
    <w:rsid w:val="00204E4C"/>
    <w:rsid w:val="002051CF"/>
    <w:rsid w:val="0020591F"/>
    <w:rsid w:val="002064A1"/>
    <w:rsid w:val="0020678D"/>
    <w:rsid w:val="00206B9E"/>
    <w:rsid w:val="00206F8A"/>
    <w:rsid w:val="00207311"/>
    <w:rsid w:val="0020748D"/>
    <w:rsid w:val="0020768A"/>
    <w:rsid w:val="00207BEE"/>
    <w:rsid w:val="00207F14"/>
    <w:rsid w:val="00210409"/>
    <w:rsid w:val="00210A45"/>
    <w:rsid w:val="00210E0A"/>
    <w:rsid w:val="00210E79"/>
    <w:rsid w:val="002115EE"/>
    <w:rsid w:val="00211A13"/>
    <w:rsid w:val="0021227D"/>
    <w:rsid w:val="00212D39"/>
    <w:rsid w:val="0021366C"/>
    <w:rsid w:val="002138F2"/>
    <w:rsid w:val="002141B2"/>
    <w:rsid w:val="00214265"/>
    <w:rsid w:val="002142E3"/>
    <w:rsid w:val="0021479E"/>
    <w:rsid w:val="002147BB"/>
    <w:rsid w:val="0021510E"/>
    <w:rsid w:val="002151C8"/>
    <w:rsid w:val="002157D8"/>
    <w:rsid w:val="0021596F"/>
    <w:rsid w:val="00215C99"/>
    <w:rsid w:val="00215CCE"/>
    <w:rsid w:val="00215EDA"/>
    <w:rsid w:val="00215F0A"/>
    <w:rsid w:val="00216074"/>
    <w:rsid w:val="0021608E"/>
    <w:rsid w:val="002163F3"/>
    <w:rsid w:val="00216732"/>
    <w:rsid w:val="00216FB0"/>
    <w:rsid w:val="002170D9"/>
    <w:rsid w:val="0021790D"/>
    <w:rsid w:val="0021793F"/>
    <w:rsid w:val="002179E1"/>
    <w:rsid w:val="00220070"/>
    <w:rsid w:val="0022013F"/>
    <w:rsid w:val="00220C27"/>
    <w:rsid w:val="00220EEC"/>
    <w:rsid w:val="00220F66"/>
    <w:rsid w:val="002211FC"/>
    <w:rsid w:val="0022145A"/>
    <w:rsid w:val="002218F9"/>
    <w:rsid w:val="00221CF5"/>
    <w:rsid w:val="00221EEF"/>
    <w:rsid w:val="00222C03"/>
    <w:rsid w:val="0022305F"/>
    <w:rsid w:val="00223267"/>
    <w:rsid w:val="00223538"/>
    <w:rsid w:val="002237B8"/>
    <w:rsid w:val="00223B9A"/>
    <w:rsid w:val="00224080"/>
    <w:rsid w:val="00224361"/>
    <w:rsid w:val="002245D7"/>
    <w:rsid w:val="00224901"/>
    <w:rsid w:val="00224E1D"/>
    <w:rsid w:val="002251F2"/>
    <w:rsid w:val="0022538B"/>
    <w:rsid w:val="0022575B"/>
    <w:rsid w:val="002258FE"/>
    <w:rsid w:val="002259D0"/>
    <w:rsid w:val="002265E5"/>
    <w:rsid w:val="00226898"/>
    <w:rsid w:val="00226C7D"/>
    <w:rsid w:val="00226FC3"/>
    <w:rsid w:val="002272C4"/>
    <w:rsid w:val="002273E5"/>
    <w:rsid w:val="00227658"/>
    <w:rsid w:val="002279C3"/>
    <w:rsid w:val="00227D9B"/>
    <w:rsid w:val="00230443"/>
    <w:rsid w:val="00230D52"/>
    <w:rsid w:val="00230DFC"/>
    <w:rsid w:val="00231D42"/>
    <w:rsid w:val="00232253"/>
    <w:rsid w:val="002322C3"/>
    <w:rsid w:val="0023293E"/>
    <w:rsid w:val="0023298C"/>
    <w:rsid w:val="00232AF4"/>
    <w:rsid w:val="00232DF2"/>
    <w:rsid w:val="00233081"/>
    <w:rsid w:val="002335CA"/>
    <w:rsid w:val="00234730"/>
    <w:rsid w:val="00234B39"/>
    <w:rsid w:val="00234C48"/>
    <w:rsid w:val="00234DFB"/>
    <w:rsid w:val="00234E7F"/>
    <w:rsid w:val="002350D0"/>
    <w:rsid w:val="0023550C"/>
    <w:rsid w:val="00235622"/>
    <w:rsid w:val="0023578C"/>
    <w:rsid w:val="00235E2C"/>
    <w:rsid w:val="0023670E"/>
    <w:rsid w:val="00236E22"/>
    <w:rsid w:val="00237079"/>
    <w:rsid w:val="002379C5"/>
    <w:rsid w:val="002403ED"/>
    <w:rsid w:val="002405FD"/>
    <w:rsid w:val="00240C94"/>
    <w:rsid w:val="00241299"/>
    <w:rsid w:val="002413E0"/>
    <w:rsid w:val="00241507"/>
    <w:rsid w:val="00241774"/>
    <w:rsid w:val="00241933"/>
    <w:rsid w:val="00241C84"/>
    <w:rsid w:val="00241F5A"/>
    <w:rsid w:val="002426FB"/>
    <w:rsid w:val="0024373E"/>
    <w:rsid w:val="00243A23"/>
    <w:rsid w:val="00243AC2"/>
    <w:rsid w:val="00243F09"/>
    <w:rsid w:val="00244110"/>
    <w:rsid w:val="002444EF"/>
    <w:rsid w:val="002448A7"/>
    <w:rsid w:val="00244E17"/>
    <w:rsid w:val="002451A5"/>
    <w:rsid w:val="002451E4"/>
    <w:rsid w:val="00245484"/>
    <w:rsid w:val="0024589C"/>
    <w:rsid w:val="00245AC0"/>
    <w:rsid w:val="00245B36"/>
    <w:rsid w:val="00246257"/>
    <w:rsid w:val="00246275"/>
    <w:rsid w:val="00246822"/>
    <w:rsid w:val="00246924"/>
    <w:rsid w:val="00246CF6"/>
    <w:rsid w:val="002471B6"/>
    <w:rsid w:val="002474C6"/>
    <w:rsid w:val="002474E1"/>
    <w:rsid w:val="002475E1"/>
    <w:rsid w:val="00247668"/>
    <w:rsid w:val="0024786C"/>
    <w:rsid w:val="00247A33"/>
    <w:rsid w:val="00247ABF"/>
    <w:rsid w:val="00247DA4"/>
    <w:rsid w:val="002504C3"/>
    <w:rsid w:val="00250A7B"/>
    <w:rsid w:val="00250BE2"/>
    <w:rsid w:val="00250FE4"/>
    <w:rsid w:val="002512D0"/>
    <w:rsid w:val="00251FE0"/>
    <w:rsid w:val="002526DA"/>
    <w:rsid w:val="00252A8C"/>
    <w:rsid w:val="00252ADF"/>
    <w:rsid w:val="00252DC8"/>
    <w:rsid w:val="00253172"/>
    <w:rsid w:val="00254212"/>
    <w:rsid w:val="00254345"/>
    <w:rsid w:val="00254C0B"/>
    <w:rsid w:val="00254F1A"/>
    <w:rsid w:val="00254F95"/>
    <w:rsid w:val="002552BD"/>
    <w:rsid w:val="002559AB"/>
    <w:rsid w:val="002559ED"/>
    <w:rsid w:val="0025620C"/>
    <w:rsid w:val="002563F3"/>
    <w:rsid w:val="00256677"/>
    <w:rsid w:val="00257269"/>
    <w:rsid w:val="00257323"/>
    <w:rsid w:val="0025747F"/>
    <w:rsid w:val="002576F8"/>
    <w:rsid w:val="002577FC"/>
    <w:rsid w:val="00257A40"/>
    <w:rsid w:val="00257C45"/>
    <w:rsid w:val="00257D42"/>
    <w:rsid w:val="002604DE"/>
    <w:rsid w:val="0026061A"/>
    <w:rsid w:val="0026084C"/>
    <w:rsid w:val="002609C3"/>
    <w:rsid w:val="00260BF4"/>
    <w:rsid w:val="00260D9C"/>
    <w:rsid w:val="002619C3"/>
    <w:rsid w:val="00261B25"/>
    <w:rsid w:val="00262005"/>
    <w:rsid w:val="00262984"/>
    <w:rsid w:val="002631BA"/>
    <w:rsid w:val="002632A8"/>
    <w:rsid w:val="0026352D"/>
    <w:rsid w:val="00263718"/>
    <w:rsid w:val="002638ED"/>
    <w:rsid w:val="00263D3E"/>
    <w:rsid w:val="00264414"/>
    <w:rsid w:val="0026482F"/>
    <w:rsid w:val="0026487F"/>
    <w:rsid w:val="00264BBA"/>
    <w:rsid w:val="00264C11"/>
    <w:rsid w:val="00264CDA"/>
    <w:rsid w:val="00265290"/>
    <w:rsid w:val="00265E1A"/>
    <w:rsid w:val="0026786D"/>
    <w:rsid w:val="00267A65"/>
    <w:rsid w:val="00267BEF"/>
    <w:rsid w:val="00267E7E"/>
    <w:rsid w:val="002701AF"/>
    <w:rsid w:val="0027163D"/>
    <w:rsid w:val="00271DAF"/>
    <w:rsid w:val="0027220D"/>
    <w:rsid w:val="00272857"/>
    <w:rsid w:val="0027324A"/>
    <w:rsid w:val="002738AB"/>
    <w:rsid w:val="00273ACC"/>
    <w:rsid w:val="00273E8F"/>
    <w:rsid w:val="0027407D"/>
    <w:rsid w:val="0027459B"/>
    <w:rsid w:val="002746C3"/>
    <w:rsid w:val="00274D04"/>
    <w:rsid w:val="00274F83"/>
    <w:rsid w:val="00275118"/>
    <w:rsid w:val="00275FA4"/>
    <w:rsid w:val="00275FEA"/>
    <w:rsid w:val="0027620A"/>
    <w:rsid w:val="0027676B"/>
    <w:rsid w:val="00276A3F"/>
    <w:rsid w:val="002771D6"/>
    <w:rsid w:val="00277B42"/>
    <w:rsid w:val="00277CCD"/>
    <w:rsid w:val="00280306"/>
    <w:rsid w:val="0028030F"/>
    <w:rsid w:val="0028088A"/>
    <w:rsid w:val="00281212"/>
    <w:rsid w:val="00281296"/>
    <w:rsid w:val="002818FF"/>
    <w:rsid w:val="00281A46"/>
    <w:rsid w:val="00282078"/>
    <w:rsid w:val="00282093"/>
    <w:rsid w:val="002821F6"/>
    <w:rsid w:val="00282388"/>
    <w:rsid w:val="00282643"/>
    <w:rsid w:val="002829F4"/>
    <w:rsid w:val="00283AC8"/>
    <w:rsid w:val="00283C5B"/>
    <w:rsid w:val="00283CD0"/>
    <w:rsid w:val="00283ED2"/>
    <w:rsid w:val="002843F2"/>
    <w:rsid w:val="00284633"/>
    <w:rsid w:val="002846B0"/>
    <w:rsid w:val="00284D20"/>
    <w:rsid w:val="00286F3A"/>
    <w:rsid w:val="00287CA1"/>
    <w:rsid w:val="00290D96"/>
    <w:rsid w:val="002914AD"/>
    <w:rsid w:val="00291948"/>
    <w:rsid w:val="00292BE0"/>
    <w:rsid w:val="00292EB6"/>
    <w:rsid w:val="00293427"/>
    <w:rsid w:val="002935D4"/>
    <w:rsid w:val="0029368E"/>
    <w:rsid w:val="002937ED"/>
    <w:rsid w:val="00293A93"/>
    <w:rsid w:val="002940E6"/>
    <w:rsid w:val="0029414C"/>
    <w:rsid w:val="0029415B"/>
    <w:rsid w:val="002947BC"/>
    <w:rsid w:val="0029539B"/>
    <w:rsid w:val="00295470"/>
    <w:rsid w:val="00295719"/>
    <w:rsid w:val="0029584D"/>
    <w:rsid w:val="00295BB8"/>
    <w:rsid w:val="002966C9"/>
    <w:rsid w:val="00296A9A"/>
    <w:rsid w:val="00296AC8"/>
    <w:rsid w:val="00296E63"/>
    <w:rsid w:val="00297806"/>
    <w:rsid w:val="00297B25"/>
    <w:rsid w:val="00297E25"/>
    <w:rsid w:val="002A0284"/>
    <w:rsid w:val="002A065B"/>
    <w:rsid w:val="002A08C5"/>
    <w:rsid w:val="002A0C2E"/>
    <w:rsid w:val="002A0EF9"/>
    <w:rsid w:val="002A1DD6"/>
    <w:rsid w:val="002A2217"/>
    <w:rsid w:val="002A2C2F"/>
    <w:rsid w:val="002A2CF4"/>
    <w:rsid w:val="002A3504"/>
    <w:rsid w:val="002A366A"/>
    <w:rsid w:val="002A3A1B"/>
    <w:rsid w:val="002A48AA"/>
    <w:rsid w:val="002A513A"/>
    <w:rsid w:val="002A583A"/>
    <w:rsid w:val="002A5848"/>
    <w:rsid w:val="002A58BE"/>
    <w:rsid w:val="002A5C17"/>
    <w:rsid w:val="002A5C8B"/>
    <w:rsid w:val="002A5F9E"/>
    <w:rsid w:val="002A60BD"/>
    <w:rsid w:val="002A656E"/>
    <w:rsid w:val="002A671A"/>
    <w:rsid w:val="002A6B6C"/>
    <w:rsid w:val="002A6CAB"/>
    <w:rsid w:val="002A73AA"/>
    <w:rsid w:val="002A765B"/>
    <w:rsid w:val="002A7817"/>
    <w:rsid w:val="002A7843"/>
    <w:rsid w:val="002A7A86"/>
    <w:rsid w:val="002A7B07"/>
    <w:rsid w:val="002B0A3E"/>
    <w:rsid w:val="002B0F49"/>
    <w:rsid w:val="002B11C8"/>
    <w:rsid w:val="002B13D2"/>
    <w:rsid w:val="002B1A79"/>
    <w:rsid w:val="002B23B4"/>
    <w:rsid w:val="002B2AAF"/>
    <w:rsid w:val="002B2DAB"/>
    <w:rsid w:val="002B34A7"/>
    <w:rsid w:val="002B37F5"/>
    <w:rsid w:val="002B3934"/>
    <w:rsid w:val="002B3D76"/>
    <w:rsid w:val="002B3E14"/>
    <w:rsid w:val="002B486C"/>
    <w:rsid w:val="002B5858"/>
    <w:rsid w:val="002B5971"/>
    <w:rsid w:val="002B6939"/>
    <w:rsid w:val="002B6A93"/>
    <w:rsid w:val="002B71B1"/>
    <w:rsid w:val="002B762E"/>
    <w:rsid w:val="002B798D"/>
    <w:rsid w:val="002C00CE"/>
    <w:rsid w:val="002C05A8"/>
    <w:rsid w:val="002C06F1"/>
    <w:rsid w:val="002C0807"/>
    <w:rsid w:val="002C0829"/>
    <w:rsid w:val="002C10F7"/>
    <w:rsid w:val="002C11CF"/>
    <w:rsid w:val="002C1504"/>
    <w:rsid w:val="002C1552"/>
    <w:rsid w:val="002C192D"/>
    <w:rsid w:val="002C19D0"/>
    <w:rsid w:val="002C1C0F"/>
    <w:rsid w:val="002C1DB9"/>
    <w:rsid w:val="002C2298"/>
    <w:rsid w:val="002C22DA"/>
    <w:rsid w:val="002C2509"/>
    <w:rsid w:val="002C2F8C"/>
    <w:rsid w:val="002C3129"/>
    <w:rsid w:val="002C3289"/>
    <w:rsid w:val="002C3D92"/>
    <w:rsid w:val="002C43F4"/>
    <w:rsid w:val="002C43FB"/>
    <w:rsid w:val="002C44DB"/>
    <w:rsid w:val="002C46F0"/>
    <w:rsid w:val="002C4C4F"/>
    <w:rsid w:val="002C4C7C"/>
    <w:rsid w:val="002C58AF"/>
    <w:rsid w:val="002C5B12"/>
    <w:rsid w:val="002C5FF3"/>
    <w:rsid w:val="002C60E3"/>
    <w:rsid w:val="002C61C7"/>
    <w:rsid w:val="002C6235"/>
    <w:rsid w:val="002C64B2"/>
    <w:rsid w:val="002C6F5C"/>
    <w:rsid w:val="002C703F"/>
    <w:rsid w:val="002C72F3"/>
    <w:rsid w:val="002C75BF"/>
    <w:rsid w:val="002C7D8A"/>
    <w:rsid w:val="002C7EEB"/>
    <w:rsid w:val="002C7FE1"/>
    <w:rsid w:val="002D0340"/>
    <w:rsid w:val="002D0728"/>
    <w:rsid w:val="002D0C32"/>
    <w:rsid w:val="002D0C69"/>
    <w:rsid w:val="002D0DCA"/>
    <w:rsid w:val="002D0EFA"/>
    <w:rsid w:val="002D10B1"/>
    <w:rsid w:val="002D13E8"/>
    <w:rsid w:val="002D1C72"/>
    <w:rsid w:val="002D2A5B"/>
    <w:rsid w:val="002D2AF3"/>
    <w:rsid w:val="002D2C7F"/>
    <w:rsid w:val="002D2CF5"/>
    <w:rsid w:val="002D2DA0"/>
    <w:rsid w:val="002D32DB"/>
    <w:rsid w:val="002D3E66"/>
    <w:rsid w:val="002D3E8E"/>
    <w:rsid w:val="002D3EF5"/>
    <w:rsid w:val="002D42C9"/>
    <w:rsid w:val="002D5098"/>
    <w:rsid w:val="002D5329"/>
    <w:rsid w:val="002D571E"/>
    <w:rsid w:val="002D59E3"/>
    <w:rsid w:val="002D64C9"/>
    <w:rsid w:val="002D6B11"/>
    <w:rsid w:val="002D6DB5"/>
    <w:rsid w:val="002D73F2"/>
    <w:rsid w:val="002D7D3A"/>
    <w:rsid w:val="002D7F57"/>
    <w:rsid w:val="002D7FDE"/>
    <w:rsid w:val="002E0113"/>
    <w:rsid w:val="002E09E5"/>
    <w:rsid w:val="002E0A46"/>
    <w:rsid w:val="002E0BDA"/>
    <w:rsid w:val="002E0F24"/>
    <w:rsid w:val="002E19CC"/>
    <w:rsid w:val="002E1E70"/>
    <w:rsid w:val="002E224E"/>
    <w:rsid w:val="002E25A3"/>
    <w:rsid w:val="002E25F5"/>
    <w:rsid w:val="002E2B72"/>
    <w:rsid w:val="002E2F04"/>
    <w:rsid w:val="002E35B2"/>
    <w:rsid w:val="002E379B"/>
    <w:rsid w:val="002E37B8"/>
    <w:rsid w:val="002E42A2"/>
    <w:rsid w:val="002E45C6"/>
    <w:rsid w:val="002E509C"/>
    <w:rsid w:val="002E50BA"/>
    <w:rsid w:val="002E578C"/>
    <w:rsid w:val="002E57E9"/>
    <w:rsid w:val="002E5883"/>
    <w:rsid w:val="002E5DB2"/>
    <w:rsid w:val="002E5E44"/>
    <w:rsid w:val="002E62F8"/>
    <w:rsid w:val="002E631A"/>
    <w:rsid w:val="002E65A5"/>
    <w:rsid w:val="002E65B0"/>
    <w:rsid w:val="002E710B"/>
    <w:rsid w:val="002E763E"/>
    <w:rsid w:val="002E79D8"/>
    <w:rsid w:val="002E7F7B"/>
    <w:rsid w:val="002F00F3"/>
    <w:rsid w:val="002F0279"/>
    <w:rsid w:val="002F0704"/>
    <w:rsid w:val="002F07DB"/>
    <w:rsid w:val="002F0D6C"/>
    <w:rsid w:val="002F0EE7"/>
    <w:rsid w:val="002F106B"/>
    <w:rsid w:val="002F1493"/>
    <w:rsid w:val="002F1578"/>
    <w:rsid w:val="002F1732"/>
    <w:rsid w:val="002F2148"/>
    <w:rsid w:val="002F2724"/>
    <w:rsid w:val="002F2D8E"/>
    <w:rsid w:val="002F385E"/>
    <w:rsid w:val="002F3A35"/>
    <w:rsid w:val="002F4239"/>
    <w:rsid w:val="002F4447"/>
    <w:rsid w:val="002F507D"/>
    <w:rsid w:val="002F55D8"/>
    <w:rsid w:val="002F5A7D"/>
    <w:rsid w:val="002F5B7E"/>
    <w:rsid w:val="002F6080"/>
    <w:rsid w:val="002F6ABE"/>
    <w:rsid w:val="002F6EAD"/>
    <w:rsid w:val="002F703C"/>
    <w:rsid w:val="002F7134"/>
    <w:rsid w:val="002F745C"/>
    <w:rsid w:val="002F7546"/>
    <w:rsid w:val="002F77A9"/>
    <w:rsid w:val="002F7C28"/>
    <w:rsid w:val="002F7DAB"/>
    <w:rsid w:val="00300249"/>
    <w:rsid w:val="0030072A"/>
    <w:rsid w:val="00300ACC"/>
    <w:rsid w:val="00300BD4"/>
    <w:rsid w:val="00300D3C"/>
    <w:rsid w:val="00300FB4"/>
    <w:rsid w:val="00300FF7"/>
    <w:rsid w:val="00301206"/>
    <w:rsid w:val="00301B6C"/>
    <w:rsid w:val="00301DF5"/>
    <w:rsid w:val="00301E14"/>
    <w:rsid w:val="00302D91"/>
    <w:rsid w:val="00303AE2"/>
    <w:rsid w:val="00304864"/>
    <w:rsid w:val="00304A0A"/>
    <w:rsid w:val="00305325"/>
    <w:rsid w:val="00305D53"/>
    <w:rsid w:val="00306061"/>
    <w:rsid w:val="00306248"/>
    <w:rsid w:val="003063EF"/>
    <w:rsid w:val="003065BA"/>
    <w:rsid w:val="003068D4"/>
    <w:rsid w:val="003072EF"/>
    <w:rsid w:val="003077FB"/>
    <w:rsid w:val="00310961"/>
    <w:rsid w:val="00310CE2"/>
    <w:rsid w:val="003110B9"/>
    <w:rsid w:val="003111BA"/>
    <w:rsid w:val="003113E4"/>
    <w:rsid w:val="0031173B"/>
    <w:rsid w:val="00311A7A"/>
    <w:rsid w:val="00312565"/>
    <w:rsid w:val="00312D16"/>
    <w:rsid w:val="00313135"/>
    <w:rsid w:val="0031338A"/>
    <w:rsid w:val="003138B0"/>
    <w:rsid w:val="00313DC4"/>
    <w:rsid w:val="00314240"/>
    <w:rsid w:val="00314D95"/>
    <w:rsid w:val="00315036"/>
    <w:rsid w:val="00315083"/>
    <w:rsid w:val="003152E8"/>
    <w:rsid w:val="00315586"/>
    <w:rsid w:val="0031581F"/>
    <w:rsid w:val="00315B64"/>
    <w:rsid w:val="00315ED9"/>
    <w:rsid w:val="00316481"/>
    <w:rsid w:val="00316F16"/>
    <w:rsid w:val="003171EF"/>
    <w:rsid w:val="00317A35"/>
    <w:rsid w:val="00317AC3"/>
    <w:rsid w:val="003200F1"/>
    <w:rsid w:val="003207A6"/>
    <w:rsid w:val="00321669"/>
    <w:rsid w:val="003219FE"/>
    <w:rsid w:val="00321C0E"/>
    <w:rsid w:val="003220AB"/>
    <w:rsid w:val="00322300"/>
    <w:rsid w:val="00322366"/>
    <w:rsid w:val="003227F3"/>
    <w:rsid w:val="0032290C"/>
    <w:rsid w:val="00322CE2"/>
    <w:rsid w:val="00324027"/>
    <w:rsid w:val="003240DF"/>
    <w:rsid w:val="00324190"/>
    <w:rsid w:val="00324773"/>
    <w:rsid w:val="00324C08"/>
    <w:rsid w:val="003264E9"/>
    <w:rsid w:val="003266AD"/>
    <w:rsid w:val="003277BF"/>
    <w:rsid w:val="003279C2"/>
    <w:rsid w:val="00327D6A"/>
    <w:rsid w:val="00327F0B"/>
    <w:rsid w:val="00330034"/>
    <w:rsid w:val="003301CD"/>
    <w:rsid w:val="00330802"/>
    <w:rsid w:val="00330CEC"/>
    <w:rsid w:val="00330E85"/>
    <w:rsid w:val="003312CD"/>
    <w:rsid w:val="00331326"/>
    <w:rsid w:val="003313B7"/>
    <w:rsid w:val="0033177A"/>
    <w:rsid w:val="0033206C"/>
    <w:rsid w:val="00332093"/>
    <w:rsid w:val="00332094"/>
    <w:rsid w:val="00332363"/>
    <w:rsid w:val="003324CA"/>
    <w:rsid w:val="003324F5"/>
    <w:rsid w:val="0033272A"/>
    <w:rsid w:val="00332852"/>
    <w:rsid w:val="00332A20"/>
    <w:rsid w:val="00333680"/>
    <w:rsid w:val="00333B3A"/>
    <w:rsid w:val="00333DCA"/>
    <w:rsid w:val="00333EB8"/>
    <w:rsid w:val="00334661"/>
    <w:rsid w:val="00334EA0"/>
    <w:rsid w:val="0033521E"/>
    <w:rsid w:val="003352D1"/>
    <w:rsid w:val="0033648E"/>
    <w:rsid w:val="00336BE2"/>
    <w:rsid w:val="00337291"/>
    <w:rsid w:val="00337597"/>
    <w:rsid w:val="00337D1B"/>
    <w:rsid w:val="00340215"/>
    <w:rsid w:val="00340338"/>
    <w:rsid w:val="003405D9"/>
    <w:rsid w:val="00340D05"/>
    <w:rsid w:val="00340E73"/>
    <w:rsid w:val="00340EDC"/>
    <w:rsid w:val="00341451"/>
    <w:rsid w:val="00341914"/>
    <w:rsid w:val="00341B16"/>
    <w:rsid w:val="00342763"/>
    <w:rsid w:val="00342777"/>
    <w:rsid w:val="00342AE3"/>
    <w:rsid w:val="00342C87"/>
    <w:rsid w:val="00342C90"/>
    <w:rsid w:val="003443A2"/>
    <w:rsid w:val="0034501B"/>
    <w:rsid w:val="00345396"/>
    <w:rsid w:val="00345CD0"/>
    <w:rsid w:val="003462F5"/>
    <w:rsid w:val="00346422"/>
    <w:rsid w:val="0034650D"/>
    <w:rsid w:val="003469E9"/>
    <w:rsid w:val="00346B8E"/>
    <w:rsid w:val="00347B4B"/>
    <w:rsid w:val="00347E0A"/>
    <w:rsid w:val="00350023"/>
    <w:rsid w:val="003501AC"/>
    <w:rsid w:val="003507EC"/>
    <w:rsid w:val="00350D67"/>
    <w:rsid w:val="00351004"/>
    <w:rsid w:val="0035109A"/>
    <w:rsid w:val="003510AD"/>
    <w:rsid w:val="003513BD"/>
    <w:rsid w:val="00351DD1"/>
    <w:rsid w:val="00351EA2"/>
    <w:rsid w:val="003524AB"/>
    <w:rsid w:val="003525F0"/>
    <w:rsid w:val="00352662"/>
    <w:rsid w:val="00352764"/>
    <w:rsid w:val="00352A99"/>
    <w:rsid w:val="003532A5"/>
    <w:rsid w:val="003536C2"/>
    <w:rsid w:val="00353DCB"/>
    <w:rsid w:val="00353E40"/>
    <w:rsid w:val="00353F05"/>
    <w:rsid w:val="0035407E"/>
    <w:rsid w:val="00354706"/>
    <w:rsid w:val="00354964"/>
    <w:rsid w:val="00354FCE"/>
    <w:rsid w:val="00355690"/>
    <w:rsid w:val="003558AF"/>
    <w:rsid w:val="00355958"/>
    <w:rsid w:val="00355D47"/>
    <w:rsid w:val="00356291"/>
    <w:rsid w:val="0035640C"/>
    <w:rsid w:val="00356502"/>
    <w:rsid w:val="003567E1"/>
    <w:rsid w:val="0035680A"/>
    <w:rsid w:val="00356A44"/>
    <w:rsid w:val="00356C98"/>
    <w:rsid w:val="0035728E"/>
    <w:rsid w:val="003572B8"/>
    <w:rsid w:val="0035731B"/>
    <w:rsid w:val="00357708"/>
    <w:rsid w:val="0035781B"/>
    <w:rsid w:val="00357D48"/>
    <w:rsid w:val="003600E8"/>
    <w:rsid w:val="00360DBF"/>
    <w:rsid w:val="00360E76"/>
    <w:rsid w:val="0036132F"/>
    <w:rsid w:val="0036143C"/>
    <w:rsid w:val="00361449"/>
    <w:rsid w:val="0036192A"/>
    <w:rsid w:val="0036217A"/>
    <w:rsid w:val="003621C7"/>
    <w:rsid w:val="00362F5E"/>
    <w:rsid w:val="00363026"/>
    <w:rsid w:val="00363069"/>
    <w:rsid w:val="0036319E"/>
    <w:rsid w:val="003634BE"/>
    <w:rsid w:val="00364B73"/>
    <w:rsid w:val="00365034"/>
    <w:rsid w:val="00365120"/>
    <w:rsid w:val="003655A1"/>
    <w:rsid w:val="003656D8"/>
    <w:rsid w:val="0036573C"/>
    <w:rsid w:val="00365E4A"/>
    <w:rsid w:val="00365F12"/>
    <w:rsid w:val="003660AA"/>
    <w:rsid w:val="003665AB"/>
    <w:rsid w:val="00366CBA"/>
    <w:rsid w:val="00366E0C"/>
    <w:rsid w:val="00367391"/>
    <w:rsid w:val="0036755C"/>
    <w:rsid w:val="00367929"/>
    <w:rsid w:val="00370243"/>
    <w:rsid w:val="00370662"/>
    <w:rsid w:val="00370C43"/>
    <w:rsid w:val="003711E6"/>
    <w:rsid w:val="00371FD4"/>
    <w:rsid w:val="003721AF"/>
    <w:rsid w:val="003724A5"/>
    <w:rsid w:val="003728D8"/>
    <w:rsid w:val="003730F5"/>
    <w:rsid w:val="0037330B"/>
    <w:rsid w:val="00373776"/>
    <w:rsid w:val="003742C0"/>
    <w:rsid w:val="003743E9"/>
    <w:rsid w:val="003745AE"/>
    <w:rsid w:val="00374D31"/>
    <w:rsid w:val="00374F74"/>
    <w:rsid w:val="0037507F"/>
    <w:rsid w:val="00375C6E"/>
    <w:rsid w:val="00375C83"/>
    <w:rsid w:val="00376C56"/>
    <w:rsid w:val="00376E12"/>
    <w:rsid w:val="00377069"/>
    <w:rsid w:val="0037752A"/>
    <w:rsid w:val="00377DEA"/>
    <w:rsid w:val="00381097"/>
    <w:rsid w:val="0038146E"/>
    <w:rsid w:val="00381F6B"/>
    <w:rsid w:val="0038254D"/>
    <w:rsid w:val="00383300"/>
    <w:rsid w:val="00383AA9"/>
    <w:rsid w:val="00383D4E"/>
    <w:rsid w:val="00384303"/>
    <w:rsid w:val="00384704"/>
    <w:rsid w:val="00384882"/>
    <w:rsid w:val="0038495D"/>
    <w:rsid w:val="00384AE2"/>
    <w:rsid w:val="00384DBD"/>
    <w:rsid w:val="0038523A"/>
    <w:rsid w:val="00385750"/>
    <w:rsid w:val="00385C65"/>
    <w:rsid w:val="00385E4B"/>
    <w:rsid w:val="00386999"/>
    <w:rsid w:val="003869A9"/>
    <w:rsid w:val="00386AA8"/>
    <w:rsid w:val="00386F35"/>
    <w:rsid w:val="0038706B"/>
    <w:rsid w:val="0038767F"/>
    <w:rsid w:val="00387ECC"/>
    <w:rsid w:val="003900CB"/>
    <w:rsid w:val="00390245"/>
    <w:rsid w:val="00390365"/>
    <w:rsid w:val="003903C8"/>
    <w:rsid w:val="0039041C"/>
    <w:rsid w:val="00390A5B"/>
    <w:rsid w:val="0039131F"/>
    <w:rsid w:val="00391BC6"/>
    <w:rsid w:val="003921ED"/>
    <w:rsid w:val="003925A9"/>
    <w:rsid w:val="003925B8"/>
    <w:rsid w:val="003925EA"/>
    <w:rsid w:val="00392ADE"/>
    <w:rsid w:val="00392FEC"/>
    <w:rsid w:val="00393AC0"/>
    <w:rsid w:val="0039402A"/>
    <w:rsid w:val="00394409"/>
    <w:rsid w:val="00395845"/>
    <w:rsid w:val="0039597D"/>
    <w:rsid w:val="00395C31"/>
    <w:rsid w:val="00395F0D"/>
    <w:rsid w:val="0039621B"/>
    <w:rsid w:val="00396553"/>
    <w:rsid w:val="00396B2A"/>
    <w:rsid w:val="0039750E"/>
    <w:rsid w:val="00397993"/>
    <w:rsid w:val="003A0182"/>
    <w:rsid w:val="003A0AA0"/>
    <w:rsid w:val="003A1212"/>
    <w:rsid w:val="003A18E1"/>
    <w:rsid w:val="003A190C"/>
    <w:rsid w:val="003A21A6"/>
    <w:rsid w:val="003A2F26"/>
    <w:rsid w:val="003A2FA8"/>
    <w:rsid w:val="003A30F7"/>
    <w:rsid w:val="003A3287"/>
    <w:rsid w:val="003A32DB"/>
    <w:rsid w:val="003A3865"/>
    <w:rsid w:val="003A39B9"/>
    <w:rsid w:val="003A3DE1"/>
    <w:rsid w:val="003A3E86"/>
    <w:rsid w:val="003A45D5"/>
    <w:rsid w:val="003A4789"/>
    <w:rsid w:val="003A47E7"/>
    <w:rsid w:val="003A53B0"/>
    <w:rsid w:val="003A604D"/>
    <w:rsid w:val="003A6A38"/>
    <w:rsid w:val="003A6A91"/>
    <w:rsid w:val="003A6CB9"/>
    <w:rsid w:val="003A758D"/>
    <w:rsid w:val="003A7641"/>
    <w:rsid w:val="003A7798"/>
    <w:rsid w:val="003B0411"/>
    <w:rsid w:val="003B059E"/>
    <w:rsid w:val="003B061E"/>
    <w:rsid w:val="003B095D"/>
    <w:rsid w:val="003B0D89"/>
    <w:rsid w:val="003B1051"/>
    <w:rsid w:val="003B17E0"/>
    <w:rsid w:val="003B1BA3"/>
    <w:rsid w:val="003B2278"/>
    <w:rsid w:val="003B23DB"/>
    <w:rsid w:val="003B2806"/>
    <w:rsid w:val="003B2C24"/>
    <w:rsid w:val="003B2DBF"/>
    <w:rsid w:val="003B377F"/>
    <w:rsid w:val="003B39E5"/>
    <w:rsid w:val="003B43C9"/>
    <w:rsid w:val="003B47AE"/>
    <w:rsid w:val="003B4B99"/>
    <w:rsid w:val="003B4BE2"/>
    <w:rsid w:val="003B4E89"/>
    <w:rsid w:val="003B4EB3"/>
    <w:rsid w:val="003B4F08"/>
    <w:rsid w:val="003B52E4"/>
    <w:rsid w:val="003B574C"/>
    <w:rsid w:val="003B5B71"/>
    <w:rsid w:val="003B6005"/>
    <w:rsid w:val="003B6016"/>
    <w:rsid w:val="003B6437"/>
    <w:rsid w:val="003B64B8"/>
    <w:rsid w:val="003B663C"/>
    <w:rsid w:val="003B6662"/>
    <w:rsid w:val="003B68DA"/>
    <w:rsid w:val="003B6B28"/>
    <w:rsid w:val="003B72FB"/>
    <w:rsid w:val="003B7AD6"/>
    <w:rsid w:val="003C0D66"/>
    <w:rsid w:val="003C1347"/>
    <w:rsid w:val="003C14A8"/>
    <w:rsid w:val="003C2219"/>
    <w:rsid w:val="003C2EE7"/>
    <w:rsid w:val="003C3178"/>
    <w:rsid w:val="003C382F"/>
    <w:rsid w:val="003C3E12"/>
    <w:rsid w:val="003C3FB1"/>
    <w:rsid w:val="003C4296"/>
    <w:rsid w:val="003C4699"/>
    <w:rsid w:val="003C49D4"/>
    <w:rsid w:val="003C4B1C"/>
    <w:rsid w:val="003C4D5A"/>
    <w:rsid w:val="003C5454"/>
    <w:rsid w:val="003C56A9"/>
    <w:rsid w:val="003C5A7B"/>
    <w:rsid w:val="003C63A5"/>
    <w:rsid w:val="003C644F"/>
    <w:rsid w:val="003C6A34"/>
    <w:rsid w:val="003C6A94"/>
    <w:rsid w:val="003C7196"/>
    <w:rsid w:val="003C7712"/>
    <w:rsid w:val="003C7780"/>
    <w:rsid w:val="003C7ACE"/>
    <w:rsid w:val="003D05C0"/>
    <w:rsid w:val="003D100E"/>
    <w:rsid w:val="003D1499"/>
    <w:rsid w:val="003D1C54"/>
    <w:rsid w:val="003D1C66"/>
    <w:rsid w:val="003D268A"/>
    <w:rsid w:val="003D29DC"/>
    <w:rsid w:val="003D2A56"/>
    <w:rsid w:val="003D2B2F"/>
    <w:rsid w:val="003D2DCB"/>
    <w:rsid w:val="003D325C"/>
    <w:rsid w:val="003D365A"/>
    <w:rsid w:val="003D3680"/>
    <w:rsid w:val="003D3EB3"/>
    <w:rsid w:val="003D40E7"/>
    <w:rsid w:val="003D447B"/>
    <w:rsid w:val="003D489A"/>
    <w:rsid w:val="003D4DBD"/>
    <w:rsid w:val="003D4E0C"/>
    <w:rsid w:val="003D51B4"/>
    <w:rsid w:val="003D541B"/>
    <w:rsid w:val="003D5493"/>
    <w:rsid w:val="003D573C"/>
    <w:rsid w:val="003D57E9"/>
    <w:rsid w:val="003D5AD7"/>
    <w:rsid w:val="003D60F0"/>
    <w:rsid w:val="003D61E5"/>
    <w:rsid w:val="003D6A3B"/>
    <w:rsid w:val="003D6C23"/>
    <w:rsid w:val="003D6C9E"/>
    <w:rsid w:val="003D7077"/>
    <w:rsid w:val="003D73D7"/>
    <w:rsid w:val="003D78BF"/>
    <w:rsid w:val="003D7A08"/>
    <w:rsid w:val="003D7B6E"/>
    <w:rsid w:val="003E08AB"/>
    <w:rsid w:val="003E0F55"/>
    <w:rsid w:val="003E15C3"/>
    <w:rsid w:val="003E21AE"/>
    <w:rsid w:val="003E21F1"/>
    <w:rsid w:val="003E235D"/>
    <w:rsid w:val="003E23AD"/>
    <w:rsid w:val="003E2950"/>
    <w:rsid w:val="003E2F90"/>
    <w:rsid w:val="003E4042"/>
    <w:rsid w:val="003E4D19"/>
    <w:rsid w:val="003E50C4"/>
    <w:rsid w:val="003E55AF"/>
    <w:rsid w:val="003E58EB"/>
    <w:rsid w:val="003E5EE3"/>
    <w:rsid w:val="003E5F76"/>
    <w:rsid w:val="003E61D5"/>
    <w:rsid w:val="003E629A"/>
    <w:rsid w:val="003E64CE"/>
    <w:rsid w:val="003E65B7"/>
    <w:rsid w:val="003E6824"/>
    <w:rsid w:val="003E7307"/>
    <w:rsid w:val="003E7949"/>
    <w:rsid w:val="003E7CFC"/>
    <w:rsid w:val="003E7E2A"/>
    <w:rsid w:val="003F00B0"/>
    <w:rsid w:val="003F03EB"/>
    <w:rsid w:val="003F07C2"/>
    <w:rsid w:val="003F08B3"/>
    <w:rsid w:val="003F090B"/>
    <w:rsid w:val="003F0DFB"/>
    <w:rsid w:val="003F1099"/>
    <w:rsid w:val="003F10FF"/>
    <w:rsid w:val="003F1648"/>
    <w:rsid w:val="003F1D30"/>
    <w:rsid w:val="003F204D"/>
    <w:rsid w:val="003F20D5"/>
    <w:rsid w:val="003F2311"/>
    <w:rsid w:val="003F2B39"/>
    <w:rsid w:val="003F2F46"/>
    <w:rsid w:val="003F47F9"/>
    <w:rsid w:val="003F4B32"/>
    <w:rsid w:val="003F52F2"/>
    <w:rsid w:val="003F57B6"/>
    <w:rsid w:val="003F5AAA"/>
    <w:rsid w:val="003F6FD3"/>
    <w:rsid w:val="003F724B"/>
    <w:rsid w:val="003F78A2"/>
    <w:rsid w:val="003F7A91"/>
    <w:rsid w:val="003F7DED"/>
    <w:rsid w:val="004003B2"/>
    <w:rsid w:val="00400414"/>
    <w:rsid w:val="00400A67"/>
    <w:rsid w:val="00401662"/>
    <w:rsid w:val="004017AE"/>
    <w:rsid w:val="00401945"/>
    <w:rsid w:val="00401B12"/>
    <w:rsid w:val="00401C8C"/>
    <w:rsid w:val="00401DBF"/>
    <w:rsid w:val="00402086"/>
    <w:rsid w:val="004022B7"/>
    <w:rsid w:val="00402BA3"/>
    <w:rsid w:val="00402CAB"/>
    <w:rsid w:val="0040371C"/>
    <w:rsid w:val="00403A18"/>
    <w:rsid w:val="00403A86"/>
    <w:rsid w:val="00403BBB"/>
    <w:rsid w:val="00403C0D"/>
    <w:rsid w:val="0040401B"/>
    <w:rsid w:val="0040411C"/>
    <w:rsid w:val="00404308"/>
    <w:rsid w:val="00404511"/>
    <w:rsid w:val="00404722"/>
    <w:rsid w:val="00404895"/>
    <w:rsid w:val="004049DC"/>
    <w:rsid w:val="00404E86"/>
    <w:rsid w:val="00405287"/>
    <w:rsid w:val="00405C07"/>
    <w:rsid w:val="00405EFB"/>
    <w:rsid w:val="00406012"/>
    <w:rsid w:val="00406E8E"/>
    <w:rsid w:val="00407430"/>
    <w:rsid w:val="004075C8"/>
    <w:rsid w:val="004076EF"/>
    <w:rsid w:val="00407712"/>
    <w:rsid w:val="004103ED"/>
    <w:rsid w:val="004107EB"/>
    <w:rsid w:val="00410CD6"/>
    <w:rsid w:val="004111CC"/>
    <w:rsid w:val="0041160C"/>
    <w:rsid w:val="0041176D"/>
    <w:rsid w:val="00411B57"/>
    <w:rsid w:val="00411EB0"/>
    <w:rsid w:val="0041234B"/>
    <w:rsid w:val="00412628"/>
    <w:rsid w:val="00412687"/>
    <w:rsid w:val="00412C16"/>
    <w:rsid w:val="00413038"/>
    <w:rsid w:val="0041316C"/>
    <w:rsid w:val="004131E9"/>
    <w:rsid w:val="00413487"/>
    <w:rsid w:val="00413D3A"/>
    <w:rsid w:val="00414194"/>
    <w:rsid w:val="004148A3"/>
    <w:rsid w:val="00414BEB"/>
    <w:rsid w:val="00415612"/>
    <w:rsid w:val="004157E9"/>
    <w:rsid w:val="00415AD7"/>
    <w:rsid w:val="00415B02"/>
    <w:rsid w:val="00415DF2"/>
    <w:rsid w:val="00416552"/>
    <w:rsid w:val="00416799"/>
    <w:rsid w:val="0042002A"/>
    <w:rsid w:val="0042096A"/>
    <w:rsid w:val="00420E9D"/>
    <w:rsid w:val="00421563"/>
    <w:rsid w:val="00421C37"/>
    <w:rsid w:val="00422221"/>
    <w:rsid w:val="004223DC"/>
    <w:rsid w:val="00422736"/>
    <w:rsid w:val="00422A93"/>
    <w:rsid w:val="004230D3"/>
    <w:rsid w:val="004235A9"/>
    <w:rsid w:val="004236EE"/>
    <w:rsid w:val="00423B86"/>
    <w:rsid w:val="00424145"/>
    <w:rsid w:val="0042434D"/>
    <w:rsid w:val="00424E56"/>
    <w:rsid w:val="004253A8"/>
    <w:rsid w:val="00425BA8"/>
    <w:rsid w:val="0042625B"/>
    <w:rsid w:val="00426996"/>
    <w:rsid w:val="0042716B"/>
    <w:rsid w:val="00427315"/>
    <w:rsid w:val="004274E3"/>
    <w:rsid w:val="0042757B"/>
    <w:rsid w:val="00427B3E"/>
    <w:rsid w:val="004302E3"/>
    <w:rsid w:val="004306E1"/>
    <w:rsid w:val="00431278"/>
    <w:rsid w:val="00431488"/>
    <w:rsid w:val="00431FE3"/>
    <w:rsid w:val="0043229D"/>
    <w:rsid w:val="004326CD"/>
    <w:rsid w:val="00432794"/>
    <w:rsid w:val="00432797"/>
    <w:rsid w:val="00432979"/>
    <w:rsid w:val="004333D3"/>
    <w:rsid w:val="00433E33"/>
    <w:rsid w:val="00433F09"/>
    <w:rsid w:val="004349D6"/>
    <w:rsid w:val="0043504F"/>
    <w:rsid w:val="004351AF"/>
    <w:rsid w:val="0043542B"/>
    <w:rsid w:val="00436212"/>
    <w:rsid w:val="00436968"/>
    <w:rsid w:val="0043697B"/>
    <w:rsid w:val="00436C69"/>
    <w:rsid w:val="00436CCF"/>
    <w:rsid w:val="004375DB"/>
    <w:rsid w:val="0043779C"/>
    <w:rsid w:val="00440235"/>
    <w:rsid w:val="004403B8"/>
    <w:rsid w:val="004404CE"/>
    <w:rsid w:val="00440A34"/>
    <w:rsid w:val="00440B36"/>
    <w:rsid w:val="0044165F"/>
    <w:rsid w:val="00441A0F"/>
    <w:rsid w:val="00441B96"/>
    <w:rsid w:val="004420CC"/>
    <w:rsid w:val="004421DB"/>
    <w:rsid w:val="00442370"/>
    <w:rsid w:val="00442774"/>
    <w:rsid w:val="0044294B"/>
    <w:rsid w:val="00442A84"/>
    <w:rsid w:val="00442BF0"/>
    <w:rsid w:val="00442EDB"/>
    <w:rsid w:val="004437A0"/>
    <w:rsid w:val="00443A98"/>
    <w:rsid w:val="00443B71"/>
    <w:rsid w:val="00443C06"/>
    <w:rsid w:val="004440CE"/>
    <w:rsid w:val="004449C3"/>
    <w:rsid w:val="00444F36"/>
    <w:rsid w:val="00445CE0"/>
    <w:rsid w:val="00446374"/>
    <w:rsid w:val="0044642D"/>
    <w:rsid w:val="00446598"/>
    <w:rsid w:val="004472A2"/>
    <w:rsid w:val="00447438"/>
    <w:rsid w:val="0044743D"/>
    <w:rsid w:val="00447B66"/>
    <w:rsid w:val="00447B88"/>
    <w:rsid w:val="00447ED1"/>
    <w:rsid w:val="00450665"/>
    <w:rsid w:val="00450697"/>
    <w:rsid w:val="00450C29"/>
    <w:rsid w:val="00450CB8"/>
    <w:rsid w:val="00450D5F"/>
    <w:rsid w:val="00451085"/>
    <w:rsid w:val="0045116F"/>
    <w:rsid w:val="00451792"/>
    <w:rsid w:val="004518CB"/>
    <w:rsid w:val="004527DA"/>
    <w:rsid w:val="00452C2C"/>
    <w:rsid w:val="00452C7E"/>
    <w:rsid w:val="00453479"/>
    <w:rsid w:val="004539DB"/>
    <w:rsid w:val="00453F52"/>
    <w:rsid w:val="0045407B"/>
    <w:rsid w:val="00455279"/>
    <w:rsid w:val="00455356"/>
    <w:rsid w:val="004553F7"/>
    <w:rsid w:val="00455846"/>
    <w:rsid w:val="00455BA9"/>
    <w:rsid w:val="00455BEF"/>
    <w:rsid w:val="00455C3F"/>
    <w:rsid w:val="004565FA"/>
    <w:rsid w:val="0045667A"/>
    <w:rsid w:val="0045693E"/>
    <w:rsid w:val="0045694E"/>
    <w:rsid w:val="00456D86"/>
    <w:rsid w:val="0045713D"/>
    <w:rsid w:val="0045746B"/>
    <w:rsid w:val="00457F5E"/>
    <w:rsid w:val="0046017A"/>
    <w:rsid w:val="0046017F"/>
    <w:rsid w:val="004601D7"/>
    <w:rsid w:val="004609D6"/>
    <w:rsid w:val="00460A87"/>
    <w:rsid w:val="00460BFA"/>
    <w:rsid w:val="00460F12"/>
    <w:rsid w:val="004615ED"/>
    <w:rsid w:val="00461ABE"/>
    <w:rsid w:val="0046254B"/>
    <w:rsid w:val="0046294E"/>
    <w:rsid w:val="00462A46"/>
    <w:rsid w:val="00462C0D"/>
    <w:rsid w:val="00462D69"/>
    <w:rsid w:val="00462F73"/>
    <w:rsid w:val="00463058"/>
    <w:rsid w:val="004631E6"/>
    <w:rsid w:val="00463F0B"/>
    <w:rsid w:val="00463FC5"/>
    <w:rsid w:val="00464124"/>
    <w:rsid w:val="0046427D"/>
    <w:rsid w:val="00464594"/>
    <w:rsid w:val="0046497F"/>
    <w:rsid w:val="00464D5A"/>
    <w:rsid w:val="00465435"/>
    <w:rsid w:val="0046543D"/>
    <w:rsid w:val="00465707"/>
    <w:rsid w:val="0046617E"/>
    <w:rsid w:val="004661D5"/>
    <w:rsid w:val="004665B5"/>
    <w:rsid w:val="00466879"/>
    <w:rsid w:val="00466C7B"/>
    <w:rsid w:val="00467184"/>
    <w:rsid w:val="00467B08"/>
    <w:rsid w:val="00467BAA"/>
    <w:rsid w:val="00467EB5"/>
    <w:rsid w:val="00470C76"/>
    <w:rsid w:val="004717DC"/>
    <w:rsid w:val="00471A3D"/>
    <w:rsid w:val="00471BA6"/>
    <w:rsid w:val="00472137"/>
    <w:rsid w:val="00472CF4"/>
    <w:rsid w:val="0047372F"/>
    <w:rsid w:val="004738DA"/>
    <w:rsid w:val="00473C98"/>
    <w:rsid w:val="00473DD4"/>
    <w:rsid w:val="00473E34"/>
    <w:rsid w:val="0047442D"/>
    <w:rsid w:val="00474438"/>
    <w:rsid w:val="00474495"/>
    <w:rsid w:val="00474B43"/>
    <w:rsid w:val="00474DBA"/>
    <w:rsid w:val="00476840"/>
    <w:rsid w:val="00476B7C"/>
    <w:rsid w:val="004770B2"/>
    <w:rsid w:val="004774E8"/>
    <w:rsid w:val="004777F2"/>
    <w:rsid w:val="00477EB0"/>
    <w:rsid w:val="004804F3"/>
    <w:rsid w:val="00480531"/>
    <w:rsid w:val="00480780"/>
    <w:rsid w:val="0048082A"/>
    <w:rsid w:val="00481041"/>
    <w:rsid w:val="0048171F"/>
    <w:rsid w:val="004817BD"/>
    <w:rsid w:val="00481A05"/>
    <w:rsid w:val="00481CA4"/>
    <w:rsid w:val="00481CD1"/>
    <w:rsid w:val="004826A3"/>
    <w:rsid w:val="0048285F"/>
    <w:rsid w:val="00482B5F"/>
    <w:rsid w:val="00482FFF"/>
    <w:rsid w:val="00483174"/>
    <w:rsid w:val="004832ED"/>
    <w:rsid w:val="00483447"/>
    <w:rsid w:val="00483494"/>
    <w:rsid w:val="00483BAC"/>
    <w:rsid w:val="00483E0A"/>
    <w:rsid w:val="004841FF"/>
    <w:rsid w:val="004842FE"/>
    <w:rsid w:val="004844FC"/>
    <w:rsid w:val="0048469E"/>
    <w:rsid w:val="0048508C"/>
    <w:rsid w:val="0048534A"/>
    <w:rsid w:val="004857E3"/>
    <w:rsid w:val="004858E1"/>
    <w:rsid w:val="00485DF5"/>
    <w:rsid w:val="00485EB6"/>
    <w:rsid w:val="00485F42"/>
    <w:rsid w:val="004865EC"/>
    <w:rsid w:val="004868F5"/>
    <w:rsid w:val="00486B76"/>
    <w:rsid w:val="004870AB"/>
    <w:rsid w:val="00487489"/>
    <w:rsid w:val="004879C4"/>
    <w:rsid w:val="00487C6E"/>
    <w:rsid w:val="0049008E"/>
    <w:rsid w:val="00490A8D"/>
    <w:rsid w:val="00490C02"/>
    <w:rsid w:val="00490ED7"/>
    <w:rsid w:val="004922E0"/>
    <w:rsid w:val="004923BE"/>
    <w:rsid w:val="00492EBF"/>
    <w:rsid w:val="00492EF3"/>
    <w:rsid w:val="004932BA"/>
    <w:rsid w:val="004934BA"/>
    <w:rsid w:val="00493530"/>
    <w:rsid w:val="00493927"/>
    <w:rsid w:val="00494244"/>
    <w:rsid w:val="00494669"/>
    <w:rsid w:val="004947FD"/>
    <w:rsid w:val="004948B5"/>
    <w:rsid w:val="00494949"/>
    <w:rsid w:val="00494B21"/>
    <w:rsid w:val="00494F69"/>
    <w:rsid w:val="00494FB1"/>
    <w:rsid w:val="0049558A"/>
    <w:rsid w:val="004955A9"/>
    <w:rsid w:val="0049587C"/>
    <w:rsid w:val="00495DA1"/>
    <w:rsid w:val="00495E87"/>
    <w:rsid w:val="004960A8"/>
    <w:rsid w:val="00496522"/>
    <w:rsid w:val="0049691D"/>
    <w:rsid w:val="00497235"/>
    <w:rsid w:val="004977FC"/>
    <w:rsid w:val="00497D49"/>
    <w:rsid w:val="00497F24"/>
    <w:rsid w:val="004A0084"/>
    <w:rsid w:val="004A04EA"/>
    <w:rsid w:val="004A09AF"/>
    <w:rsid w:val="004A0CC2"/>
    <w:rsid w:val="004A0EC9"/>
    <w:rsid w:val="004A1592"/>
    <w:rsid w:val="004A1A42"/>
    <w:rsid w:val="004A1A99"/>
    <w:rsid w:val="004A2507"/>
    <w:rsid w:val="004A28B5"/>
    <w:rsid w:val="004A29FD"/>
    <w:rsid w:val="004A2A22"/>
    <w:rsid w:val="004A4228"/>
    <w:rsid w:val="004A49F2"/>
    <w:rsid w:val="004A4BC6"/>
    <w:rsid w:val="004A4DC5"/>
    <w:rsid w:val="004A4F84"/>
    <w:rsid w:val="004A532B"/>
    <w:rsid w:val="004A535C"/>
    <w:rsid w:val="004A6945"/>
    <w:rsid w:val="004A6A5B"/>
    <w:rsid w:val="004A6F62"/>
    <w:rsid w:val="004A7676"/>
    <w:rsid w:val="004B0A83"/>
    <w:rsid w:val="004B1B92"/>
    <w:rsid w:val="004B1F19"/>
    <w:rsid w:val="004B1F27"/>
    <w:rsid w:val="004B22A7"/>
    <w:rsid w:val="004B237D"/>
    <w:rsid w:val="004B2497"/>
    <w:rsid w:val="004B26AD"/>
    <w:rsid w:val="004B3996"/>
    <w:rsid w:val="004B39EE"/>
    <w:rsid w:val="004B3A70"/>
    <w:rsid w:val="004B42B4"/>
    <w:rsid w:val="004B4A28"/>
    <w:rsid w:val="004B50B2"/>
    <w:rsid w:val="004B516E"/>
    <w:rsid w:val="004B52B5"/>
    <w:rsid w:val="004B5A03"/>
    <w:rsid w:val="004B5C2E"/>
    <w:rsid w:val="004B5DD8"/>
    <w:rsid w:val="004B60BD"/>
    <w:rsid w:val="004B6665"/>
    <w:rsid w:val="004B67C5"/>
    <w:rsid w:val="004B6AC1"/>
    <w:rsid w:val="004B6F1D"/>
    <w:rsid w:val="004B709F"/>
    <w:rsid w:val="004B757D"/>
    <w:rsid w:val="004C01F8"/>
    <w:rsid w:val="004C03BE"/>
    <w:rsid w:val="004C08BE"/>
    <w:rsid w:val="004C0C86"/>
    <w:rsid w:val="004C102A"/>
    <w:rsid w:val="004C1501"/>
    <w:rsid w:val="004C18C2"/>
    <w:rsid w:val="004C1A25"/>
    <w:rsid w:val="004C1E12"/>
    <w:rsid w:val="004C232F"/>
    <w:rsid w:val="004C2E7A"/>
    <w:rsid w:val="004C3677"/>
    <w:rsid w:val="004C40E6"/>
    <w:rsid w:val="004C44C5"/>
    <w:rsid w:val="004C46D7"/>
    <w:rsid w:val="004C556B"/>
    <w:rsid w:val="004C5DFD"/>
    <w:rsid w:val="004C7655"/>
    <w:rsid w:val="004C782F"/>
    <w:rsid w:val="004C7BC8"/>
    <w:rsid w:val="004D10F1"/>
    <w:rsid w:val="004D1243"/>
    <w:rsid w:val="004D1509"/>
    <w:rsid w:val="004D16AF"/>
    <w:rsid w:val="004D23E0"/>
    <w:rsid w:val="004D27D8"/>
    <w:rsid w:val="004D28C1"/>
    <w:rsid w:val="004D2C01"/>
    <w:rsid w:val="004D2E8A"/>
    <w:rsid w:val="004D3242"/>
    <w:rsid w:val="004D3EFE"/>
    <w:rsid w:val="004D4C87"/>
    <w:rsid w:val="004D4DAA"/>
    <w:rsid w:val="004D4F5D"/>
    <w:rsid w:val="004D5913"/>
    <w:rsid w:val="004D5B99"/>
    <w:rsid w:val="004D5C8B"/>
    <w:rsid w:val="004D5FE7"/>
    <w:rsid w:val="004D6150"/>
    <w:rsid w:val="004D64BF"/>
    <w:rsid w:val="004D6FFA"/>
    <w:rsid w:val="004D78BF"/>
    <w:rsid w:val="004D7E47"/>
    <w:rsid w:val="004E05A1"/>
    <w:rsid w:val="004E06C3"/>
    <w:rsid w:val="004E080A"/>
    <w:rsid w:val="004E0863"/>
    <w:rsid w:val="004E1262"/>
    <w:rsid w:val="004E1848"/>
    <w:rsid w:val="004E1990"/>
    <w:rsid w:val="004E19EE"/>
    <w:rsid w:val="004E2DEE"/>
    <w:rsid w:val="004E2EEB"/>
    <w:rsid w:val="004E32F7"/>
    <w:rsid w:val="004E368C"/>
    <w:rsid w:val="004E3954"/>
    <w:rsid w:val="004E3A90"/>
    <w:rsid w:val="004E3DC4"/>
    <w:rsid w:val="004E4383"/>
    <w:rsid w:val="004E4F6F"/>
    <w:rsid w:val="004E50D5"/>
    <w:rsid w:val="004E52A9"/>
    <w:rsid w:val="004E5A7C"/>
    <w:rsid w:val="004E5A8B"/>
    <w:rsid w:val="004E67DD"/>
    <w:rsid w:val="004E6886"/>
    <w:rsid w:val="004E6C83"/>
    <w:rsid w:val="004E7152"/>
    <w:rsid w:val="004E745D"/>
    <w:rsid w:val="004E75E3"/>
    <w:rsid w:val="004E76CB"/>
    <w:rsid w:val="004E7795"/>
    <w:rsid w:val="004E7DE8"/>
    <w:rsid w:val="004F0635"/>
    <w:rsid w:val="004F096A"/>
    <w:rsid w:val="004F0BB6"/>
    <w:rsid w:val="004F0E0A"/>
    <w:rsid w:val="004F139F"/>
    <w:rsid w:val="004F1431"/>
    <w:rsid w:val="004F18F8"/>
    <w:rsid w:val="004F1962"/>
    <w:rsid w:val="004F1C15"/>
    <w:rsid w:val="004F1C37"/>
    <w:rsid w:val="004F1CAE"/>
    <w:rsid w:val="004F2040"/>
    <w:rsid w:val="004F258B"/>
    <w:rsid w:val="004F274B"/>
    <w:rsid w:val="004F289C"/>
    <w:rsid w:val="004F2A42"/>
    <w:rsid w:val="004F3837"/>
    <w:rsid w:val="004F3BC2"/>
    <w:rsid w:val="004F414B"/>
    <w:rsid w:val="004F4D91"/>
    <w:rsid w:val="004F4F62"/>
    <w:rsid w:val="004F5452"/>
    <w:rsid w:val="004F54DA"/>
    <w:rsid w:val="004F60EF"/>
    <w:rsid w:val="004F61EE"/>
    <w:rsid w:val="004F6576"/>
    <w:rsid w:val="004F662B"/>
    <w:rsid w:val="004F72C7"/>
    <w:rsid w:val="004F7A51"/>
    <w:rsid w:val="004F7CA0"/>
    <w:rsid w:val="00500058"/>
    <w:rsid w:val="005007EB"/>
    <w:rsid w:val="00500833"/>
    <w:rsid w:val="00500956"/>
    <w:rsid w:val="00500EA1"/>
    <w:rsid w:val="00501308"/>
    <w:rsid w:val="005017A5"/>
    <w:rsid w:val="00501B6A"/>
    <w:rsid w:val="00501E13"/>
    <w:rsid w:val="005021CE"/>
    <w:rsid w:val="005021DA"/>
    <w:rsid w:val="005024D9"/>
    <w:rsid w:val="005026AD"/>
    <w:rsid w:val="0050297B"/>
    <w:rsid w:val="00503726"/>
    <w:rsid w:val="00503B69"/>
    <w:rsid w:val="00503C52"/>
    <w:rsid w:val="00503F58"/>
    <w:rsid w:val="005042F8"/>
    <w:rsid w:val="005047B2"/>
    <w:rsid w:val="005047FE"/>
    <w:rsid w:val="005049EF"/>
    <w:rsid w:val="005053B5"/>
    <w:rsid w:val="00505A3C"/>
    <w:rsid w:val="00505CD2"/>
    <w:rsid w:val="005064E4"/>
    <w:rsid w:val="0050721E"/>
    <w:rsid w:val="005072B8"/>
    <w:rsid w:val="005079DF"/>
    <w:rsid w:val="0051093D"/>
    <w:rsid w:val="005109E2"/>
    <w:rsid w:val="00510E7C"/>
    <w:rsid w:val="005110BB"/>
    <w:rsid w:val="0051162A"/>
    <w:rsid w:val="005119BC"/>
    <w:rsid w:val="00511D84"/>
    <w:rsid w:val="00511F36"/>
    <w:rsid w:val="0051209A"/>
    <w:rsid w:val="005121FD"/>
    <w:rsid w:val="00512280"/>
    <w:rsid w:val="00512418"/>
    <w:rsid w:val="00512F16"/>
    <w:rsid w:val="0051389C"/>
    <w:rsid w:val="0051395B"/>
    <w:rsid w:val="00513A8A"/>
    <w:rsid w:val="00513C3B"/>
    <w:rsid w:val="00514409"/>
    <w:rsid w:val="00514483"/>
    <w:rsid w:val="00514A5D"/>
    <w:rsid w:val="005153AD"/>
    <w:rsid w:val="0051577C"/>
    <w:rsid w:val="005159B7"/>
    <w:rsid w:val="00515A07"/>
    <w:rsid w:val="00515B42"/>
    <w:rsid w:val="00515B64"/>
    <w:rsid w:val="00516267"/>
    <w:rsid w:val="00516545"/>
    <w:rsid w:val="00516561"/>
    <w:rsid w:val="00516769"/>
    <w:rsid w:val="00516792"/>
    <w:rsid w:val="00517620"/>
    <w:rsid w:val="0051768E"/>
    <w:rsid w:val="00517D4A"/>
    <w:rsid w:val="00520818"/>
    <w:rsid w:val="00520C26"/>
    <w:rsid w:val="00520EBC"/>
    <w:rsid w:val="00520EEA"/>
    <w:rsid w:val="00520EF8"/>
    <w:rsid w:val="00521697"/>
    <w:rsid w:val="005229D9"/>
    <w:rsid w:val="00523412"/>
    <w:rsid w:val="00523626"/>
    <w:rsid w:val="00523BE5"/>
    <w:rsid w:val="00523D60"/>
    <w:rsid w:val="00523FF6"/>
    <w:rsid w:val="00524033"/>
    <w:rsid w:val="00524132"/>
    <w:rsid w:val="0052430D"/>
    <w:rsid w:val="00524532"/>
    <w:rsid w:val="005246C1"/>
    <w:rsid w:val="00524770"/>
    <w:rsid w:val="00524C46"/>
    <w:rsid w:val="00525D96"/>
    <w:rsid w:val="00525FB0"/>
    <w:rsid w:val="005261F6"/>
    <w:rsid w:val="00526395"/>
    <w:rsid w:val="00526B8E"/>
    <w:rsid w:val="00526CDA"/>
    <w:rsid w:val="00527004"/>
    <w:rsid w:val="005271FD"/>
    <w:rsid w:val="00527B3A"/>
    <w:rsid w:val="00527E73"/>
    <w:rsid w:val="0053096F"/>
    <w:rsid w:val="00530B5E"/>
    <w:rsid w:val="00530B91"/>
    <w:rsid w:val="00530DAD"/>
    <w:rsid w:val="00530DF9"/>
    <w:rsid w:val="00531153"/>
    <w:rsid w:val="00531288"/>
    <w:rsid w:val="005328E1"/>
    <w:rsid w:val="00533032"/>
    <w:rsid w:val="00533380"/>
    <w:rsid w:val="00533393"/>
    <w:rsid w:val="00533630"/>
    <w:rsid w:val="005336A1"/>
    <w:rsid w:val="00533BD2"/>
    <w:rsid w:val="005341FB"/>
    <w:rsid w:val="005342A1"/>
    <w:rsid w:val="0053507A"/>
    <w:rsid w:val="0053538C"/>
    <w:rsid w:val="005353C2"/>
    <w:rsid w:val="005355B9"/>
    <w:rsid w:val="005357AA"/>
    <w:rsid w:val="005361D8"/>
    <w:rsid w:val="00536561"/>
    <w:rsid w:val="00540159"/>
    <w:rsid w:val="005402CB"/>
    <w:rsid w:val="00540694"/>
    <w:rsid w:val="00540785"/>
    <w:rsid w:val="00540FA2"/>
    <w:rsid w:val="0054113B"/>
    <w:rsid w:val="00541243"/>
    <w:rsid w:val="00541317"/>
    <w:rsid w:val="0054154B"/>
    <w:rsid w:val="00541601"/>
    <w:rsid w:val="00542036"/>
    <w:rsid w:val="005424CF"/>
    <w:rsid w:val="00542619"/>
    <w:rsid w:val="005426E7"/>
    <w:rsid w:val="005427B7"/>
    <w:rsid w:val="005427F4"/>
    <w:rsid w:val="005432A6"/>
    <w:rsid w:val="005432F5"/>
    <w:rsid w:val="00543A81"/>
    <w:rsid w:val="0054425F"/>
    <w:rsid w:val="005443C2"/>
    <w:rsid w:val="00544596"/>
    <w:rsid w:val="005445B0"/>
    <w:rsid w:val="0054461D"/>
    <w:rsid w:val="005449BF"/>
    <w:rsid w:val="00544CE4"/>
    <w:rsid w:val="00545112"/>
    <w:rsid w:val="0054517C"/>
    <w:rsid w:val="00545910"/>
    <w:rsid w:val="00545D48"/>
    <w:rsid w:val="00545E98"/>
    <w:rsid w:val="00546105"/>
    <w:rsid w:val="005465AF"/>
    <w:rsid w:val="00546D79"/>
    <w:rsid w:val="00546F29"/>
    <w:rsid w:val="0054754F"/>
    <w:rsid w:val="00547950"/>
    <w:rsid w:val="005479D3"/>
    <w:rsid w:val="00547FA5"/>
    <w:rsid w:val="005511F9"/>
    <w:rsid w:val="00551802"/>
    <w:rsid w:val="00551A46"/>
    <w:rsid w:val="00551F24"/>
    <w:rsid w:val="005521C1"/>
    <w:rsid w:val="00552399"/>
    <w:rsid w:val="005525D7"/>
    <w:rsid w:val="005533AD"/>
    <w:rsid w:val="00553949"/>
    <w:rsid w:val="00553DAC"/>
    <w:rsid w:val="005543F7"/>
    <w:rsid w:val="00554549"/>
    <w:rsid w:val="005548C9"/>
    <w:rsid w:val="00554C1E"/>
    <w:rsid w:val="0055563D"/>
    <w:rsid w:val="00555744"/>
    <w:rsid w:val="005557F2"/>
    <w:rsid w:val="00556C81"/>
    <w:rsid w:val="0055739C"/>
    <w:rsid w:val="005577A9"/>
    <w:rsid w:val="005577CF"/>
    <w:rsid w:val="005578F4"/>
    <w:rsid w:val="005579AA"/>
    <w:rsid w:val="00557B3C"/>
    <w:rsid w:val="00557CD4"/>
    <w:rsid w:val="0056018F"/>
    <w:rsid w:val="005602D1"/>
    <w:rsid w:val="00560408"/>
    <w:rsid w:val="00560AB2"/>
    <w:rsid w:val="00560CA4"/>
    <w:rsid w:val="00561124"/>
    <w:rsid w:val="005616E4"/>
    <w:rsid w:val="00561B63"/>
    <w:rsid w:val="00562376"/>
    <w:rsid w:val="005626B6"/>
    <w:rsid w:val="00562B59"/>
    <w:rsid w:val="00562D8B"/>
    <w:rsid w:val="00563601"/>
    <w:rsid w:val="005636C8"/>
    <w:rsid w:val="00563AB6"/>
    <w:rsid w:val="00563BF1"/>
    <w:rsid w:val="0056440C"/>
    <w:rsid w:val="00564730"/>
    <w:rsid w:val="00564C55"/>
    <w:rsid w:val="005650B1"/>
    <w:rsid w:val="005656D7"/>
    <w:rsid w:val="00566435"/>
    <w:rsid w:val="00566794"/>
    <w:rsid w:val="00566B24"/>
    <w:rsid w:val="00567D96"/>
    <w:rsid w:val="00567DD1"/>
    <w:rsid w:val="005703F8"/>
    <w:rsid w:val="005705B0"/>
    <w:rsid w:val="0057099C"/>
    <w:rsid w:val="005709F9"/>
    <w:rsid w:val="00571B2F"/>
    <w:rsid w:val="00571D52"/>
    <w:rsid w:val="00571F95"/>
    <w:rsid w:val="00572A7B"/>
    <w:rsid w:val="00572B7D"/>
    <w:rsid w:val="00572EA1"/>
    <w:rsid w:val="0057341F"/>
    <w:rsid w:val="00573AE9"/>
    <w:rsid w:val="00573B54"/>
    <w:rsid w:val="00573DBD"/>
    <w:rsid w:val="00573EC3"/>
    <w:rsid w:val="00574280"/>
    <w:rsid w:val="00574F2B"/>
    <w:rsid w:val="00575261"/>
    <w:rsid w:val="005752A6"/>
    <w:rsid w:val="0057564C"/>
    <w:rsid w:val="00575937"/>
    <w:rsid w:val="00576015"/>
    <w:rsid w:val="005768C5"/>
    <w:rsid w:val="00576F55"/>
    <w:rsid w:val="00577584"/>
    <w:rsid w:val="00577A75"/>
    <w:rsid w:val="00577C4D"/>
    <w:rsid w:val="00577DF5"/>
    <w:rsid w:val="00577E46"/>
    <w:rsid w:val="0058031C"/>
    <w:rsid w:val="00580435"/>
    <w:rsid w:val="0058060F"/>
    <w:rsid w:val="00580A3E"/>
    <w:rsid w:val="00580AA9"/>
    <w:rsid w:val="00580BC0"/>
    <w:rsid w:val="00581A33"/>
    <w:rsid w:val="00581AEC"/>
    <w:rsid w:val="00581ECD"/>
    <w:rsid w:val="00581F06"/>
    <w:rsid w:val="00582549"/>
    <w:rsid w:val="00582A9A"/>
    <w:rsid w:val="00582AE7"/>
    <w:rsid w:val="00582C75"/>
    <w:rsid w:val="00582EA0"/>
    <w:rsid w:val="005832AE"/>
    <w:rsid w:val="005836B8"/>
    <w:rsid w:val="00583A6E"/>
    <w:rsid w:val="005842BE"/>
    <w:rsid w:val="00584CAC"/>
    <w:rsid w:val="00584DB3"/>
    <w:rsid w:val="00584EC7"/>
    <w:rsid w:val="0058580D"/>
    <w:rsid w:val="005868FC"/>
    <w:rsid w:val="00587053"/>
    <w:rsid w:val="005871CA"/>
    <w:rsid w:val="005872FA"/>
    <w:rsid w:val="00587306"/>
    <w:rsid w:val="00587373"/>
    <w:rsid w:val="00587CD9"/>
    <w:rsid w:val="00590271"/>
    <w:rsid w:val="005903C0"/>
    <w:rsid w:val="00590739"/>
    <w:rsid w:val="00590F26"/>
    <w:rsid w:val="005910E2"/>
    <w:rsid w:val="005911BB"/>
    <w:rsid w:val="00591434"/>
    <w:rsid w:val="00591657"/>
    <w:rsid w:val="00591964"/>
    <w:rsid w:val="00592779"/>
    <w:rsid w:val="005928E2"/>
    <w:rsid w:val="00592AD1"/>
    <w:rsid w:val="00592F74"/>
    <w:rsid w:val="005938F7"/>
    <w:rsid w:val="00593F02"/>
    <w:rsid w:val="00594427"/>
    <w:rsid w:val="0059466F"/>
    <w:rsid w:val="00594B4F"/>
    <w:rsid w:val="00594EBA"/>
    <w:rsid w:val="0059548A"/>
    <w:rsid w:val="00595D21"/>
    <w:rsid w:val="00596271"/>
    <w:rsid w:val="0059629C"/>
    <w:rsid w:val="00596431"/>
    <w:rsid w:val="005967AD"/>
    <w:rsid w:val="00596A84"/>
    <w:rsid w:val="00597135"/>
    <w:rsid w:val="0059765B"/>
    <w:rsid w:val="00597BFE"/>
    <w:rsid w:val="005A040C"/>
    <w:rsid w:val="005A0665"/>
    <w:rsid w:val="005A0CE3"/>
    <w:rsid w:val="005A0ED3"/>
    <w:rsid w:val="005A134B"/>
    <w:rsid w:val="005A16B1"/>
    <w:rsid w:val="005A1AAF"/>
    <w:rsid w:val="005A1D92"/>
    <w:rsid w:val="005A1DF1"/>
    <w:rsid w:val="005A29CE"/>
    <w:rsid w:val="005A37FB"/>
    <w:rsid w:val="005A391C"/>
    <w:rsid w:val="005A3ADA"/>
    <w:rsid w:val="005A3C21"/>
    <w:rsid w:val="005A3F0D"/>
    <w:rsid w:val="005A52C0"/>
    <w:rsid w:val="005A573F"/>
    <w:rsid w:val="005A6A17"/>
    <w:rsid w:val="005A7C86"/>
    <w:rsid w:val="005B03AA"/>
    <w:rsid w:val="005B079D"/>
    <w:rsid w:val="005B1756"/>
    <w:rsid w:val="005B1C7A"/>
    <w:rsid w:val="005B1E27"/>
    <w:rsid w:val="005B21B9"/>
    <w:rsid w:val="005B290C"/>
    <w:rsid w:val="005B2DA1"/>
    <w:rsid w:val="005B2DD9"/>
    <w:rsid w:val="005B3364"/>
    <w:rsid w:val="005B388C"/>
    <w:rsid w:val="005B41C4"/>
    <w:rsid w:val="005B4428"/>
    <w:rsid w:val="005B51FD"/>
    <w:rsid w:val="005B532C"/>
    <w:rsid w:val="005B5497"/>
    <w:rsid w:val="005B555A"/>
    <w:rsid w:val="005B5788"/>
    <w:rsid w:val="005B5A59"/>
    <w:rsid w:val="005B60BF"/>
    <w:rsid w:val="005B6414"/>
    <w:rsid w:val="005B6474"/>
    <w:rsid w:val="005B676A"/>
    <w:rsid w:val="005B6C61"/>
    <w:rsid w:val="005B6FB0"/>
    <w:rsid w:val="005B71A8"/>
    <w:rsid w:val="005C015F"/>
    <w:rsid w:val="005C0D22"/>
    <w:rsid w:val="005C1357"/>
    <w:rsid w:val="005C16BB"/>
    <w:rsid w:val="005C19AE"/>
    <w:rsid w:val="005C1A5F"/>
    <w:rsid w:val="005C1ACC"/>
    <w:rsid w:val="005C1DE2"/>
    <w:rsid w:val="005C2E0B"/>
    <w:rsid w:val="005C2F32"/>
    <w:rsid w:val="005C31F0"/>
    <w:rsid w:val="005C324A"/>
    <w:rsid w:val="005C34B7"/>
    <w:rsid w:val="005C39C2"/>
    <w:rsid w:val="005C458E"/>
    <w:rsid w:val="005C4A24"/>
    <w:rsid w:val="005C4B78"/>
    <w:rsid w:val="005C50C2"/>
    <w:rsid w:val="005C53E2"/>
    <w:rsid w:val="005C560B"/>
    <w:rsid w:val="005C5BEE"/>
    <w:rsid w:val="005C5C41"/>
    <w:rsid w:val="005C62E8"/>
    <w:rsid w:val="005C63FF"/>
    <w:rsid w:val="005C682A"/>
    <w:rsid w:val="005C6A2D"/>
    <w:rsid w:val="005C6A6B"/>
    <w:rsid w:val="005C6FB8"/>
    <w:rsid w:val="005D0801"/>
    <w:rsid w:val="005D0C63"/>
    <w:rsid w:val="005D1069"/>
    <w:rsid w:val="005D1558"/>
    <w:rsid w:val="005D1695"/>
    <w:rsid w:val="005D2880"/>
    <w:rsid w:val="005D29BD"/>
    <w:rsid w:val="005D32E7"/>
    <w:rsid w:val="005D3DF5"/>
    <w:rsid w:val="005D4838"/>
    <w:rsid w:val="005D62C1"/>
    <w:rsid w:val="005D6693"/>
    <w:rsid w:val="005D677D"/>
    <w:rsid w:val="005D6F56"/>
    <w:rsid w:val="005D79B1"/>
    <w:rsid w:val="005D7C99"/>
    <w:rsid w:val="005E0060"/>
    <w:rsid w:val="005E047F"/>
    <w:rsid w:val="005E0592"/>
    <w:rsid w:val="005E2181"/>
    <w:rsid w:val="005E23EC"/>
    <w:rsid w:val="005E2908"/>
    <w:rsid w:val="005E2E31"/>
    <w:rsid w:val="005E2F5B"/>
    <w:rsid w:val="005E3469"/>
    <w:rsid w:val="005E3E2B"/>
    <w:rsid w:val="005E40E3"/>
    <w:rsid w:val="005E48B2"/>
    <w:rsid w:val="005E4ED2"/>
    <w:rsid w:val="005E593D"/>
    <w:rsid w:val="005E5CEB"/>
    <w:rsid w:val="005E60F8"/>
    <w:rsid w:val="005E618C"/>
    <w:rsid w:val="005E644C"/>
    <w:rsid w:val="005E7689"/>
    <w:rsid w:val="005E7B09"/>
    <w:rsid w:val="005E7F53"/>
    <w:rsid w:val="005F0211"/>
    <w:rsid w:val="005F05F7"/>
    <w:rsid w:val="005F0944"/>
    <w:rsid w:val="005F0D5F"/>
    <w:rsid w:val="005F0FCF"/>
    <w:rsid w:val="005F1997"/>
    <w:rsid w:val="005F1E2B"/>
    <w:rsid w:val="005F2015"/>
    <w:rsid w:val="005F2601"/>
    <w:rsid w:val="005F2724"/>
    <w:rsid w:val="005F2C22"/>
    <w:rsid w:val="005F323D"/>
    <w:rsid w:val="005F336B"/>
    <w:rsid w:val="005F35C7"/>
    <w:rsid w:val="005F3F28"/>
    <w:rsid w:val="005F4D79"/>
    <w:rsid w:val="005F4E6C"/>
    <w:rsid w:val="005F54EE"/>
    <w:rsid w:val="005F5B46"/>
    <w:rsid w:val="005F5FFE"/>
    <w:rsid w:val="005F667E"/>
    <w:rsid w:val="005F6697"/>
    <w:rsid w:val="005F6CB8"/>
    <w:rsid w:val="005F6CC8"/>
    <w:rsid w:val="005F7151"/>
    <w:rsid w:val="005F7300"/>
    <w:rsid w:val="005F79EB"/>
    <w:rsid w:val="005F7EAD"/>
    <w:rsid w:val="006009B9"/>
    <w:rsid w:val="00600CC7"/>
    <w:rsid w:val="00600E7C"/>
    <w:rsid w:val="006010EC"/>
    <w:rsid w:val="00601579"/>
    <w:rsid w:val="00601738"/>
    <w:rsid w:val="00601A72"/>
    <w:rsid w:val="00602079"/>
    <w:rsid w:val="0060259F"/>
    <w:rsid w:val="00602BB8"/>
    <w:rsid w:val="00603D4A"/>
    <w:rsid w:val="00604285"/>
    <w:rsid w:val="00604DF0"/>
    <w:rsid w:val="006054BD"/>
    <w:rsid w:val="00605675"/>
    <w:rsid w:val="00605B10"/>
    <w:rsid w:val="00605D79"/>
    <w:rsid w:val="00605DF2"/>
    <w:rsid w:val="00605E08"/>
    <w:rsid w:val="00606055"/>
    <w:rsid w:val="006067BC"/>
    <w:rsid w:val="00606DB5"/>
    <w:rsid w:val="00606E0B"/>
    <w:rsid w:val="00606E5E"/>
    <w:rsid w:val="00606E6F"/>
    <w:rsid w:val="00607017"/>
    <w:rsid w:val="006078CC"/>
    <w:rsid w:val="00607A51"/>
    <w:rsid w:val="00607BA0"/>
    <w:rsid w:val="00607D19"/>
    <w:rsid w:val="00607D79"/>
    <w:rsid w:val="00607E34"/>
    <w:rsid w:val="00607FA5"/>
    <w:rsid w:val="00610487"/>
    <w:rsid w:val="00611186"/>
    <w:rsid w:val="00611A05"/>
    <w:rsid w:val="00611A0E"/>
    <w:rsid w:val="00611A62"/>
    <w:rsid w:val="0061293D"/>
    <w:rsid w:val="00612C9A"/>
    <w:rsid w:val="00612F59"/>
    <w:rsid w:val="006134C1"/>
    <w:rsid w:val="0061350B"/>
    <w:rsid w:val="00613539"/>
    <w:rsid w:val="0061388E"/>
    <w:rsid w:val="00613D0D"/>
    <w:rsid w:val="00614CCE"/>
    <w:rsid w:val="00614E60"/>
    <w:rsid w:val="00615034"/>
    <w:rsid w:val="006152E5"/>
    <w:rsid w:val="00615816"/>
    <w:rsid w:val="00615899"/>
    <w:rsid w:val="00615AED"/>
    <w:rsid w:val="00615BB8"/>
    <w:rsid w:val="00615BD2"/>
    <w:rsid w:val="00615CCA"/>
    <w:rsid w:val="0061633B"/>
    <w:rsid w:val="00616526"/>
    <w:rsid w:val="00616759"/>
    <w:rsid w:val="00616AE9"/>
    <w:rsid w:val="00616E7F"/>
    <w:rsid w:val="0061714A"/>
    <w:rsid w:val="00617219"/>
    <w:rsid w:val="006174E1"/>
    <w:rsid w:val="006178C9"/>
    <w:rsid w:val="00620053"/>
    <w:rsid w:val="00620375"/>
    <w:rsid w:val="00620940"/>
    <w:rsid w:val="006209CA"/>
    <w:rsid w:val="00621810"/>
    <w:rsid w:val="0062195B"/>
    <w:rsid w:val="006220D9"/>
    <w:rsid w:val="0062211B"/>
    <w:rsid w:val="00622269"/>
    <w:rsid w:val="00622C7C"/>
    <w:rsid w:val="00623D50"/>
    <w:rsid w:val="00623FB7"/>
    <w:rsid w:val="00624484"/>
    <w:rsid w:val="006244B6"/>
    <w:rsid w:val="006245FD"/>
    <w:rsid w:val="0062461D"/>
    <w:rsid w:val="006246DB"/>
    <w:rsid w:val="00624916"/>
    <w:rsid w:val="00624DFB"/>
    <w:rsid w:val="0062579E"/>
    <w:rsid w:val="00625BB8"/>
    <w:rsid w:val="00626641"/>
    <w:rsid w:val="0062669F"/>
    <w:rsid w:val="00626EB9"/>
    <w:rsid w:val="0062717F"/>
    <w:rsid w:val="006278D8"/>
    <w:rsid w:val="00627CD5"/>
    <w:rsid w:val="00627E21"/>
    <w:rsid w:val="006303A6"/>
    <w:rsid w:val="0063062E"/>
    <w:rsid w:val="006312D2"/>
    <w:rsid w:val="0063151D"/>
    <w:rsid w:val="00631554"/>
    <w:rsid w:val="00631827"/>
    <w:rsid w:val="006319E8"/>
    <w:rsid w:val="00632149"/>
    <w:rsid w:val="006322FA"/>
    <w:rsid w:val="00633A56"/>
    <w:rsid w:val="00634045"/>
    <w:rsid w:val="006341F4"/>
    <w:rsid w:val="00634F47"/>
    <w:rsid w:val="0063501E"/>
    <w:rsid w:val="006351CF"/>
    <w:rsid w:val="0063573E"/>
    <w:rsid w:val="006357F8"/>
    <w:rsid w:val="00635C9B"/>
    <w:rsid w:val="00636541"/>
    <w:rsid w:val="006365D1"/>
    <w:rsid w:val="00636CF4"/>
    <w:rsid w:val="00637476"/>
    <w:rsid w:val="0063766E"/>
    <w:rsid w:val="00637A68"/>
    <w:rsid w:val="00637B48"/>
    <w:rsid w:val="00640419"/>
    <w:rsid w:val="00641971"/>
    <w:rsid w:val="006419DC"/>
    <w:rsid w:val="006420AD"/>
    <w:rsid w:val="0064228E"/>
    <w:rsid w:val="00642BF8"/>
    <w:rsid w:val="00642E64"/>
    <w:rsid w:val="00643822"/>
    <w:rsid w:val="00643AAE"/>
    <w:rsid w:val="00643BB6"/>
    <w:rsid w:val="00643CF5"/>
    <w:rsid w:val="006440FA"/>
    <w:rsid w:val="0064442D"/>
    <w:rsid w:val="006453B4"/>
    <w:rsid w:val="006456E8"/>
    <w:rsid w:val="00645FB2"/>
    <w:rsid w:val="00646039"/>
    <w:rsid w:val="00646056"/>
    <w:rsid w:val="006463FE"/>
    <w:rsid w:val="006464AA"/>
    <w:rsid w:val="00646C1D"/>
    <w:rsid w:val="00647368"/>
    <w:rsid w:val="006501C3"/>
    <w:rsid w:val="00650588"/>
    <w:rsid w:val="006506AE"/>
    <w:rsid w:val="0065090A"/>
    <w:rsid w:val="00651131"/>
    <w:rsid w:val="00651976"/>
    <w:rsid w:val="00651DFD"/>
    <w:rsid w:val="00651E29"/>
    <w:rsid w:val="00651FEB"/>
    <w:rsid w:val="00652239"/>
    <w:rsid w:val="006526D0"/>
    <w:rsid w:val="00652B94"/>
    <w:rsid w:val="00652BED"/>
    <w:rsid w:val="00652CCD"/>
    <w:rsid w:val="006544D4"/>
    <w:rsid w:val="00654539"/>
    <w:rsid w:val="006549E2"/>
    <w:rsid w:val="00654B52"/>
    <w:rsid w:val="006556CC"/>
    <w:rsid w:val="00655817"/>
    <w:rsid w:val="00655FC8"/>
    <w:rsid w:val="00656446"/>
    <w:rsid w:val="00656A57"/>
    <w:rsid w:val="00656D48"/>
    <w:rsid w:val="00656E8B"/>
    <w:rsid w:val="00656F36"/>
    <w:rsid w:val="006571F0"/>
    <w:rsid w:val="00657653"/>
    <w:rsid w:val="00657AC0"/>
    <w:rsid w:val="00657DD2"/>
    <w:rsid w:val="00660002"/>
    <w:rsid w:val="00660D6E"/>
    <w:rsid w:val="00660EFB"/>
    <w:rsid w:val="00661200"/>
    <w:rsid w:val="00661836"/>
    <w:rsid w:val="00661A9F"/>
    <w:rsid w:val="00662023"/>
    <w:rsid w:val="00662130"/>
    <w:rsid w:val="00662406"/>
    <w:rsid w:val="00662E85"/>
    <w:rsid w:val="00662EAC"/>
    <w:rsid w:val="00662F86"/>
    <w:rsid w:val="00663554"/>
    <w:rsid w:val="00663568"/>
    <w:rsid w:val="00663851"/>
    <w:rsid w:val="006643FE"/>
    <w:rsid w:val="0066462C"/>
    <w:rsid w:val="0066496A"/>
    <w:rsid w:val="00664A8C"/>
    <w:rsid w:val="00664DF3"/>
    <w:rsid w:val="00665333"/>
    <w:rsid w:val="00665471"/>
    <w:rsid w:val="0066554F"/>
    <w:rsid w:val="00665C08"/>
    <w:rsid w:val="00665D4F"/>
    <w:rsid w:val="00665D9B"/>
    <w:rsid w:val="00666059"/>
    <w:rsid w:val="006662D4"/>
    <w:rsid w:val="00666A26"/>
    <w:rsid w:val="00666EA2"/>
    <w:rsid w:val="00666F5B"/>
    <w:rsid w:val="006672EF"/>
    <w:rsid w:val="006674A7"/>
    <w:rsid w:val="00667548"/>
    <w:rsid w:val="00667E0A"/>
    <w:rsid w:val="00667E37"/>
    <w:rsid w:val="00667E90"/>
    <w:rsid w:val="00667EE7"/>
    <w:rsid w:val="0067032B"/>
    <w:rsid w:val="0067055F"/>
    <w:rsid w:val="00670F26"/>
    <w:rsid w:val="006710DB"/>
    <w:rsid w:val="00671186"/>
    <w:rsid w:val="006718BD"/>
    <w:rsid w:val="00671B93"/>
    <w:rsid w:val="00671E4F"/>
    <w:rsid w:val="006722CF"/>
    <w:rsid w:val="00672586"/>
    <w:rsid w:val="006725FD"/>
    <w:rsid w:val="006728F2"/>
    <w:rsid w:val="00672EBC"/>
    <w:rsid w:val="00672F28"/>
    <w:rsid w:val="00672FD1"/>
    <w:rsid w:val="00673807"/>
    <w:rsid w:val="00673E24"/>
    <w:rsid w:val="00673FBD"/>
    <w:rsid w:val="0067428C"/>
    <w:rsid w:val="00674861"/>
    <w:rsid w:val="00674BE7"/>
    <w:rsid w:val="00674CA9"/>
    <w:rsid w:val="00674FB1"/>
    <w:rsid w:val="00675779"/>
    <w:rsid w:val="00675E5E"/>
    <w:rsid w:val="00676100"/>
    <w:rsid w:val="00676BB8"/>
    <w:rsid w:val="00676F14"/>
    <w:rsid w:val="0067725D"/>
    <w:rsid w:val="00677429"/>
    <w:rsid w:val="006775BF"/>
    <w:rsid w:val="00677BD0"/>
    <w:rsid w:val="00677D35"/>
    <w:rsid w:val="006800A0"/>
    <w:rsid w:val="006801EA"/>
    <w:rsid w:val="00680286"/>
    <w:rsid w:val="006805F5"/>
    <w:rsid w:val="00680FB2"/>
    <w:rsid w:val="00681131"/>
    <w:rsid w:val="0068150E"/>
    <w:rsid w:val="006818B2"/>
    <w:rsid w:val="006818E4"/>
    <w:rsid w:val="00681A3A"/>
    <w:rsid w:val="00681CF5"/>
    <w:rsid w:val="00681DD7"/>
    <w:rsid w:val="00682396"/>
    <w:rsid w:val="00682412"/>
    <w:rsid w:val="006826AD"/>
    <w:rsid w:val="00682C3B"/>
    <w:rsid w:val="00682E56"/>
    <w:rsid w:val="006830E0"/>
    <w:rsid w:val="006832FE"/>
    <w:rsid w:val="00683D37"/>
    <w:rsid w:val="00683D97"/>
    <w:rsid w:val="0068448A"/>
    <w:rsid w:val="006847A1"/>
    <w:rsid w:val="00685462"/>
    <w:rsid w:val="00685934"/>
    <w:rsid w:val="00685DFA"/>
    <w:rsid w:val="00685E73"/>
    <w:rsid w:val="006862FD"/>
    <w:rsid w:val="00686D5A"/>
    <w:rsid w:val="006875A4"/>
    <w:rsid w:val="0068790E"/>
    <w:rsid w:val="00687C1E"/>
    <w:rsid w:val="006904E1"/>
    <w:rsid w:val="00690756"/>
    <w:rsid w:val="006908D6"/>
    <w:rsid w:val="0069126F"/>
    <w:rsid w:val="006912B7"/>
    <w:rsid w:val="00691A9E"/>
    <w:rsid w:val="00691D59"/>
    <w:rsid w:val="0069223C"/>
    <w:rsid w:val="0069233B"/>
    <w:rsid w:val="00692638"/>
    <w:rsid w:val="006926C2"/>
    <w:rsid w:val="006939C4"/>
    <w:rsid w:val="00693E73"/>
    <w:rsid w:val="00694184"/>
    <w:rsid w:val="00694510"/>
    <w:rsid w:val="00694577"/>
    <w:rsid w:val="006948A7"/>
    <w:rsid w:val="00695457"/>
    <w:rsid w:val="006963BE"/>
    <w:rsid w:val="00696596"/>
    <w:rsid w:val="0069775E"/>
    <w:rsid w:val="006979A6"/>
    <w:rsid w:val="00697BAE"/>
    <w:rsid w:val="006A0143"/>
    <w:rsid w:val="006A0633"/>
    <w:rsid w:val="006A0E51"/>
    <w:rsid w:val="006A1AC6"/>
    <w:rsid w:val="006A1BB2"/>
    <w:rsid w:val="006A1CC8"/>
    <w:rsid w:val="006A2251"/>
    <w:rsid w:val="006A25C3"/>
    <w:rsid w:val="006A2920"/>
    <w:rsid w:val="006A2E59"/>
    <w:rsid w:val="006A32A8"/>
    <w:rsid w:val="006A37DD"/>
    <w:rsid w:val="006A3AB0"/>
    <w:rsid w:val="006A3F79"/>
    <w:rsid w:val="006A44B2"/>
    <w:rsid w:val="006A472B"/>
    <w:rsid w:val="006A4926"/>
    <w:rsid w:val="006A55D0"/>
    <w:rsid w:val="006A5DD7"/>
    <w:rsid w:val="006A633E"/>
    <w:rsid w:val="006A6E97"/>
    <w:rsid w:val="006A786D"/>
    <w:rsid w:val="006A79C6"/>
    <w:rsid w:val="006A7AEE"/>
    <w:rsid w:val="006A7C85"/>
    <w:rsid w:val="006A7D2D"/>
    <w:rsid w:val="006A7FD2"/>
    <w:rsid w:val="006B0606"/>
    <w:rsid w:val="006B13B4"/>
    <w:rsid w:val="006B13CA"/>
    <w:rsid w:val="006B1756"/>
    <w:rsid w:val="006B2137"/>
    <w:rsid w:val="006B24AC"/>
    <w:rsid w:val="006B261E"/>
    <w:rsid w:val="006B2E02"/>
    <w:rsid w:val="006B2FCC"/>
    <w:rsid w:val="006B302C"/>
    <w:rsid w:val="006B3354"/>
    <w:rsid w:val="006B3DA9"/>
    <w:rsid w:val="006B458C"/>
    <w:rsid w:val="006B4929"/>
    <w:rsid w:val="006B4AF9"/>
    <w:rsid w:val="006B586B"/>
    <w:rsid w:val="006B5BC1"/>
    <w:rsid w:val="006B5EDC"/>
    <w:rsid w:val="006B5FB2"/>
    <w:rsid w:val="006B6395"/>
    <w:rsid w:val="006B6EA5"/>
    <w:rsid w:val="006B7BCF"/>
    <w:rsid w:val="006B7C19"/>
    <w:rsid w:val="006C0224"/>
    <w:rsid w:val="006C0241"/>
    <w:rsid w:val="006C0425"/>
    <w:rsid w:val="006C0BEA"/>
    <w:rsid w:val="006C0DD9"/>
    <w:rsid w:val="006C0E3C"/>
    <w:rsid w:val="006C14EC"/>
    <w:rsid w:val="006C1CE5"/>
    <w:rsid w:val="006C3457"/>
    <w:rsid w:val="006C3ABD"/>
    <w:rsid w:val="006C4288"/>
    <w:rsid w:val="006C42BB"/>
    <w:rsid w:val="006C4585"/>
    <w:rsid w:val="006C4B70"/>
    <w:rsid w:val="006C4C2F"/>
    <w:rsid w:val="006C4FF0"/>
    <w:rsid w:val="006C5D4F"/>
    <w:rsid w:val="006C7008"/>
    <w:rsid w:val="006C793C"/>
    <w:rsid w:val="006C7DDC"/>
    <w:rsid w:val="006C7EAE"/>
    <w:rsid w:val="006D01D8"/>
    <w:rsid w:val="006D064A"/>
    <w:rsid w:val="006D11AD"/>
    <w:rsid w:val="006D12C7"/>
    <w:rsid w:val="006D1A4E"/>
    <w:rsid w:val="006D1F8C"/>
    <w:rsid w:val="006D2464"/>
    <w:rsid w:val="006D2A70"/>
    <w:rsid w:val="006D2D5E"/>
    <w:rsid w:val="006D3432"/>
    <w:rsid w:val="006D37AB"/>
    <w:rsid w:val="006D3AF7"/>
    <w:rsid w:val="006D3DFD"/>
    <w:rsid w:val="006D3F18"/>
    <w:rsid w:val="006D446A"/>
    <w:rsid w:val="006D47B2"/>
    <w:rsid w:val="006D4E4B"/>
    <w:rsid w:val="006D56A3"/>
    <w:rsid w:val="006D5B4A"/>
    <w:rsid w:val="006D5D9B"/>
    <w:rsid w:val="006D62D5"/>
    <w:rsid w:val="006D6771"/>
    <w:rsid w:val="006D6DA9"/>
    <w:rsid w:val="006D7695"/>
    <w:rsid w:val="006D7801"/>
    <w:rsid w:val="006E024B"/>
    <w:rsid w:val="006E090B"/>
    <w:rsid w:val="006E0A6C"/>
    <w:rsid w:val="006E0C95"/>
    <w:rsid w:val="006E0D08"/>
    <w:rsid w:val="006E129C"/>
    <w:rsid w:val="006E13A9"/>
    <w:rsid w:val="006E1D16"/>
    <w:rsid w:val="006E25D1"/>
    <w:rsid w:val="006E2879"/>
    <w:rsid w:val="006E2EF4"/>
    <w:rsid w:val="006E2F53"/>
    <w:rsid w:val="006E3317"/>
    <w:rsid w:val="006E386B"/>
    <w:rsid w:val="006E3FF8"/>
    <w:rsid w:val="006E42D7"/>
    <w:rsid w:val="006E45E3"/>
    <w:rsid w:val="006E48F3"/>
    <w:rsid w:val="006E4D00"/>
    <w:rsid w:val="006E5190"/>
    <w:rsid w:val="006E54C6"/>
    <w:rsid w:val="006E5766"/>
    <w:rsid w:val="006E615F"/>
    <w:rsid w:val="006E7421"/>
    <w:rsid w:val="006E78A5"/>
    <w:rsid w:val="006E7BF8"/>
    <w:rsid w:val="006F04BE"/>
    <w:rsid w:val="006F05A9"/>
    <w:rsid w:val="006F0AC7"/>
    <w:rsid w:val="006F1093"/>
    <w:rsid w:val="006F10C9"/>
    <w:rsid w:val="006F190F"/>
    <w:rsid w:val="006F1BE8"/>
    <w:rsid w:val="006F2FA3"/>
    <w:rsid w:val="006F31C4"/>
    <w:rsid w:val="006F35F6"/>
    <w:rsid w:val="006F3830"/>
    <w:rsid w:val="006F39E8"/>
    <w:rsid w:val="006F3C0C"/>
    <w:rsid w:val="006F3F93"/>
    <w:rsid w:val="006F4914"/>
    <w:rsid w:val="006F4D3D"/>
    <w:rsid w:val="006F5226"/>
    <w:rsid w:val="006F5945"/>
    <w:rsid w:val="006F59C7"/>
    <w:rsid w:val="006F5A93"/>
    <w:rsid w:val="006F5E72"/>
    <w:rsid w:val="006F641C"/>
    <w:rsid w:val="006F6529"/>
    <w:rsid w:val="006F66B2"/>
    <w:rsid w:val="006F6C12"/>
    <w:rsid w:val="006F6DA4"/>
    <w:rsid w:val="006F7146"/>
    <w:rsid w:val="006F7BEB"/>
    <w:rsid w:val="006F7D26"/>
    <w:rsid w:val="006F7EAE"/>
    <w:rsid w:val="007004B5"/>
    <w:rsid w:val="00700AC6"/>
    <w:rsid w:val="0070111F"/>
    <w:rsid w:val="00701600"/>
    <w:rsid w:val="00701947"/>
    <w:rsid w:val="007020DD"/>
    <w:rsid w:val="00702250"/>
    <w:rsid w:val="00702352"/>
    <w:rsid w:val="0070236A"/>
    <w:rsid w:val="0070252C"/>
    <w:rsid w:val="00702D5E"/>
    <w:rsid w:val="00702F73"/>
    <w:rsid w:val="007039B9"/>
    <w:rsid w:val="00703C06"/>
    <w:rsid w:val="00703DA8"/>
    <w:rsid w:val="00703F43"/>
    <w:rsid w:val="007040AC"/>
    <w:rsid w:val="00704159"/>
    <w:rsid w:val="00704189"/>
    <w:rsid w:val="0070422E"/>
    <w:rsid w:val="0070458F"/>
    <w:rsid w:val="0070481F"/>
    <w:rsid w:val="0070521E"/>
    <w:rsid w:val="00705473"/>
    <w:rsid w:val="00705958"/>
    <w:rsid w:val="00706571"/>
    <w:rsid w:val="00706876"/>
    <w:rsid w:val="00706BD8"/>
    <w:rsid w:val="00706DB1"/>
    <w:rsid w:val="00706F8A"/>
    <w:rsid w:val="00707002"/>
    <w:rsid w:val="00707047"/>
    <w:rsid w:val="0070729B"/>
    <w:rsid w:val="00707335"/>
    <w:rsid w:val="007078A1"/>
    <w:rsid w:val="00707A63"/>
    <w:rsid w:val="00710227"/>
    <w:rsid w:val="0071035F"/>
    <w:rsid w:val="007104C9"/>
    <w:rsid w:val="00710C06"/>
    <w:rsid w:val="00710DF8"/>
    <w:rsid w:val="00710FFC"/>
    <w:rsid w:val="0071135B"/>
    <w:rsid w:val="007113B0"/>
    <w:rsid w:val="0071148B"/>
    <w:rsid w:val="00711607"/>
    <w:rsid w:val="0071169B"/>
    <w:rsid w:val="00711C8B"/>
    <w:rsid w:val="00711FD6"/>
    <w:rsid w:val="0071202C"/>
    <w:rsid w:val="007126A7"/>
    <w:rsid w:val="007128D5"/>
    <w:rsid w:val="00712C70"/>
    <w:rsid w:val="0071313B"/>
    <w:rsid w:val="00713A57"/>
    <w:rsid w:val="00713CBD"/>
    <w:rsid w:val="00714002"/>
    <w:rsid w:val="007142EE"/>
    <w:rsid w:val="0071451B"/>
    <w:rsid w:val="007145AE"/>
    <w:rsid w:val="00714762"/>
    <w:rsid w:val="00714DCD"/>
    <w:rsid w:val="007152D6"/>
    <w:rsid w:val="00715338"/>
    <w:rsid w:val="00715458"/>
    <w:rsid w:val="007160C6"/>
    <w:rsid w:val="007161EC"/>
    <w:rsid w:val="00716270"/>
    <w:rsid w:val="00716A42"/>
    <w:rsid w:val="0071717F"/>
    <w:rsid w:val="007176ED"/>
    <w:rsid w:val="00717E29"/>
    <w:rsid w:val="00717ED7"/>
    <w:rsid w:val="00720039"/>
    <w:rsid w:val="007204E6"/>
    <w:rsid w:val="00720812"/>
    <w:rsid w:val="00720D6B"/>
    <w:rsid w:val="0072157A"/>
    <w:rsid w:val="0072157F"/>
    <w:rsid w:val="00721731"/>
    <w:rsid w:val="007219C9"/>
    <w:rsid w:val="00721AC1"/>
    <w:rsid w:val="00721BEE"/>
    <w:rsid w:val="00722325"/>
    <w:rsid w:val="007223F4"/>
    <w:rsid w:val="00722998"/>
    <w:rsid w:val="00722AB3"/>
    <w:rsid w:val="007236AF"/>
    <w:rsid w:val="007241A3"/>
    <w:rsid w:val="00724262"/>
    <w:rsid w:val="00724511"/>
    <w:rsid w:val="00724D65"/>
    <w:rsid w:val="00724E9A"/>
    <w:rsid w:val="0072501D"/>
    <w:rsid w:val="007250A2"/>
    <w:rsid w:val="007254D4"/>
    <w:rsid w:val="0072589D"/>
    <w:rsid w:val="0072597F"/>
    <w:rsid w:val="00725AB4"/>
    <w:rsid w:val="00725BD7"/>
    <w:rsid w:val="00726538"/>
    <w:rsid w:val="00726639"/>
    <w:rsid w:val="0072684F"/>
    <w:rsid w:val="00726CC8"/>
    <w:rsid w:val="007272AF"/>
    <w:rsid w:val="007273E3"/>
    <w:rsid w:val="00730A16"/>
    <w:rsid w:val="00730DF7"/>
    <w:rsid w:val="007312FF"/>
    <w:rsid w:val="0073173C"/>
    <w:rsid w:val="00731789"/>
    <w:rsid w:val="007318AB"/>
    <w:rsid w:val="0073233B"/>
    <w:rsid w:val="0073294D"/>
    <w:rsid w:val="00732C11"/>
    <w:rsid w:val="0073338C"/>
    <w:rsid w:val="00733976"/>
    <w:rsid w:val="00734269"/>
    <w:rsid w:val="0073496B"/>
    <w:rsid w:val="00734B0B"/>
    <w:rsid w:val="00734D69"/>
    <w:rsid w:val="0073515E"/>
    <w:rsid w:val="007352F4"/>
    <w:rsid w:val="00735485"/>
    <w:rsid w:val="00735CE3"/>
    <w:rsid w:val="00736253"/>
    <w:rsid w:val="00736323"/>
    <w:rsid w:val="0073640B"/>
    <w:rsid w:val="00736868"/>
    <w:rsid w:val="00736914"/>
    <w:rsid w:val="0073696C"/>
    <w:rsid w:val="00736A57"/>
    <w:rsid w:val="00736B9B"/>
    <w:rsid w:val="00736FEE"/>
    <w:rsid w:val="0073730E"/>
    <w:rsid w:val="0073784B"/>
    <w:rsid w:val="00737871"/>
    <w:rsid w:val="00740F45"/>
    <w:rsid w:val="00741129"/>
    <w:rsid w:val="00741392"/>
    <w:rsid w:val="007434D6"/>
    <w:rsid w:val="0074386E"/>
    <w:rsid w:val="007438C3"/>
    <w:rsid w:val="007439DD"/>
    <w:rsid w:val="00743F80"/>
    <w:rsid w:val="007444EC"/>
    <w:rsid w:val="00744C5C"/>
    <w:rsid w:val="00744CF7"/>
    <w:rsid w:val="00745347"/>
    <w:rsid w:val="00745DC7"/>
    <w:rsid w:val="00745F37"/>
    <w:rsid w:val="0074658F"/>
    <w:rsid w:val="00747A9D"/>
    <w:rsid w:val="00747E3D"/>
    <w:rsid w:val="00747E9F"/>
    <w:rsid w:val="00747F69"/>
    <w:rsid w:val="0075041F"/>
    <w:rsid w:val="00750628"/>
    <w:rsid w:val="00750852"/>
    <w:rsid w:val="007510D4"/>
    <w:rsid w:val="00751CAF"/>
    <w:rsid w:val="00751DA6"/>
    <w:rsid w:val="00752682"/>
    <w:rsid w:val="00752692"/>
    <w:rsid w:val="0075273C"/>
    <w:rsid w:val="00752D83"/>
    <w:rsid w:val="007544B5"/>
    <w:rsid w:val="007549AE"/>
    <w:rsid w:val="00754A1C"/>
    <w:rsid w:val="00754FB9"/>
    <w:rsid w:val="00755514"/>
    <w:rsid w:val="00755578"/>
    <w:rsid w:val="00755EC4"/>
    <w:rsid w:val="00755F4E"/>
    <w:rsid w:val="00755FF4"/>
    <w:rsid w:val="007567D2"/>
    <w:rsid w:val="00756B35"/>
    <w:rsid w:val="00756C82"/>
    <w:rsid w:val="00757110"/>
    <w:rsid w:val="00757A39"/>
    <w:rsid w:val="00757EF3"/>
    <w:rsid w:val="007608A0"/>
    <w:rsid w:val="00760D74"/>
    <w:rsid w:val="007612D5"/>
    <w:rsid w:val="00761DCF"/>
    <w:rsid w:val="00761F6A"/>
    <w:rsid w:val="007624E5"/>
    <w:rsid w:val="0076278E"/>
    <w:rsid w:val="00762810"/>
    <w:rsid w:val="00763293"/>
    <w:rsid w:val="00763E21"/>
    <w:rsid w:val="007641F7"/>
    <w:rsid w:val="0076453B"/>
    <w:rsid w:val="00764ABB"/>
    <w:rsid w:val="00764FBF"/>
    <w:rsid w:val="00765215"/>
    <w:rsid w:val="00766578"/>
    <w:rsid w:val="007667D6"/>
    <w:rsid w:val="00766823"/>
    <w:rsid w:val="00766890"/>
    <w:rsid w:val="0076697B"/>
    <w:rsid w:val="007678DF"/>
    <w:rsid w:val="00767A8F"/>
    <w:rsid w:val="00767ADA"/>
    <w:rsid w:val="00770013"/>
    <w:rsid w:val="00770258"/>
    <w:rsid w:val="00770893"/>
    <w:rsid w:val="00770AF8"/>
    <w:rsid w:val="00770F5E"/>
    <w:rsid w:val="00771137"/>
    <w:rsid w:val="007712FB"/>
    <w:rsid w:val="0077138D"/>
    <w:rsid w:val="0077179A"/>
    <w:rsid w:val="00771B96"/>
    <w:rsid w:val="00771D29"/>
    <w:rsid w:val="00772709"/>
    <w:rsid w:val="00772C45"/>
    <w:rsid w:val="00772EA5"/>
    <w:rsid w:val="00773228"/>
    <w:rsid w:val="00773C66"/>
    <w:rsid w:val="00774572"/>
    <w:rsid w:val="0077478D"/>
    <w:rsid w:val="007747A7"/>
    <w:rsid w:val="0077486D"/>
    <w:rsid w:val="00774C14"/>
    <w:rsid w:val="00774D93"/>
    <w:rsid w:val="007752F0"/>
    <w:rsid w:val="007753E4"/>
    <w:rsid w:val="00775450"/>
    <w:rsid w:val="0077598E"/>
    <w:rsid w:val="00775A95"/>
    <w:rsid w:val="00775AA0"/>
    <w:rsid w:val="007766EC"/>
    <w:rsid w:val="00776920"/>
    <w:rsid w:val="00776999"/>
    <w:rsid w:val="00776FCA"/>
    <w:rsid w:val="007776CD"/>
    <w:rsid w:val="00777A59"/>
    <w:rsid w:val="00777B2A"/>
    <w:rsid w:val="007802FA"/>
    <w:rsid w:val="0078050F"/>
    <w:rsid w:val="00781944"/>
    <w:rsid w:val="007824E2"/>
    <w:rsid w:val="007825A6"/>
    <w:rsid w:val="0078260D"/>
    <w:rsid w:val="00782722"/>
    <w:rsid w:val="00782996"/>
    <w:rsid w:val="00782A3C"/>
    <w:rsid w:val="00782CE0"/>
    <w:rsid w:val="00782EA5"/>
    <w:rsid w:val="00783439"/>
    <w:rsid w:val="0078373C"/>
    <w:rsid w:val="00783C8B"/>
    <w:rsid w:val="0078417F"/>
    <w:rsid w:val="007843FF"/>
    <w:rsid w:val="007845A1"/>
    <w:rsid w:val="007845B4"/>
    <w:rsid w:val="00784C31"/>
    <w:rsid w:val="00784CE1"/>
    <w:rsid w:val="0078519E"/>
    <w:rsid w:val="00785275"/>
    <w:rsid w:val="007857AB"/>
    <w:rsid w:val="00785879"/>
    <w:rsid w:val="00785B53"/>
    <w:rsid w:val="00785EFF"/>
    <w:rsid w:val="007875DF"/>
    <w:rsid w:val="007875FA"/>
    <w:rsid w:val="00787979"/>
    <w:rsid w:val="00787AA3"/>
    <w:rsid w:val="00787E6A"/>
    <w:rsid w:val="007902DB"/>
    <w:rsid w:val="007905C7"/>
    <w:rsid w:val="007905DB"/>
    <w:rsid w:val="00790616"/>
    <w:rsid w:val="0079096F"/>
    <w:rsid w:val="00790DD9"/>
    <w:rsid w:val="00790E6C"/>
    <w:rsid w:val="0079165B"/>
    <w:rsid w:val="0079180E"/>
    <w:rsid w:val="00791C49"/>
    <w:rsid w:val="00791FA3"/>
    <w:rsid w:val="00792464"/>
    <w:rsid w:val="0079283F"/>
    <w:rsid w:val="007934FD"/>
    <w:rsid w:val="007936BA"/>
    <w:rsid w:val="007952CA"/>
    <w:rsid w:val="00795D96"/>
    <w:rsid w:val="0079690E"/>
    <w:rsid w:val="0079708A"/>
    <w:rsid w:val="0079799A"/>
    <w:rsid w:val="00797DC3"/>
    <w:rsid w:val="00797F58"/>
    <w:rsid w:val="007A0BBD"/>
    <w:rsid w:val="007A100D"/>
    <w:rsid w:val="007A1860"/>
    <w:rsid w:val="007A204C"/>
    <w:rsid w:val="007A2189"/>
    <w:rsid w:val="007A2413"/>
    <w:rsid w:val="007A255C"/>
    <w:rsid w:val="007A2DE6"/>
    <w:rsid w:val="007A30AA"/>
    <w:rsid w:val="007A32B7"/>
    <w:rsid w:val="007A3ADB"/>
    <w:rsid w:val="007A4172"/>
    <w:rsid w:val="007A427F"/>
    <w:rsid w:val="007A4735"/>
    <w:rsid w:val="007A4F0F"/>
    <w:rsid w:val="007A4F62"/>
    <w:rsid w:val="007A50F1"/>
    <w:rsid w:val="007A52AD"/>
    <w:rsid w:val="007A5316"/>
    <w:rsid w:val="007A59B6"/>
    <w:rsid w:val="007A5A84"/>
    <w:rsid w:val="007A6B61"/>
    <w:rsid w:val="007A6E09"/>
    <w:rsid w:val="007A7CB4"/>
    <w:rsid w:val="007A7F48"/>
    <w:rsid w:val="007B149A"/>
    <w:rsid w:val="007B1845"/>
    <w:rsid w:val="007B18D9"/>
    <w:rsid w:val="007B238B"/>
    <w:rsid w:val="007B2B2D"/>
    <w:rsid w:val="007B3247"/>
    <w:rsid w:val="007B3362"/>
    <w:rsid w:val="007B3A33"/>
    <w:rsid w:val="007B3C8B"/>
    <w:rsid w:val="007B3CC9"/>
    <w:rsid w:val="007B3FB6"/>
    <w:rsid w:val="007B3FFC"/>
    <w:rsid w:val="007B43D1"/>
    <w:rsid w:val="007B4426"/>
    <w:rsid w:val="007B4987"/>
    <w:rsid w:val="007B4EE3"/>
    <w:rsid w:val="007B509E"/>
    <w:rsid w:val="007B5246"/>
    <w:rsid w:val="007B54A3"/>
    <w:rsid w:val="007B575C"/>
    <w:rsid w:val="007B5E1E"/>
    <w:rsid w:val="007B6204"/>
    <w:rsid w:val="007B63D9"/>
    <w:rsid w:val="007B64BC"/>
    <w:rsid w:val="007B67F2"/>
    <w:rsid w:val="007B6C60"/>
    <w:rsid w:val="007B6E85"/>
    <w:rsid w:val="007B708B"/>
    <w:rsid w:val="007B7978"/>
    <w:rsid w:val="007C0248"/>
    <w:rsid w:val="007C02E4"/>
    <w:rsid w:val="007C0786"/>
    <w:rsid w:val="007C08D9"/>
    <w:rsid w:val="007C0DF3"/>
    <w:rsid w:val="007C1C55"/>
    <w:rsid w:val="007C23BC"/>
    <w:rsid w:val="007C262F"/>
    <w:rsid w:val="007C2BCB"/>
    <w:rsid w:val="007C2D1E"/>
    <w:rsid w:val="007C340A"/>
    <w:rsid w:val="007C3774"/>
    <w:rsid w:val="007C3A2C"/>
    <w:rsid w:val="007C3EF5"/>
    <w:rsid w:val="007C472B"/>
    <w:rsid w:val="007C5761"/>
    <w:rsid w:val="007C60E6"/>
    <w:rsid w:val="007C61C6"/>
    <w:rsid w:val="007C63FD"/>
    <w:rsid w:val="007C6430"/>
    <w:rsid w:val="007C644F"/>
    <w:rsid w:val="007C650C"/>
    <w:rsid w:val="007C6526"/>
    <w:rsid w:val="007C6C45"/>
    <w:rsid w:val="007C6E6A"/>
    <w:rsid w:val="007C710A"/>
    <w:rsid w:val="007C7229"/>
    <w:rsid w:val="007C7333"/>
    <w:rsid w:val="007C73C8"/>
    <w:rsid w:val="007C7A99"/>
    <w:rsid w:val="007C7C90"/>
    <w:rsid w:val="007C7ED6"/>
    <w:rsid w:val="007D005F"/>
    <w:rsid w:val="007D0C95"/>
    <w:rsid w:val="007D11BD"/>
    <w:rsid w:val="007D145F"/>
    <w:rsid w:val="007D16E2"/>
    <w:rsid w:val="007D1E92"/>
    <w:rsid w:val="007D2116"/>
    <w:rsid w:val="007D26F2"/>
    <w:rsid w:val="007D2B1A"/>
    <w:rsid w:val="007D308F"/>
    <w:rsid w:val="007D333F"/>
    <w:rsid w:val="007D34D5"/>
    <w:rsid w:val="007D3886"/>
    <w:rsid w:val="007D3A52"/>
    <w:rsid w:val="007D3C83"/>
    <w:rsid w:val="007D3E58"/>
    <w:rsid w:val="007D413F"/>
    <w:rsid w:val="007D5046"/>
    <w:rsid w:val="007D50E4"/>
    <w:rsid w:val="007D5676"/>
    <w:rsid w:val="007D5DBB"/>
    <w:rsid w:val="007D5DF2"/>
    <w:rsid w:val="007D65D2"/>
    <w:rsid w:val="007D70FA"/>
    <w:rsid w:val="007D712F"/>
    <w:rsid w:val="007D7D29"/>
    <w:rsid w:val="007D7D92"/>
    <w:rsid w:val="007D7DAA"/>
    <w:rsid w:val="007E0084"/>
    <w:rsid w:val="007E017A"/>
    <w:rsid w:val="007E0519"/>
    <w:rsid w:val="007E0602"/>
    <w:rsid w:val="007E0976"/>
    <w:rsid w:val="007E0BB2"/>
    <w:rsid w:val="007E2246"/>
    <w:rsid w:val="007E2453"/>
    <w:rsid w:val="007E25B0"/>
    <w:rsid w:val="007E2779"/>
    <w:rsid w:val="007E2F54"/>
    <w:rsid w:val="007E3F72"/>
    <w:rsid w:val="007E41D9"/>
    <w:rsid w:val="007E445B"/>
    <w:rsid w:val="007E4C6A"/>
    <w:rsid w:val="007E4FBE"/>
    <w:rsid w:val="007E5352"/>
    <w:rsid w:val="007E574D"/>
    <w:rsid w:val="007E6A54"/>
    <w:rsid w:val="007E6E27"/>
    <w:rsid w:val="007E711F"/>
    <w:rsid w:val="007E7751"/>
    <w:rsid w:val="007F028A"/>
    <w:rsid w:val="007F02BB"/>
    <w:rsid w:val="007F02F9"/>
    <w:rsid w:val="007F0A39"/>
    <w:rsid w:val="007F0EFB"/>
    <w:rsid w:val="007F0FF3"/>
    <w:rsid w:val="007F11B6"/>
    <w:rsid w:val="007F1350"/>
    <w:rsid w:val="007F157C"/>
    <w:rsid w:val="007F15DB"/>
    <w:rsid w:val="007F1BF0"/>
    <w:rsid w:val="007F1DD9"/>
    <w:rsid w:val="007F279A"/>
    <w:rsid w:val="007F27F8"/>
    <w:rsid w:val="007F2D7F"/>
    <w:rsid w:val="007F2DCC"/>
    <w:rsid w:val="007F3634"/>
    <w:rsid w:val="007F3699"/>
    <w:rsid w:val="007F3C5B"/>
    <w:rsid w:val="007F3E0F"/>
    <w:rsid w:val="007F4305"/>
    <w:rsid w:val="007F44DD"/>
    <w:rsid w:val="007F59F9"/>
    <w:rsid w:val="007F683F"/>
    <w:rsid w:val="007F74C4"/>
    <w:rsid w:val="007F7D64"/>
    <w:rsid w:val="008015F4"/>
    <w:rsid w:val="0080168E"/>
    <w:rsid w:val="00801AE4"/>
    <w:rsid w:val="00801F87"/>
    <w:rsid w:val="008023ED"/>
    <w:rsid w:val="0080275E"/>
    <w:rsid w:val="008029A0"/>
    <w:rsid w:val="00802AA3"/>
    <w:rsid w:val="0080311A"/>
    <w:rsid w:val="0080352B"/>
    <w:rsid w:val="008038EE"/>
    <w:rsid w:val="00803AAD"/>
    <w:rsid w:val="00803ABE"/>
    <w:rsid w:val="00803E19"/>
    <w:rsid w:val="0080455C"/>
    <w:rsid w:val="008046F0"/>
    <w:rsid w:val="00804992"/>
    <w:rsid w:val="00804B71"/>
    <w:rsid w:val="008050A5"/>
    <w:rsid w:val="008050F9"/>
    <w:rsid w:val="008055E8"/>
    <w:rsid w:val="008074F5"/>
    <w:rsid w:val="00807523"/>
    <w:rsid w:val="00807DB6"/>
    <w:rsid w:val="00807E93"/>
    <w:rsid w:val="008100D8"/>
    <w:rsid w:val="00810320"/>
    <w:rsid w:val="008113A4"/>
    <w:rsid w:val="00811651"/>
    <w:rsid w:val="0081200B"/>
    <w:rsid w:val="00812D09"/>
    <w:rsid w:val="00813CD1"/>
    <w:rsid w:val="00813D62"/>
    <w:rsid w:val="00814239"/>
    <w:rsid w:val="0081438B"/>
    <w:rsid w:val="008143DF"/>
    <w:rsid w:val="00815345"/>
    <w:rsid w:val="00815827"/>
    <w:rsid w:val="008158B1"/>
    <w:rsid w:val="0081649A"/>
    <w:rsid w:val="00816885"/>
    <w:rsid w:val="00816C4C"/>
    <w:rsid w:val="008174EC"/>
    <w:rsid w:val="00817827"/>
    <w:rsid w:val="00817F51"/>
    <w:rsid w:val="008205B2"/>
    <w:rsid w:val="008207F2"/>
    <w:rsid w:val="00820D1D"/>
    <w:rsid w:val="00820E08"/>
    <w:rsid w:val="0082139B"/>
    <w:rsid w:val="00821859"/>
    <w:rsid w:val="00822046"/>
    <w:rsid w:val="0082241B"/>
    <w:rsid w:val="00822A99"/>
    <w:rsid w:val="00822B6F"/>
    <w:rsid w:val="008231C6"/>
    <w:rsid w:val="0082322E"/>
    <w:rsid w:val="00823EF5"/>
    <w:rsid w:val="00824012"/>
    <w:rsid w:val="0082432E"/>
    <w:rsid w:val="0082442D"/>
    <w:rsid w:val="008244AE"/>
    <w:rsid w:val="00824737"/>
    <w:rsid w:val="00824A82"/>
    <w:rsid w:val="00825095"/>
    <w:rsid w:val="008250AB"/>
    <w:rsid w:val="008254CB"/>
    <w:rsid w:val="0082595B"/>
    <w:rsid w:val="00825DA1"/>
    <w:rsid w:val="00826079"/>
    <w:rsid w:val="008263BA"/>
    <w:rsid w:val="00826450"/>
    <w:rsid w:val="00826609"/>
    <w:rsid w:val="00826CEB"/>
    <w:rsid w:val="00826EAA"/>
    <w:rsid w:val="00827262"/>
    <w:rsid w:val="00827309"/>
    <w:rsid w:val="008274FB"/>
    <w:rsid w:val="00827869"/>
    <w:rsid w:val="00827BC6"/>
    <w:rsid w:val="00830010"/>
    <w:rsid w:val="00830B6D"/>
    <w:rsid w:val="00830E56"/>
    <w:rsid w:val="00831031"/>
    <w:rsid w:val="00831B24"/>
    <w:rsid w:val="00831CC0"/>
    <w:rsid w:val="00831D7D"/>
    <w:rsid w:val="00831E16"/>
    <w:rsid w:val="008323E2"/>
    <w:rsid w:val="00832494"/>
    <w:rsid w:val="00832EAD"/>
    <w:rsid w:val="00832FA9"/>
    <w:rsid w:val="0083323C"/>
    <w:rsid w:val="00833497"/>
    <w:rsid w:val="00833507"/>
    <w:rsid w:val="00833835"/>
    <w:rsid w:val="00833C5F"/>
    <w:rsid w:val="00833F7B"/>
    <w:rsid w:val="008340E8"/>
    <w:rsid w:val="0083415A"/>
    <w:rsid w:val="008344CA"/>
    <w:rsid w:val="008344F9"/>
    <w:rsid w:val="00834A5D"/>
    <w:rsid w:val="00834D1D"/>
    <w:rsid w:val="00835363"/>
    <w:rsid w:val="008355D2"/>
    <w:rsid w:val="00835AAA"/>
    <w:rsid w:val="00835ADF"/>
    <w:rsid w:val="00835FAC"/>
    <w:rsid w:val="00836300"/>
    <w:rsid w:val="00836944"/>
    <w:rsid w:val="0083696B"/>
    <w:rsid w:val="00836BAF"/>
    <w:rsid w:val="00837118"/>
    <w:rsid w:val="00837649"/>
    <w:rsid w:val="0083767C"/>
    <w:rsid w:val="00837868"/>
    <w:rsid w:val="00837B62"/>
    <w:rsid w:val="00837D91"/>
    <w:rsid w:val="00837FBB"/>
    <w:rsid w:val="00840036"/>
    <w:rsid w:val="008402FC"/>
    <w:rsid w:val="008403B8"/>
    <w:rsid w:val="00840F2B"/>
    <w:rsid w:val="00841B42"/>
    <w:rsid w:val="00841D93"/>
    <w:rsid w:val="00841EF5"/>
    <w:rsid w:val="008421D8"/>
    <w:rsid w:val="0084247D"/>
    <w:rsid w:val="00842E57"/>
    <w:rsid w:val="008430C5"/>
    <w:rsid w:val="0084330B"/>
    <w:rsid w:val="008434CC"/>
    <w:rsid w:val="00843824"/>
    <w:rsid w:val="00843D2E"/>
    <w:rsid w:val="00844803"/>
    <w:rsid w:val="0084504C"/>
    <w:rsid w:val="00845224"/>
    <w:rsid w:val="00845B67"/>
    <w:rsid w:val="008461F6"/>
    <w:rsid w:val="00846E73"/>
    <w:rsid w:val="00850617"/>
    <w:rsid w:val="00850655"/>
    <w:rsid w:val="00850A2C"/>
    <w:rsid w:val="00850D0A"/>
    <w:rsid w:val="00851196"/>
    <w:rsid w:val="008513B3"/>
    <w:rsid w:val="0085143C"/>
    <w:rsid w:val="00851CE1"/>
    <w:rsid w:val="00852303"/>
    <w:rsid w:val="008525B1"/>
    <w:rsid w:val="008526FE"/>
    <w:rsid w:val="0085296B"/>
    <w:rsid w:val="00852E95"/>
    <w:rsid w:val="00853045"/>
    <w:rsid w:val="0085320C"/>
    <w:rsid w:val="00853300"/>
    <w:rsid w:val="00853346"/>
    <w:rsid w:val="008534B0"/>
    <w:rsid w:val="00853C44"/>
    <w:rsid w:val="00853CDF"/>
    <w:rsid w:val="00854263"/>
    <w:rsid w:val="00855229"/>
    <w:rsid w:val="008556B3"/>
    <w:rsid w:val="008559BD"/>
    <w:rsid w:val="00855A77"/>
    <w:rsid w:val="008563D8"/>
    <w:rsid w:val="00856900"/>
    <w:rsid w:val="00856D78"/>
    <w:rsid w:val="0085727E"/>
    <w:rsid w:val="008574AD"/>
    <w:rsid w:val="00857640"/>
    <w:rsid w:val="00857756"/>
    <w:rsid w:val="00857F54"/>
    <w:rsid w:val="008608AF"/>
    <w:rsid w:val="00860947"/>
    <w:rsid w:val="0086157E"/>
    <w:rsid w:val="008615B3"/>
    <w:rsid w:val="00861A5B"/>
    <w:rsid w:val="00861C55"/>
    <w:rsid w:val="0086281C"/>
    <w:rsid w:val="00863208"/>
    <w:rsid w:val="00863307"/>
    <w:rsid w:val="00863461"/>
    <w:rsid w:val="008637CA"/>
    <w:rsid w:val="00863E2D"/>
    <w:rsid w:val="00863EBB"/>
    <w:rsid w:val="00863F85"/>
    <w:rsid w:val="00864ACF"/>
    <w:rsid w:val="00864FC5"/>
    <w:rsid w:val="0086524D"/>
    <w:rsid w:val="00866517"/>
    <w:rsid w:val="0086696F"/>
    <w:rsid w:val="00866BEA"/>
    <w:rsid w:val="00866DF2"/>
    <w:rsid w:val="00866FC8"/>
    <w:rsid w:val="008670B9"/>
    <w:rsid w:val="008675E0"/>
    <w:rsid w:val="00867CC4"/>
    <w:rsid w:val="008708BA"/>
    <w:rsid w:val="00870977"/>
    <w:rsid w:val="00870A99"/>
    <w:rsid w:val="0087106A"/>
    <w:rsid w:val="008710A9"/>
    <w:rsid w:val="0087167C"/>
    <w:rsid w:val="0087177F"/>
    <w:rsid w:val="00871ED3"/>
    <w:rsid w:val="008724CB"/>
    <w:rsid w:val="00872F8A"/>
    <w:rsid w:val="00873262"/>
    <w:rsid w:val="008733B2"/>
    <w:rsid w:val="00873507"/>
    <w:rsid w:val="00873593"/>
    <w:rsid w:val="0087370D"/>
    <w:rsid w:val="008737D5"/>
    <w:rsid w:val="00873A46"/>
    <w:rsid w:val="00873E40"/>
    <w:rsid w:val="008745B3"/>
    <w:rsid w:val="00874A83"/>
    <w:rsid w:val="008754CC"/>
    <w:rsid w:val="00875902"/>
    <w:rsid w:val="00875C26"/>
    <w:rsid w:val="008764A7"/>
    <w:rsid w:val="00876837"/>
    <w:rsid w:val="00876D5C"/>
    <w:rsid w:val="00876DDC"/>
    <w:rsid w:val="00876ED7"/>
    <w:rsid w:val="00876EE7"/>
    <w:rsid w:val="008770FD"/>
    <w:rsid w:val="008772FE"/>
    <w:rsid w:val="00877A61"/>
    <w:rsid w:val="00877C7D"/>
    <w:rsid w:val="00877F77"/>
    <w:rsid w:val="00880543"/>
    <w:rsid w:val="008811F7"/>
    <w:rsid w:val="0088180B"/>
    <w:rsid w:val="00881A38"/>
    <w:rsid w:val="00881ACC"/>
    <w:rsid w:val="00881BCD"/>
    <w:rsid w:val="00882324"/>
    <w:rsid w:val="00882586"/>
    <w:rsid w:val="008825C6"/>
    <w:rsid w:val="00882A4D"/>
    <w:rsid w:val="00882C58"/>
    <w:rsid w:val="00882E72"/>
    <w:rsid w:val="008830BC"/>
    <w:rsid w:val="008838F5"/>
    <w:rsid w:val="00883F2E"/>
    <w:rsid w:val="00884121"/>
    <w:rsid w:val="00884618"/>
    <w:rsid w:val="00884DF0"/>
    <w:rsid w:val="00884EB5"/>
    <w:rsid w:val="00885290"/>
    <w:rsid w:val="00885323"/>
    <w:rsid w:val="0088542A"/>
    <w:rsid w:val="0088584D"/>
    <w:rsid w:val="00885C2E"/>
    <w:rsid w:val="00885D1C"/>
    <w:rsid w:val="00885FBF"/>
    <w:rsid w:val="008863BA"/>
    <w:rsid w:val="0088693B"/>
    <w:rsid w:val="00886D39"/>
    <w:rsid w:val="00886D7F"/>
    <w:rsid w:val="00886F1E"/>
    <w:rsid w:val="00886F47"/>
    <w:rsid w:val="008876A3"/>
    <w:rsid w:val="00890142"/>
    <w:rsid w:val="00890166"/>
    <w:rsid w:val="008906CF"/>
    <w:rsid w:val="00891930"/>
    <w:rsid w:val="00891B41"/>
    <w:rsid w:val="00891F40"/>
    <w:rsid w:val="008927AE"/>
    <w:rsid w:val="00892905"/>
    <w:rsid w:val="00892D42"/>
    <w:rsid w:val="008938F1"/>
    <w:rsid w:val="00893E18"/>
    <w:rsid w:val="0089427B"/>
    <w:rsid w:val="00894463"/>
    <w:rsid w:val="00895705"/>
    <w:rsid w:val="0089576E"/>
    <w:rsid w:val="00895C39"/>
    <w:rsid w:val="00895D5E"/>
    <w:rsid w:val="00895F83"/>
    <w:rsid w:val="00896109"/>
    <w:rsid w:val="00896596"/>
    <w:rsid w:val="0089666C"/>
    <w:rsid w:val="00896965"/>
    <w:rsid w:val="00896AC6"/>
    <w:rsid w:val="008970FD"/>
    <w:rsid w:val="0089765B"/>
    <w:rsid w:val="00897AB8"/>
    <w:rsid w:val="008A047E"/>
    <w:rsid w:val="008A0D65"/>
    <w:rsid w:val="008A0F48"/>
    <w:rsid w:val="008A1517"/>
    <w:rsid w:val="008A1F57"/>
    <w:rsid w:val="008A2978"/>
    <w:rsid w:val="008A2B07"/>
    <w:rsid w:val="008A355D"/>
    <w:rsid w:val="008A3C55"/>
    <w:rsid w:val="008A4280"/>
    <w:rsid w:val="008A479F"/>
    <w:rsid w:val="008A4A26"/>
    <w:rsid w:val="008A4E1A"/>
    <w:rsid w:val="008A4F8A"/>
    <w:rsid w:val="008A5123"/>
    <w:rsid w:val="008A550A"/>
    <w:rsid w:val="008A577A"/>
    <w:rsid w:val="008A5B8C"/>
    <w:rsid w:val="008A5CBA"/>
    <w:rsid w:val="008A65D2"/>
    <w:rsid w:val="008A6737"/>
    <w:rsid w:val="008A7937"/>
    <w:rsid w:val="008A7D36"/>
    <w:rsid w:val="008B0C2C"/>
    <w:rsid w:val="008B0FE5"/>
    <w:rsid w:val="008B126B"/>
    <w:rsid w:val="008B135F"/>
    <w:rsid w:val="008B166E"/>
    <w:rsid w:val="008B16F0"/>
    <w:rsid w:val="008B170F"/>
    <w:rsid w:val="008B178A"/>
    <w:rsid w:val="008B17D3"/>
    <w:rsid w:val="008B1978"/>
    <w:rsid w:val="008B1A44"/>
    <w:rsid w:val="008B1D84"/>
    <w:rsid w:val="008B2102"/>
    <w:rsid w:val="008B260A"/>
    <w:rsid w:val="008B2727"/>
    <w:rsid w:val="008B2A12"/>
    <w:rsid w:val="008B30F4"/>
    <w:rsid w:val="008B3574"/>
    <w:rsid w:val="008B3623"/>
    <w:rsid w:val="008B42EB"/>
    <w:rsid w:val="008B479B"/>
    <w:rsid w:val="008B4A20"/>
    <w:rsid w:val="008B5387"/>
    <w:rsid w:val="008B5C5C"/>
    <w:rsid w:val="008B68EC"/>
    <w:rsid w:val="008B6B0E"/>
    <w:rsid w:val="008B6BDB"/>
    <w:rsid w:val="008B7E16"/>
    <w:rsid w:val="008C038B"/>
    <w:rsid w:val="008C08E1"/>
    <w:rsid w:val="008C0E05"/>
    <w:rsid w:val="008C0E5E"/>
    <w:rsid w:val="008C13BE"/>
    <w:rsid w:val="008C14D2"/>
    <w:rsid w:val="008C258A"/>
    <w:rsid w:val="008C28E3"/>
    <w:rsid w:val="008C2AF9"/>
    <w:rsid w:val="008C304F"/>
    <w:rsid w:val="008C3E58"/>
    <w:rsid w:val="008C41DC"/>
    <w:rsid w:val="008C478C"/>
    <w:rsid w:val="008C4B4D"/>
    <w:rsid w:val="008C4F4E"/>
    <w:rsid w:val="008C4F8E"/>
    <w:rsid w:val="008C5909"/>
    <w:rsid w:val="008C5A9D"/>
    <w:rsid w:val="008C5CE6"/>
    <w:rsid w:val="008C6053"/>
    <w:rsid w:val="008C6826"/>
    <w:rsid w:val="008C723E"/>
    <w:rsid w:val="008C73A1"/>
    <w:rsid w:val="008C7BB7"/>
    <w:rsid w:val="008C7D17"/>
    <w:rsid w:val="008D00E8"/>
    <w:rsid w:val="008D0BA9"/>
    <w:rsid w:val="008D0D61"/>
    <w:rsid w:val="008D0F91"/>
    <w:rsid w:val="008D10B0"/>
    <w:rsid w:val="008D18CB"/>
    <w:rsid w:val="008D1998"/>
    <w:rsid w:val="008D1FC8"/>
    <w:rsid w:val="008D2054"/>
    <w:rsid w:val="008D20FB"/>
    <w:rsid w:val="008D2617"/>
    <w:rsid w:val="008D2D1B"/>
    <w:rsid w:val="008D305B"/>
    <w:rsid w:val="008D37DC"/>
    <w:rsid w:val="008D3B80"/>
    <w:rsid w:val="008D41E4"/>
    <w:rsid w:val="008D5613"/>
    <w:rsid w:val="008D5F6F"/>
    <w:rsid w:val="008D673C"/>
    <w:rsid w:val="008D6914"/>
    <w:rsid w:val="008D6B17"/>
    <w:rsid w:val="008D7177"/>
    <w:rsid w:val="008D745F"/>
    <w:rsid w:val="008D7684"/>
    <w:rsid w:val="008D784B"/>
    <w:rsid w:val="008D794E"/>
    <w:rsid w:val="008E0660"/>
    <w:rsid w:val="008E0710"/>
    <w:rsid w:val="008E09DE"/>
    <w:rsid w:val="008E1331"/>
    <w:rsid w:val="008E248C"/>
    <w:rsid w:val="008E2869"/>
    <w:rsid w:val="008E36B1"/>
    <w:rsid w:val="008E3BCC"/>
    <w:rsid w:val="008E426D"/>
    <w:rsid w:val="008E43AE"/>
    <w:rsid w:val="008E466E"/>
    <w:rsid w:val="008E46E1"/>
    <w:rsid w:val="008E49E7"/>
    <w:rsid w:val="008E4F45"/>
    <w:rsid w:val="008E4FA4"/>
    <w:rsid w:val="008E5887"/>
    <w:rsid w:val="008E5BDA"/>
    <w:rsid w:val="008E5D08"/>
    <w:rsid w:val="008E6833"/>
    <w:rsid w:val="008E693D"/>
    <w:rsid w:val="008E6D7E"/>
    <w:rsid w:val="008E75AA"/>
    <w:rsid w:val="008E7E04"/>
    <w:rsid w:val="008E7EBC"/>
    <w:rsid w:val="008F01EF"/>
    <w:rsid w:val="008F10F4"/>
    <w:rsid w:val="008F136B"/>
    <w:rsid w:val="008F1519"/>
    <w:rsid w:val="008F1604"/>
    <w:rsid w:val="008F1DF9"/>
    <w:rsid w:val="008F22AD"/>
    <w:rsid w:val="008F24CE"/>
    <w:rsid w:val="008F26B5"/>
    <w:rsid w:val="008F26C3"/>
    <w:rsid w:val="008F2A18"/>
    <w:rsid w:val="008F2BE9"/>
    <w:rsid w:val="008F3041"/>
    <w:rsid w:val="008F30FF"/>
    <w:rsid w:val="008F33CC"/>
    <w:rsid w:val="008F3CEA"/>
    <w:rsid w:val="008F3EB4"/>
    <w:rsid w:val="008F4125"/>
    <w:rsid w:val="008F4BA9"/>
    <w:rsid w:val="008F4E20"/>
    <w:rsid w:val="008F4F49"/>
    <w:rsid w:val="008F517C"/>
    <w:rsid w:val="008F64F8"/>
    <w:rsid w:val="008F6B1B"/>
    <w:rsid w:val="008F71F3"/>
    <w:rsid w:val="008F76B7"/>
    <w:rsid w:val="008F7B62"/>
    <w:rsid w:val="009000CE"/>
    <w:rsid w:val="0090024F"/>
    <w:rsid w:val="00900632"/>
    <w:rsid w:val="0090092E"/>
    <w:rsid w:val="00900FEF"/>
    <w:rsid w:val="00901499"/>
    <w:rsid w:val="00901A61"/>
    <w:rsid w:val="00901AB3"/>
    <w:rsid w:val="00901CC4"/>
    <w:rsid w:val="00901FBC"/>
    <w:rsid w:val="009026DD"/>
    <w:rsid w:val="009029C1"/>
    <w:rsid w:val="00902E3B"/>
    <w:rsid w:val="00903289"/>
    <w:rsid w:val="00903471"/>
    <w:rsid w:val="00903481"/>
    <w:rsid w:val="009035B8"/>
    <w:rsid w:val="00904115"/>
    <w:rsid w:val="00904552"/>
    <w:rsid w:val="00904803"/>
    <w:rsid w:val="00904E79"/>
    <w:rsid w:val="00905A02"/>
    <w:rsid w:val="00905BF7"/>
    <w:rsid w:val="00906142"/>
    <w:rsid w:val="00906644"/>
    <w:rsid w:val="00906772"/>
    <w:rsid w:val="009069B2"/>
    <w:rsid w:val="00906D12"/>
    <w:rsid w:val="009077E8"/>
    <w:rsid w:val="00907ABF"/>
    <w:rsid w:val="00907BD9"/>
    <w:rsid w:val="00910046"/>
    <w:rsid w:val="009102EA"/>
    <w:rsid w:val="00910661"/>
    <w:rsid w:val="009108DF"/>
    <w:rsid w:val="00910B25"/>
    <w:rsid w:val="00910C8A"/>
    <w:rsid w:val="009110BD"/>
    <w:rsid w:val="00911D4E"/>
    <w:rsid w:val="00911E33"/>
    <w:rsid w:val="00912136"/>
    <w:rsid w:val="009123A5"/>
    <w:rsid w:val="00912B49"/>
    <w:rsid w:val="0091308C"/>
    <w:rsid w:val="00913426"/>
    <w:rsid w:val="00914540"/>
    <w:rsid w:val="00914665"/>
    <w:rsid w:val="00914B59"/>
    <w:rsid w:val="00914BFC"/>
    <w:rsid w:val="009154BD"/>
    <w:rsid w:val="00915A54"/>
    <w:rsid w:val="00915DB2"/>
    <w:rsid w:val="009160CA"/>
    <w:rsid w:val="0091692A"/>
    <w:rsid w:val="00920146"/>
    <w:rsid w:val="009206EF"/>
    <w:rsid w:val="00920FB0"/>
    <w:rsid w:val="009210A3"/>
    <w:rsid w:val="00921184"/>
    <w:rsid w:val="009211D7"/>
    <w:rsid w:val="00921320"/>
    <w:rsid w:val="0092176B"/>
    <w:rsid w:val="00921818"/>
    <w:rsid w:val="00921B55"/>
    <w:rsid w:val="00921F2F"/>
    <w:rsid w:val="009226E9"/>
    <w:rsid w:val="00922816"/>
    <w:rsid w:val="009229C3"/>
    <w:rsid w:val="009229EC"/>
    <w:rsid w:val="00922C44"/>
    <w:rsid w:val="00922CA9"/>
    <w:rsid w:val="00922D1A"/>
    <w:rsid w:val="00922ED8"/>
    <w:rsid w:val="00922F42"/>
    <w:rsid w:val="009237C0"/>
    <w:rsid w:val="009237F4"/>
    <w:rsid w:val="00923C30"/>
    <w:rsid w:val="0092419F"/>
    <w:rsid w:val="00924721"/>
    <w:rsid w:val="00924953"/>
    <w:rsid w:val="009255D8"/>
    <w:rsid w:val="009257C8"/>
    <w:rsid w:val="009259CA"/>
    <w:rsid w:val="00925D1C"/>
    <w:rsid w:val="00925D39"/>
    <w:rsid w:val="00926633"/>
    <w:rsid w:val="009269F3"/>
    <w:rsid w:val="00926C5D"/>
    <w:rsid w:val="00927A4A"/>
    <w:rsid w:val="00927B36"/>
    <w:rsid w:val="00930257"/>
    <w:rsid w:val="00930733"/>
    <w:rsid w:val="009312FA"/>
    <w:rsid w:val="0093151D"/>
    <w:rsid w:val="00931C25"/>
    <w:rsid w:val="00931D02"/>
    <w:rsid w:val="00931F18"/>
    <w:rsid w:val="00932225"/>
    <w:rsid w:val="009324C7"/>
    <w:rsid w:val="0093260B"/>
    <w:rsid w:val="00932F6D"/>
    <w:rsid w:val="0093309F"/>
    <w:rsid w:val="00933550"/>
    <w:rsid w:val="0093375D"/>
    <w:rsid w:val="009337E0"/>
    <w:rsid w:val="00933C16"/>
    <w:rsid w:val="00933C60"/>
    <w:rsid w:val="00933E32"/>
    <w:rsid w:val="00933E80"/>
    <w:rsid w:val="00934115"/>
    <w:rsid w:val="00934598"/>
    <w:rsid w:val="009347F7"/>
    <w:rsid w:val="00934BF0"/>
    <w:rsid w:val="00935072"/>
    <w:rsid w:val="00935212"/>
    <w:rsid w:val="00935367"/>
    <w:rsid w:val="00935626"/>
    <w:rsid w:val="00935954"/>
    <w:rsid w:val="00936195"/>
    <w:rsid w:val="0093619D"/>
    <w:rsid w:val="009362DE"/>
    <w:rsid w:val="00936C2D"/>
    <w:rsid w:val="00937111"/>
    <w:rsid w:val="00937608"/>
    <w:rsid w:val="0093785F"/>
    <w:rsid w:val="00937CE6"/>
    <w:rsid w:val="00937FF8"/>
    <w:rsid w:val="009405D8"/>
    <w:rsid w:val="009408CC"/>
    <w:rsid w:val="00940BB9"/>
    <w:rsid w:val="00941787"/>
    <w:rsid w:val="00941AD1"/>
    <w:rsid w:val="00942039"/>
    <w:rsid w:val="00942943"/>
    <w:rsid w:val="00942A86"/>
    <w:rsid w:val="00942C88"/>
    <w:rsid w:val="00942E2B"/>
    <w:rsid w:val="00943319"/>
    <w:rsid w:val="00943A41"/>
    <w:rsid w:val="00943C7F"/>
    <w:rsid w:val="00944269"/>
    <w:rsid w:val="00944A0E"/>
    <w:rsid w:val="00944CE7"/>
    <w:rsid w:val="00945278"/>
    <w:rsid w:val="00945490"/>
    <w:rsid w:val="0094592E"/>
    <w:rsid w:val="00945C3F"/>
    <w:rsid w:val="00945E43"/>
    <w:rsid w:val="009462FD"/>
    <w:rsid w:val="00947273"/>
    <w:rsid w:val="00947546"/>
    <w:rsid w:val="0094794F"/>
    <w:rsid w:val="009479C6"/>
    <w:rsid w:val="00947B84"/>
    <w:rsid w:val="00947F04"/>
    <w:rsid w:val="00950585"/>
    <w:rsid w:val="00950805"/>
    <w:rsid w:val="00950D99"/>
    <w:rsid w:val="009513A3"/>
    <w:rsid w:val="009519E5"/>
    <w:rsid w:val="00951C29"/>
    <w:rsid w:val="009524D3"/>
    <w:rsid w:val="009526C3"/>
    <w:rsid w:val="00952805"/>
    <w:rsid w:val="00952AED"/>
    <w:rsid w:val="0095318B"/>
    <w:rsid w:val="0095382A"/>
    <w:rsid w:val="00953ABA"/>
    <w:rsid w:val="00953CF5"/>
    <w:rsid w:val="00954011"/>
    <w:rsid w:val="00954772"/>
    <w:rsid w:val="009547D6"/>
    <w:rsid w:val="0095486E"/>
    <w:rsid w:val="00954B57"/>
    <w:rsid w:val="00954B5C"/>
    <w:rsid w:val="00954BF3"/>
    <w:rsid w:val="00955696"/>
    <w:rsid w:val="00956740"/>
    <w:rsid w:val="00956AE6"/>
    <w:rsid w:val="00957130"/>
    <w:rsid w:val="00957277"/>
    <w:rsid w:val="009576A3"/>
    <w:rsid w:val="00957892"/>
    <w:rsid w:val="00957919"/>
    <w:rsid w:val="0095799D"/>
    <w:rsid w:val="00957D54"/>
    <w:rsid w:val="0096012F"/>
    <w:rsid w:val="009601A2"/>
    <w:rsid w:val="009604BD"/>
    <w:rsid w:val="009604DE"/>
    <w:rsid w:val="00960929"/>
    <w:rsid w:val="0096109E"/>
    <w:rsid w:val="009619C3"/>
    <w:rsid w:val="00961AE0"/>
    <w:rsid w:val="00961E6E"/>
    <w:rsid w:val="0096276B"/>
    <w:rsid w:val="00962857"/>
    <w:rsid w:val="00963B76"/>
    <w:rsid w:val="00963E7D"/>
    <w:rsid w:val="009640DF"/>
    <w:rsid w:val="00964BC6"/>
    <w:rsid w:val="00964CE4"/>
    <w:rsid w:val="0096529F"/>
    <w:rsid w:val="009654C1"/>
    <w:rsid w:val="0096559B"/>
    <w:rsid w:val="00965717"/>
    <w:rsid w:val="00965BDD"/>
    <w:rsid w:val="00965C09"/>
    <w:rsid w:val="0096636B"/>
    <w:rsid w:val="009663AE"/>
    <w:rsid w:val="009664BA"/>
    <w:rsid w:val="0096658E"/>
    <w:rsid w:val="009667CF"/>
    <w:rsid w:val="00967738"/>
    <w:rsid w:val="00967AC7"/>
    <w:rsid w:val="00967B56"/>
    <w:rsid w:val="009705FA"/>
    <w:rsid w:val="0097079E"/>
    <w:rsid w:val="009707E6"/>
    <w:rsid w:val="0097087C"/>
    <w:rsid w:val="00970D85"/>
    <w:rsid w:val="00970E57"/>
    <w:rsid w:val="00971028"/>
    <w:rsid w:val="0097141D"/>
    <w:rsid w:val="009714D6"/>
    <w:rsid w:val="009714D9"/>
    <w:rsid w:val="00971ADD"/>
    <w:rsid w:val="00971B3E"/>
    <w:rsid w:val="009723A0"/>
    <w:rsid w:val="00972BB2"/>
    <w:rsid w:val="00972F45"/>
    <w:rsid w:val="00973837"/>
    <w:rsid w:val="00973AF0"/>
    <w:rsid w:val="0097403B"/>
    <w:rsid w:val="0097459C"/>
    <w:rsid w:val="00974B08"/>
    <w:rsid w:val="00974D44"/>
    <w:rsid w:val="00974E67"/>
    <w:rsid w:val="00975083"/>
    <w:rsid w:val="0097534A"/>
    <w:rsid w:val="009759FA"/>
    <w:rsid w:val="00975C19"/>
    <w:rsid w:val="00976094"/>
    <w:rsid w:val="0097612D"/>
    <w:rsid w:val="009761A2"/>
    <w:rsid w:val="00976327"/>
    <w:rsid w:val="00976CCC"/>
    <w:rsid w:val="0097722F"/>
    <w:rsid w:val="00977400"/>
    <w:rsid w:val="00977935"/>
    <w:rsid w:val="00977AA9"/>
    <w:rsid w:val="00977EAC"/>
    <w:rsid w:val="0098060C"/>
    <w:rsid w:val="00980E20"/>
    <w:rsid w:val="00980E9F"/>
    <w:rsid w:val="00981458"/>
    <w:rsid w:val="0098164F"/>
    <w:rsid w:val="00981721"/>
    <w:rsid w:val="0098184A"/>
    <w:rsid w:val="00981E91"/>
    <w:rsid w:val="009820CA"/>
    <w:rsid w:val="009820FA"/>
    <w:rsid w:val="0098344D"/>
    <w:rsid w:val="00983699"/>
    <w:rsid w:val="009836FC"/>
    <w:rsid w:val="00983C0D"/>
    <w:rsid w:val="00983CB8"/>
    <w:rsid w:val="00984085"/>
    <w:rsid w:val="00985100"/>
    <w:rsid w:val="009851FE"/>
    <w:rsid w:val="00985CF6"/>
    <w:rsid w:val="00986D51"/>
    <w:rsid w:val="00986E16"/>
    <w:rsid w:val="0098782B"/>
    <w:rsid w:val="00987A15"/>
    <w:rsid w:val="00987A4E"/>
    <w:rsid w:val="00987E4A"/>
    <w:rsid w:val="00987E94"/>
    <w:rsid w:val="00990168"/>
    <w:rsid w:val="0099056A"/>
    <w:rsid w:val="00990730"/>
    <w:rsid w:val="009908D8"/>
    <w:rsid w:val="00991410"/>
    <w:rsid w:val="009914B8"/>
    <w:rsid w:val="00991A45"/>
    <w:rsid w:val="00991E8C"/>
    <w:rsid w:val="00991ECC"/>
    <w:rsid w:val="00991F1D"/>
    <w:rsid w:val="00992152"/>
    <w:rsid w:val="009924ED"/>
    <w:rsid w:val="0099288F"/>
    <w:rsid w:val="00992989"/>
    <w:rsid w:val="00992F20"/>
    <w:rsid w:val="0099416A"/>
    <w:rsid w:val="009941A2"/>
    <w:rsid w:val="009943BF"/>
    <w:rsid w:val="009945AB"/>
    <w:rsid w:val="00994D2E"/>
    <w:rsid w:val="009953D1"/>
    <w:rsid w:val="009956A4"/>
    <w:rsid w:val="00995792"/>
    <w:rsid w:val="00995944"/>
    <w:rsid w:val="009959C1"/>
    <w:rsid w:val="00995D99"/>
    <w:rsid w:val="009966E2"/>
    <w:rsid w:val="009967CE"/>
    <w:rsid w:val="00996BEF"/>
    <w:rsid w:val="00996F45"/>
    <w:rsid w:val="00997338"/>
    <w:rsid w:val="009974B8"/>
    <w:rsid w:val="00997A7A"/>
    <w:rsid w:val="00997A9A"/>
    <w:rsid w:val="009A02BE"/>
    <w:rsid w:val="009A0591"/>
    <w:rsid w:val="009A0695"/>
    <w:rsid w:val="009A1365"/>
    <w:rsid w:val="009A1564"/>
    <w:rsid w:val="009A1730"/>
    <w:rsid w:val="009A1B07"/>
    <w:rsid w:val="009A1BB4"/>
    <w:rsid w:val="009A2031"/>
    <w:rsid w:val="009A21B8"/>
    <w:rsid w:val="009A22BF"/>
    <w:rsid w:val="009A31CA"/>
    <w:rsid w:val="009A3C28"/>
    <w:rsid w:val="009A47F6"/>
    <w:rsid w:val="009A55F8"/>
    <w:rsid w:val="009A5C0D"/>
    <w:rsid w:val="009A5C59"/>
    <w:rsid w:val="009A5C72"/>
    <w:rsid w:val="009A5D81"/>
    <w:rsid w:val="009A5E06"/>
    <w:rsid w:val="009A5F2C"/>
    <w:rsid w:val="009A68B9"/>
    <w:rsid w:val="009A6900"/>
    <w:rsid w:val="009A6DF3"/>
    <w:rsid w:val="009A6E4F"/>
    <w:rsid w:val="009A73D5"/>
    <w:rsid w:val="009A750E"/>
    <w:rsid w:val="009B00B7"/>
    <w:rsid w:val="009B018A"/>
    <w:rsid w:val="009B07F4"/>
    <w:rsid w:val="009B09A6"/>
    <w:rsid w:val="009B0CC4"/>
    <w:rsid w:val="009B0DDE"/>
    <w:rsid w:val="009B0F57"/>
    <w:rsid w:val="009B0FB6"/>
    <w:rsid w:val="009B1DD6"/>
    <w:rsid w:val="009B2472"/>
    <w:rsid w:val="009B2660"/>
    <w:rsid w:val="009B2946"/>
    <w:rsid w:val="009B2AF2"/>
    <w:rsid w:val="009B3605"/>
    <w:rsid w:val="009B433B"/>
    <w:rsid w:val="009B4500"/>
    <w:rsid w:val="009B4998"/>
    <w:rsid w:val="009B4C45"/>
    <w:rsid w:val="009B4C78"/>
    <w:rsid w:val="009B4F8C"/>
    <w:rsid w:val="009B59BD"/>
    <w:rsid w:val="009B5D2C"/>
    <w:rsid w:val="009B5F56"/>
    <w:rsid w:val="009B6B05"/>
    <w:rsid w:val="009B75B2"/>
    <w:rsid w:val="009B7CB1"/>
    <w:rsid w:val="009C0242"/>
    <w:rsid w:val="009C0653"/>
    <w:rsid w:val="009C0A04"/>
    <w:rsid w:val="009C0E97"/>
    <w:rsid w:val="009C1030"/>
    <w:rsid w:val="009C1131"/>
    <w:rsid w:val="009C179A"/>
    <w:rsid w:val="009C1F5F"/>
    <w:rsid w:val="009C2DC0"/>
    <w:rsid w:val="009C2E13"/>
    <w:rsid w:val="009C32C2"/>
    <w:rsid w:val="009C338F"/>
    <w:rsid w:val="009C36B8"/>
    <w:rsid w:val="009C408D"/>
    <w:rsid w:val="009C4174"/>
    <w:rsid w:val="009C4212"/>
    <w:rsid w:val="009C423F"/>
    <w:rsid w:val="009C4546"/>
    <w:rsid w:val="009C46A0"/>
    <w:rsid w:val="009C4A0A"/>
    <w:rsid w:val="009C5074"/>
    <w:rsid w:val="009C55F8"/>
    <w:rsid w:val="009C5761"/>
    <w:rsid w:val="009C614C"/>
    <w:rsid w:val="009C625C"/>
    <w:rsid w:val="009C6268"/>
    <w:rsid w:val="009C67CC"/>
    <w:rsid w:val="009C697C"/>
    <w:rsid w:val="009C6E29"/>
    <w:rsid w:val="009C74A4"/>
    <w:rsid w:val="009C7712"/>
    <w:rsid w:val="009C7761"/>
    <w:rsid w:val="009C7B0A"/>
    <w:rsid w:val="009C7C01"/>
    <w:rsid w:val="009C7FDE"/>
    <w:rsid w:val="009D0205"/>
    <w:rsid w:val="009D12BC"/>
    <w:rsid w:val="009D16EE"/>
    <w:rsid w:val="009D17C7"/>
    <w:rsid w:val="009D1957"/>
    <w:rsid w:val="009D1958"/>
    <w:rsid w:val="009D2665"/>
    <w:rsid w:val="009D2734"/>
    <w:rsid w:val="009D3560"/>
    <w:rsid w:val="009D3779"/>
    <w:rsid w:val="009D3793"/>
    <w:rsid w:val="009D3831"/>
    <w:rsid w:val="009D3875"/>
    <w:rsid w:val="009D3E7F"/>
    <w:rsid w:val="009D3EB1"/>
    <w:rsid w:val="009D58D4"/>
    <w:rsid w:val="009D5CF5"/>
    <w:rsid w:val="009D5F3D"/>
    <w:rsid w:val="009D62E1"/>
    <w:rsid w:val="009D63A0"/>
    <w:rsid w:val="009D64D7"/>
    <w:rsid w:val="009D6541"/>
    <w:rsid w:val="009D654F"/>
    <w:rsid w:val="009D6964"/>
    <w:rsid w:val="009D6A76"/>
    <w:rsid w:val="009D6E37"/>
    <w:rsid w:val="009D70BF"/>
    <w:rsid w:val="009D718D"/>
    <w:rsid w:val="009D78BF"/>
    <w:rsid w:val="009D7A3D"/>
    <w:rsid w:val="009D7C41"/>
    <w:rsid w:val="009D7DA6"/>
    <w:rsid w:val="009E0305"/>
    <w:rsid w:val="009E05A3"/>
    <w:rsid w:val="009E071E"/>
    <w:rsid w:val="009E0756"/>
    <w:rsid w:val="009E07AC"/>
    <w:rsid w:val="009E0D75"/>
    <w:rsid w:val="009E16F2"/>
    <w:rsid w:val="009E1893"/>
    <w:rsid w:val="009E22D5"/>
    <w:rsid w:val="009E2DDB"/>
    <w:rsid w:val="009E2E20"/>
    <w:rsid w:val="009E336F"/>
    <w:rsid w:val="009E340A"/>
    <w:rsid w:val="009E3729"/>
    <w:rsid w:val="009E396C"/>
    <w:rsid w:val="009E4238"/>
    <w:rsid w:val="009E4266"/>
    <w:rsid w:val="009E45CC"/>
    <w:rsid w:val="009E47E4"/>
    <w:rsid w:val="009E49E4"/>
    <w:rsid w:val="009E4FE3"/>
    <w:rsid w:val="009E53EC"/>
    <w:rsid w:val="009E5723"/>
    <w:rsid w:val="009E57FA"/>
    <w:rsid w:val="009E59B0"/>
    <w:rsid w:val="009E5AE1"/>
    <w:rsid w:val="009E6109"/>
    <w:rsid w:val="009E628E"/>
    <w:rsid w:val="009E62E7"/>
    <w:rsid w:val="009E684B"/>
    <w:rsid w:val="009E6A34"/>
    <w:rsid w:val="009E6F4E"/>
    <w:rsid w:val="009E762F"/>
    <w:rsid w:val="009E77CB"/>
    <w:rsid w:val="009E7DB9"/>
    <w:rsid w:val="009E7EBB"/>
    <w:rsid w:val="009E7FF1"/>
    <w:rsid w:val="009F0000"/>
    <w:rsid w:val="009F01B1"/>
    <w:rsid w:val="009F0217"/>
    <w:rsid w:val="009F0256"/>
    <w:rsid w:val="009F06E1"/>
    <w:rsid w:val="009F0AB5"/>
    <w:rsid w:val="009F0B26"/>
    <w:rsid w:val="009F0FFC"/>
    <w:rsid w:val="009F1D83"/>
    <w:rsid w:val="009F1DAC"/>
    <w:rsid w:val="009F1F2B"/>
    <w:rsid w:val="009F20A8"/>
    <w:rsid w:val="009F2209"/>
    <w:rsid w:val="009F26F9"/>
    <w:rsid w:val="009F375E"/>
    <w:rsid w:val="009F3D25"/>
    <w:rsid w:val="009F44B4"/>
    <w:rsid w:val="009F457A"/>
    <w:rsid w:val="009F4B6A"/>
    <w:rsid w:val="009F4EF2"/>
    <w:rsid w:val="009F4FC8"/>
    <w:rsid w:val="009F5197"/>
    <w:rsid w:val="009F68DC"/>
    <w:rsid w:val="009F6D7E"/>
    <w:rsid w:val="009F71CE"/>
    <w:rsid w:val="009F778F"/>
    <w:rsid w:val="009F78ED"/>
    <w:rsid w:val="00A00BD7"/>
    <w:rsid w:val="00A00C54"/>
    <w:rsid w:val="00A013C9"/>
    <w:rsid w:val="00A018C5"/>
    <w:rsid w:val="00A01A6D"/>
    <w:rsid w:val="00A01AC4"/>
    <w:rsid w:val="00A01F80"/>
    <w:rsid w:val="00A02064"/>
    <w:rsid w:val="00A024C1"/>
    <w:rsid w:val="00A02670"/>
    <w:rsid w:val="00A028A4"/>
    <w:rsid w:val="00A02A9F"/>
    <w:rsid w:val="00A02AF7"/>
    <w:rsid w:val="00A031D2"/>
    <w:rsid w:val="00A03961"/>
    <w:rsid w:val="00A03ABB"/>
    <w:rsid w:val="00A03E3B"/>
    <w:rsid w:val="00A04144"/>
    <w:rsid w:val="00A04690"/>
    <w:rsid w:val="00A0474A"/>
    <w:rsid w:val="00A049E4"/>
    <w:rsid w:val="00A04BFB"/>
    <w:rsid w:val="00A04E1B"/>
    <w:rsid w:val="00A05542"/>
    <w:rsid w:val="00A0561E"/>
    <w:rsid w:val="00A05860"/>
    <w:rsid w:val="00A05A0B"/>
    <w:rsid w:val="00A05F3F"/>
    <w:rsid w:val="00A060C5"/>
    <w:rsid w:val="00A06965"/>
    <w:rsid w:val="00A06D07"/>
    <w:rsid w:val="00A071FF"/>
    <w:rsid w:val="00A07F85"/>
    <w:rsid w:val="00A1019E"/>
    <w:rsid w:val="00A10A3B"/>
    <w:rsid w:val="00A115A1"/>
    <w:rsid w:val="00A11D91"/>
    <w:rsid w:val="00A123AF"/>
    <w:rsid w:val="00A12897"/>
    <w:rsid w:val="00A12C7B"/>
    <w:rsid w:val="00A135BC"/>
    <w:rsid w:val="00A148E6"/>
    <w:rsid w:val="00A14B63"/>
    <w:rsid w:val="00A14D62"/>
    <w:rsid w:val="00A15184"/>
    <w:rsid w:val="00A15352"/>
    <w:rsid w:val="00A15C4C"/>
    <w:rsid w:val="00A15CC3"/>
    <w:rsid w:val="00A15CC4"/>
    <w:rsid w:val="00A15D5E"/>
    <w:rsid w:val="00A15DE6"/>
    <w:rsid w:val="00A160D3"/>
    <w:rsid w:val="00A16CA4"/>
    <w:rsid w:val="00A17423"/>
    <w:rsid w:val="00A17A1F"/>
    <w:rsid w:val="00A17D6F"/>
    <w:rsid w:val="00A20314"/>
    <w:rsid w:val="00A20AE3"/>
    <w:rsid w:val="00A210A1"/>
    <w:rsid w:val="00A21135"/>
    <w:rsid w:val="00A2149F"/>
    <w:rsid w:val="00A214EE"/>
    <w:rsid w:val="00A21993"/>
    <w:rsid w:val="00A21C14"/>
    <w:rsid w:val="00A21F1A"/>
    <w:rsid w:val="00A220AB"/>
    <w:rsid w:val="00A22350"/>
    <w:rsid w:val="00A22E37"/>
    <w:rsid w:val="00A2344A"/>
    <w:rsid w:val="00A23A85"/>
    <w:rsid w:val="00A2408F"/>
    <w:rsid w:val="00A2413C"/>
    <w:rsid w:val="00A24420"/>
    <w:rsid w:val="00A247A6"/>
    <w:rsid w:val="00A24EDC"/>
    <w:rsid w:val="00A25A0F"/>
    <w:rsid w:val="00A25A77"/>
    <w:rsid w:val="00A25FFB"/>
    <w:rsid w:val="00A267D9"/>
    <w:rsid w:val="00A26A68"/>
    <w:rsid w:val="00A26F4D"/>
    <w:rsid w:val="00A2720B"/>
    <w:rsid w:val="00A27519"/>
    <w:rsid w:val="00A275E9"/>
    <w:rsid w:val="00A27AE3"/>
    <w:rsid w:val="00A27D60"/>
    <w:rsid w:val="00A27F5D"/>
    <w:rsid w:val="00A30AEC"/>
    <w:rsid w:val="00A30EB1"/>
    <w:rsid w:val="00A31667"/>
    <w:rsid w:val="00A31F91"/>
    <w:rsid w:val="00A320E4"/>
    <w:rsid w:val="00A32863"/>
    <w:rsid w:val="00A33595"/>
    <w:rsid w:val="00A3377F"/>
    <w:rsid w:val="00A337C6"/>
    <w:rsid w:val="00A33D9A"/>
    <w:rsid w:val="00A3437A"/>
    <w:rsid w:val="00A34859"/>
    <w:rsid w:val="00A34BF9"/>
    <w:rsid w:val="00A34DCE"/>
    <w:rsid w:val="00A34E89"/>
    <w:rsid w:val="00A35691"/>
    <w:rsid w:val="00A356AE"/>
    <w:rsid w:val="00A35EAD"/>
    <w:rsid w:val="00A3626D"/>
    <w:rsid w:val="00A362F3"/>
    <w:rsid w:val="00A3665E"/>
    <w:rsid w:val="00A36B36"/>
    <w:rsid w:val="00A36D19"/>
    <w:rsid w:val="00A37079"/>
    <w:rsid w:val="00A37C6E"/>
    <w:rsid w:val="00A404F9"/>
    <w:rsid w:val="00A40D62"/>
    <w:rsid w:val="00A40E71"/>
    <w:rsid w:val="00A41851"/>
    <w:rsid w:val="00A41A96"/>
    <w:rsid w:val="00A41AAE"/>
    <w:rsid w:val="00A41C90"/>
    <w:rsid w:val="00A423E4"/>
    <w:rsid w:val="00A42EA0"/>
    <w:rsid w:val="00A43099"/>
    <w:rsid w:val="00A432CA"/>
    <w:rsid w:val="00A43381"/>
    <w:rsid w:val="00A43926"/>
    <w:rsid w:val="00A43A3C"/>
    <w:rsid w:val="00A43D00"/>
    <w:rsid w:val="00A43D7F"/>
    <w:rsid w:val="00A440AE"/>
    <w:rsid w:val="00A4467F"/>
    <w:rsid w:val="00A45399"/>
    <w:rsid w:val="00A4561C"/>
    <w:rsid w:val="00A46212"/>
    <w:rsid w:val="00A46E3D"/>
    <w:rsid w:val="00A46E60"/>
    <w:rsid w:val="00A47939"/>
    <w:rsid w:val="00A47ABC"/>
    <w:rsid w:val="00A47C14"/>
    <w:rsid w:val="00A47E72"/>
    <w:rsid w:val="00A50487"/>
    <w:rsid w:val="00A50848"/>
    <w:rsid w:val="00A50B2A"/>
    <w:rsid w:val="00A50C1F"/>
    <w:rsid w:val="00A50EB2"/>
    <w:rsid w:val="00A513C7"/>
    <w:rsid w:val="00A5281D"/>
    <w:rsid w:val="00A53384"/>
    <w:rsid w:val="00A534FD"/>
    <w:rsid w:val="00A53C18"/>
    <w:rsid w:val="00A53D82"/>
    <w:rsid w:val="00A54110"/>
    <w:rsid w:val="00A54A94"/>
    <w:rsid w:val="00A54B6D"/>
    <w:rsid w:val="00A54C02"/>
    <w:rsid w:val="00A54E3F"/>
    <w:rsid w:val="00A5524E"/>
    <w:rsid w:val="00A5587E"/>
    <w:rsid w:val="00A55F84"/>
    <w:rsid w:val="00A5615B"/>
    <w:rsid w:val="00A561F5"/>
    <w:rsid w:val="00A56321"/>
    <w:rsid w:val="00A567A5"/>
    <w:rsid w:val="00A56F67"/>
    <w:rsid w:val="00A573A1"/>
    <w:rsid w:val="00A578FA"/>
    <w:rsid w:val="00A579CA"/>
    <w:rsid w:val="00A57B11"/>
    <w:rsid w:val="00A57CF0"/>
    <w:rsid w:val="00A600CC"/>
    <w:rsid w:val="00A6085A"/>
    <w:rsid w:val="00A6173F"/>
    <w:rsid w:val="00A618A8"/>
    <w:rsid w:val="00A61CE6"/>
    <w:rsid w:val="00A61D8B"/>
    <w:rsid w:val="00A6219B"/>
    <w:rsid w:val="00A63DD7"/>
    <w:rsid w:val="00A63FB3"/>
    <w:rsid w:val="00A6452C"/>
    <w:rsid w:val="00A648A4"/>
    <w:rsid w:val="00A64912"/>
    <w:rsid w:val="00A655B5"/>
    <w:rsid w:val="00A65B6D"/>
    <w:rsid w:val="00A668A9"/>
    <w:rsid w:val="00A67399"/>
    <w:rsid w:val="00A67433"/>
    <w:rsid w:val="00A674DD"/>
    <w:rsid w:val="00A675D6"/>
    <w:rsid w:val="00A70689"/>
    <w:rsid w:val="00A70876"/>
    <w:rsid w:val="00A708E7"/>
    <w:rsid w:val="00A71084"/>
    <w:rsid w:val="00A710C3"/>
    <w:rsid w:val="00A7127A"/>
    <w:rsid w:val="00A7183B"/>
    <w:rsid w:val="00A7199B"/>
    <w:rsid w:val="00A72821"/>
    <w:rsid w:val="00A73316"/>
    <w:rsid w:val="00A736A9"/>
    <w:rsid w:val="00A74402"/>
    <w:rsid w:val="00A74961"/>
    <w:rsid w:val="00A75C7F"/>
    <w:rsid w:val="00A76B12"/>
    <w:rsid w:val="00A76D60"/>
    <w:rsid w:val="00A77169"/>
    <w:rsid w:val="00A774A1"/>
    <w:rsid w:val="00A77739"/>
    <w:rsid w:val="00A77B0A"/>
    <w:rsid w:val="00A80489"/>
    <w:rsid w:val="00A80618"/>
    <w:rsid w:val="00A80CDB"/>
    <w:rsid w:val="00A81186"/>
    <w:rsid w:val="00A8125F"/>
    <w:rsid w:val="00A8132C"/>
    <w:rsid w:val="00A813C8"/>
    <w:rsid w:val="00A8141F"/>
    <w:rsid w:val="00A815DF"/>
    <w:rsid w:val="00A8169A"/>
    <w:rsid w:val="00A8199D"/>
    <w:rsid w:val="00A81B19"/>
    <w:rsid w:val="00A82AE4"/>
    <w:rsid w:val="00A82F61"/>
    <w:rsid w:val="00A83118"/>
    <w:rsid w:val="00A834E6"/>
    <w:rsid w:val="00A83605"/>
    <w:rsid w:val="00A83753"/>
    <w:rsid w:val="00A83863"/>
    <w:rsid w:val="00A83BFF"/>
    <w:rsid w:val="00A83C0F"/>
    <w:rsid w:val="00A8461D"/>
    <w:rsid w:val="00A848EA"/>
    <w:rsid w:val="00A84E19"/>
    <w:rsid w:val="00A84FEC"/>
    <w:rsid w:val="00A85475"/>
    <w:rsid w:val="00A854AD"/>
    <w:rsid w:val="00A855AB"/>
    <w:rsid w:val="00A85B18"/>
    <w:rsid w:val="00A85E37"/>
    <w:rsid w:val="00A861B4"/>
    <w:rsid w:val="00A8647C"/>
    <w:rsid w:val="00A866AA"/>
    <w:rsid w:val="00A86EB2"/>
    <w:rsid w:val="00A86ECF"/>
    <w:rsid w:val="00A87141"/>
    <w:rsid w:val="00A87999"/>
    <w:rsid w:val="00A879D9"/>
    <w:rsid w:val="00A87AE6"/>
    <w:rsid w:val="00A9029B"/>
    <w:rsid w:val="00A90761"/>
    <w:rsid w:val="00A90D4E"/>
    <w:rsid w:val="00A90DA2"/>
    <w:rsid w:val="00A90E60"/>
    <w:rsid w:val="00A9106A"/>
    <w:rsid w:val="00A911B1"/>
    <w:rsid w:val="00A9132A"/>
    <w:rsid w:val="00A918F1"/>
    <w:rsid w:val="00A91ABB"/>
    <w:rsid w:val="00A91B24"/>
    <w:rsid w:val="00A91D34"/>
    <w:rsid w:val="00A920A2"/>
    <w:rsid w:val="00A921D4"/>
    <w:rsid w:val="00A92713"/>
    <w:rsid w:val="00A93370"/>
    <w:rsid w:val="00A93802"/>
    <w:rsid w:val="00A944C8"/>
    <w:rsid w:val="00A94AED"/>
    <w:rsid w:val="00A94B42"/>
    <w:rsid w:val="00A94D3A"/>
    <w:rsid w:val="00A94EC7"/>
    <w:rsid w:val="00A94ECE"/>
    <w:rsid w:val="00A94FDA"/>
    <w:rsid w:val="00A95200"/>
    <w:rsid w:val="00A957FE"/>
    <w:rsid w:val="00A95C02"/>
    <w:rsid w:val="00A961B0"/>
    <w:rsid w:val="00A96359"/>
    <w:rsid w:val="00A969FB"/>
    <w:rsid w:val="00A96A2E"/>
    <w:rsid w:val="00A96BD2"/>
    <w:rsid w:val="00A974AD"/>
    <w:rsid w:val="00A9773B"/>
    <w:rsid w:val="00A977E5"/>
    <w:rsid w:val="00A979BE"/>
    <w:rsid w:val="00A97AF6"/>
    <w:rsid w:val="00AA04D2"/>
    <w:rsid w:val="00AA0CD9"/>
    <w:rsid w:val="00AA0ED9"/>
    <w:rsid w:val="00AA15E2"/>
    <w:rsid w:val="00AA1848"/>
    <w:rsid w:val="00AA1A9F"/>
    <w:rsid w:val="00AA1E1E"/>
    <w:rsid w:val="00AA20D8"/>
    <w:rsid w:val="00AA246F"/>
    <w:rsid w:val="00AA24CF"/>
    <w:rsid w:val="00AA29B7"/>
    <w:rsid w:val="00AA2AD3"/>
    <w:rsid w:val="00AA312B"/>
    <w:rsid w:val="00AA37BC"/>
    <w:rsid w:val="00AA3E9A"/>
    <w:rsid w:val="00AA3ED7"/>
    <w:rsid w:val="00AA3F94"/>
    <w:rsid w:val="00AA415C"/>
    <w:rsid w:val="00AA4259"/>
    <w:rsid w:val="00AA4AFA"/>
    <w:rsid w:val="00AA4BB5"/>
    <w:rsid w:val="00AA4C99"/>
    <w:rsid w:val="00AA4CA4"/>
    <w:rsid w:val="00AA5265"/>
    <w:rsid w:val="00AA54C5"/>
    <w:rsid w:val="00AA6292"/>
    <w:rsid w:val="00AA6630"/>
    <w:rsid w:val="00AA6896"/>
    <w:rsid w:val="00AA6BA9"/>
    <w:rsid w:val="00AA6D98"/>
    <w:rsid w:val="00AA7AD8"/>
    <w:rsid w:val="00AA7B48"/>
    <w:rsid w:val="00AA7CE0"/>
    <w:rsid w:val="00AB0078"/>
    <w:rsid w:val="00AB066B"/>
    <w:rsid w:val="00AB0C87"/>
    <w:rsid w:val="00AB0F79"/>
    <w:rsid w:val="00AB121B"/>
    <w:rsid w:val="00AB1B4B"/>
    <w:rsid w:val="00AB1CE1"/>
    <w:rsid w:val="00AB1E05"/>
    <w:rsid w:val="00AB1ED1"/>
    <w:rsid w:val="00AB1FD9"/>
    <w:rsid w:val="00AB2726"/>
    <w:rsid w:val="00AB2904"/>
    <w:rsid w:val="00AB2B0B"/>
    <w:rsid w:val="00AB3CB7"/>
    <w:rsid w:val="00AB3E6F"/>
    <w:rsid w:val="00AB416B"/>
    <w:rsid w:val="00AB47BF"/>
    <w:rsid w:val="00AB4E55"/>
    <w:rsid w:val="00AB4EBA"/>
    <w:rsid w:val="00AB53AB"/>
    <w:rsid w:val="00AB639B"/>
    <w:rsid w:val="00AB6724"/>
    <w:rsid w:val="00AB7675"/>
    <w:rsid w:val="00AB76B2"/>
    <w:rsid w:val="00AB76E8"/>
    <w:rsid w:val="00AB7A74"/>
    <w:rsid w:val="00AB7F55"/>
    <w:rsid w:val="00AC04E5"/>
    <w:rsid w:val="00AC13CE"/>
    <w:rsid w:val="00AC1852"/>
    <w:rsid w:val="00AC18A7"/>
    <w:rsid w:val="00AC1A12"/>
    <w:rsid w:val="00AC1C85"/>
    <w:rsid w:val="00AC1EA9"/>
    <w:rsid w:val="00AC217B"/>
    <w:rsid w:val="00AC227A"/>
    <w:rsid w:val="00AC25B8"/>
    <w:rsid w:val="00AC2AC8"/>
    <w:rsid w:val="00AC2B58"/>
    <w:rsid w:val="00AC2BBD"/>
    <w:rsid w:val="00AC30ED"/>
    <w:rsid w:val="00AC329A"/>
    <w:rsid w:val="00AC3622"/>
    <w:rsid w:val="00AC3A0E"/>
    <w:rsid w:val="00AC3C8E"/>
    <w:rsid w:val="00AC40DA"/>
    <w:rsid w:val="00AC4155"/>
    <w:rsid w:val="00AC43C6"/>
    <w:rsid w:val="00AC441E"/>
    <w:rsid w:val="00AC4503"/>
    <w:rsid w:val="00AC4B14"/>
    <w:rsid w:val="00AC4D58"/>
    <w:rsid w:val="00AC5794"/>
    <w:rsid w:val="00AC590F"/>
    <w:rsid w:val="00AC5DD3"/>
    <w:rsid w:val="00AC6140"/>
    <w:rsid w:val="00AC62E4"/>
    <w:rsid w:val="00AC6414"/>
    <w:rsid w:val="00AC67F1"/>
    <w:rsid w:val="00AC6A66"/>
    <w:rsid w:val="00AC6DF1"/>
    <w:rsid w:val="00AC71CA"/>
    <w:rsid w:val="00AC76AA"/>
    <w:rsid w:val="00AC77CB"/>
    <w:rsid w:val="00AC797E"/>
    <w:rsid w:val="00AD0289"/>
    <w:rsid w:val="00AD02BA"/>
    <w:rsid w:val="00AD0E3E"/>
    <w:rsid w:val="00AD0E9D"/>
    <w:rsid w:val="00AD13EE"/>
    <w:rsid w:val="00AD1440"/>
    <w:rsid w:val="00AD150F"/>
    <w:rsid w:val="00AD17BB"/>
    <w:rsid w:val="00AD1BE4"/>
    <w:rsid w:val="00AD2264"/>
    <w:rsid w:val="00AD2764"/>
    <w:rsid w:val="00AD2EF1"/>
    <w:rsid w:val="00AD343B"/>
    <w:rsid w:val="00AD34DE"/>
    <w:rsid w:val="00AD3650"/>
    <w:rsid w:val="00AD3814"/>
    <w:rsid w:val="00AD3975"/>
    <w:rsid w:val="00AD3AA3"/>
    <w:rsid w:val="00AD430A"/>
    <w:rsid w:val="00AD47D1"/>
    <w:rsid w:val="00AD4AD3"/>
    <w:rsid w:val="00AD5C95"/>
    <w:rsid w:val="00AD5ED5"/>
    <w:rsid w:val="00AD5F20"/>
    <w:rsid w:val="00AD6AE4"/>
    <w:rsid w:val="00AD7276"/>
    <w:rsid w:val="00AD769F"/>
    <w:rsid w:val="00AD77FE"/>
    <w:rsid w:val="00AD7BDF"/>
    <w:rsid w:val="00AD7F0F"/>
    <w:rsid w:val="00AE04DF"/>
    <w:rsid w:val="00AE05AA"/>
    <w:rsid w:val="00AE05E5"/>
    <w:rsid w:val="00AE0CAA"/>
    <w:rsid w:val="00AE0D0B"/>
    <w:rsid w:val="00AE1934"/>
    <w:rsid w:val="00AE1A3A"/>
    <w:rsid w:val="00AE1C28"/>
    <w:rsid w:val="00AE1FEE"/>
    <w:rsid w:val="00AE2417"/>
    <w:rsid w:val="00AE2B77"/>
    <w:rsid w:val="00AE307F"/>
    <w:rsid w:val="00AE30D9"/>
    <w:rsid w:val="00AE3123"/>
    <w:rsid w:val="00AE35E9"/>
    <w:rsid w:val="00AE385B"/>
    <w:rsid w:val="00AE3BFA"/>
    <w:rsid w:val="00AE3E73"/>
    <w:rsid w:val="00AE41B8"/>
    <w:rsid w:val="00AE45CA"/>
    <w:rsid w:val="00AE4774"/>
    <w:rsid w:val="00AE4910"/>
    <w:rsid w:val="00AE595D"/>
    <w:rsid w:val="00AE5AC5"/>
    <w:rsid w:val="00AE640D"/>
    <w:rsid w:val="00AE66AE"/>
    <w:rsid w:val="00AE6810"/>
    <w:rsid w:val="00AE6996"/>
    <w:rsid w:val="00AE6ABA"/>
    <w:rsid w:val="00AE716C"/>
    <w:rsid w:val="00AE73CC"/>
    <w:rsid w:val="00AE7791"/>
    <w:rsid w:val="00AF015D"/>
    <w:rsid w:val="00AF0B87"/>
    <w:rsid w:val="00AF0E57"/>
    <w:rsid w:val="00AF133D"/>
    <w:rsid w:val="00AF1954"/>
    <w:rsid w:val="00AF1A68"/>
    <w:rsid w:val="00AF1F1B"/>
    <w:rsid w:val="00AF1F85"/>
    <w:rsid w:val="00AF2004"/>
    <w:rsid w:val="00AF279D"/>
    <w:rsid w:val="00AF289E"/>
    <w:rsid w:val="00AF29B7"/>
    <w:rsid w:val="00AF2D9A"/>
    <w:rsid w:val="00AF2EE0"/>
    <w:rsid w:val="00AF35BD"/>
    <w:rsid w:val="00AF3B11"/>
    <w:rsid w:val="00AF3DFD"/>
    <w:rsid w:val="00AF4C51"/>
    <w:rsid w:val="00AF4DA7"/>
    <w:rsid w:val="00AF4FCF"/>
    <w:rsid w:val="00AF61BA"/>
    <w:rsid w:val="00AF66DB"/>
    <w:rsid w:val="00AF6971"/>
    <w:rsid w:val="00AF70CE"/>
    <w:rsid w:val="00AF78E1"/>
    <w:rsid w:val="00AF7947"/>
    <w:rsid w:val="00B0002D"/>
    <w:rsid w:val="00B00771"/>
    <w:rsid w:val="00B007E1"/>
    <w:rsid w:val="00B00E6B"/>
    <w:rsid w:val="00B0112E"/>
    <w:rsid w:val="00B01470"/>
    <w:rsid w:val="00B0162E"/>
    <w:rsid w:val="00B01B16"/>
    <w:rsid w:val="00B01BE9"/>
    <w:rsid w:val="00B02042"/>
    <w:rsid w:val="00B0216B"/>
    <w:rsid w:val="00B0223D"/>
    <w:rsid w:val="00B029F2"/>
    <w:rsid w:val="00B02B53"/>
    <w:rsid w:val="00B02BFC"/>
    <w:rsid w:val="00B02CA3"/>
    <w:rsid w:val="00B02D48"/>
    <w:rsid w:val="00B03078"/>
    <w:rsid w:val="00B030F8"/>
    <w:rsid w:val="00B033F5"/>
    <w:rsid w:val="00B03545"/>
    <w:rsid w:val="00B03F2A"/>
    <w:rsid w:val="00B03F2E"/>
    <w:rsid w:val="00B0405D"/>
    <w:rsid w:val="00B043F8"/>
    <w:rsid w:val="00B04F4A"/>
    <w:rsid w:val="00B0529F"/>
    <w:rsid w:val="00B0586C"/>
    <w:rsid w:val="00B06123"/>
    <w:rsid w:val="00B07312"/>
    <w:rsid w:val="00B0751E"/>
    <w:rsid w:val="00B07A43"/>
    <w:rsid w:val="00B07B49"/>
    <w:rsid w:val="00B07C0F"/>
    <w:rsid w:val="00B07CB0"/>
    <w:rsid w:val="00B10228"/>
    <w:rsid w:val="00B1033C"/>
    <w:rsid w:val="00B107F5"/>
    <w:rsid w:val="00B10A12"/>
    <w:rsid w:val="00B116FF"/>
    <w:rsid w:val="00B1192E"/>
    <w:rsid w:val="00B12283"/>
    <w:rsid w:val="00B12760"/>
    <w:rsid w:val="00B129BD"/>
    <w:rsid w:val="00B12AAC"/>
    <w:rsid w:val="00B12F56"/>
    <w:rsid w:val="00B13894"/>
    <w:rsid w:val="00B13DC1"/>
    <w:rsid w:val="00B142CB"/>
    <w:rsid w:val="00B146B8"/>
    <w:rsid w:val="00B150C8"/>
    <w:rsid w:val="00B15524"/>
    <w:rsid w:val="00B15946"/>
    <w:rsid w:val="00B16590"/>
    <w:rsid w:val="00B16591"/>
    <w:rsid w:val="00B16912"/>
    <w:rsid w:val="00B16ABA"/>
    <w:rsid w:val="00B16B5E"/>
    <w:rsid w:val="00B16BF5"/>
    <w:rsid w:val="00B16CD6"/>
    <w:rsid w:val="00B16EF1"/>
    <w:rsid w:val="00B172D7"/>
    <w:rsid w:val="00B178B8"/>
    <w:rsid w:val="00B17C6D"/>
    <w:rsid w:val="00B17CD9"/>
    <w:rsid w:val="00B17E34"/>
    <w:rsid w:val="00B2006E"/>
    <w:rsid w:val="00B20BE0"/>
    <w:rsid w:val="00B215B7"/>
    <w:rsid w:val="00B21B76"/>
    <w:rsid w:val="00B21BA0"/>
    <w:rsid w:val="00B21D80"/>
    <w:rsid w:val="00B22406"/>
    <w:rsid w:val="00B22694"/>
    <w:rsid w:val="00B2330C"/>
    <w:rsid w:val="00B234C8"/>
    <w:rsid w:val="00B234F1"/>
    <w:rsid w:val="00B23C2F"/>
    <w:rsid w:val="00B23CD1"/>
    <w:rsid w:val="00B23DDA"/>
    <w:rsid w:val="00B23FE5"/>
    <w:rsid w:val="00B24184"/>
    <w:rsid w:val="00B25113"/>
    <w:rsid w:val="00B2531A"/>
    <w:rsid w:val="00B257A4"/>
    <w:rsid w:val="00B25CDE"/>
    <w:rsid w:val="00B2610C"/>
    <w:rsid w:val="00B2658B"/>
    <w:rsid w:val="00B265BF"/>
    <w:rsid w:val="00B26681"/>
    <w:rsid w:val="00B26F22"/>
    <w:rsid w:val="00B26FC4"/>
    <w:rsid w:val="00B279C8"/>
    <w:rsid w:val="00B27D1F"/>
    <w:rsid w:val="00B30542"/>
    <w:rsid w:val="00B30A5E"/>
    <w:rsid w:val="00B30D6A"/>
    <w:rsid w:val="00B311B4"/>
    <w:rsid w:val="00B31757"/>
    <w:rsid w:val="00B31BDF"/>
    <w:rsid w:val="00B31EA9"/>
    <w:rsid w:val="00B3255D"/>
    <w:rsid w:val="00B3292F"/>
    <w:rsid w:val="00B32E18"/>
    <w:rsid w:val="00B32ECC"/>
    <w:rsid w:val="00B33294"/>
    <w:rsid w:val="00B33435"/>
    <w:rsid w:val="00B33734"/>
    <w:rsid w:val="00B33F85"/>
    <w:rsid w:val="00B34162"/>
    <w:rsid w:val="00B343E6"/>
    <w:rsid w:val="00B34420"/>
    <w:rsid w:val="00B34497"/>
    <w:rsid w:val="00B349AA"/>
    <w:rsid w:val="00B349C7"/>
    <w:rsid w:val="00B34C43"/>
    <w:rsid w:val="00B34FE1"/>
    <w:rsid w:val="00B3514B"/>
    <w:rsid w:val="00B35269"/>
    <w:rsid w:val="00B362F4"/>
    <w:rsid w:val="00B3667C"/>
    <w:rsid w:val="00B36E98"/>
    <w:rsid w:val="00B3720E"/>
    <w:rsid w:val="00B37D02"/>
    <w:rsid w:val="00B40212"/>
    <w:rsid w:val="00B40852"/>
    <w:rsid w:val="00B4098E"/>
    <w:rsid w:val="00B40CB6"/>
    <w:rsid w:val="00B410EC"/>
    <w:rsid w:val="00B41826"/>
    <w:rsid w:val="00B41B18"/>
    <w:rsid w:val="00B41C1C"/>
    <w:rsid w:val="00B42572"/>
    <w:rsid w:val="00B42FEE"/>
    <w:rsid w:val="00B4397C"/>
    <w:rsid w:val="00B43DBE"/>
    <w:rsid w:val="00B4456B"/>
    <w:rsid w:val="00B447D9"/>
    <w:rsid w:val="00B4547D"/>
    <w:rsid w:val="00B45500"/>
    <w:rsid w:val="00B45581"/>
    <w:rsid w:val="00B46292"/>
    <w:rsid w:val="00B4632A"/>
    <w:rsid w:val="00B4668B"/>
    <w:rsid w:val="00B46B9F"/>
    <w:rsid w:val="00B46BB1"/>
    <w:rsid w:val="00B46DAE"/>
    <w:rsid w:val="00B46E92"/>
    <w:rsid w:val="00B47588"/>
    <w:rsid w:val="00B478BE"/>
    <w:rsid w:val="00B47A3E"/>
    <w:rsid w:val="00B47DAA"/>
    <w:rsid w:val="00B47F76"/>
    <w:rsid w:val="00B50643"/>
    <w:rsid w:val="00B508D0"/>
    <w:rsid w:val="00B508D9"/>
    <w:rsid w:val="00B5111E"/>
    <w:rsid w:val="00B512DB"/>
    <w:rsid w:val="00B514A6"/>
    <w:rsid w:val="00B51562"/>
    <w:rsid w:val="00B517DB"/>
    <w:rsid w:val="00B5204C"/>
    <w:rsid w:val="00B528D3"/>
    <w:rsid w:val="00B53A72"/>
    <w:rsid w:val="00B53B6A"/>
    <w:rsid w:val="00B551DA"/>
    <w:rsid w:val="00B55340"/>
    <w:rsid w:val="00B55570"/>
    <w:rsid w:val="00B5586C"/>
    <w:rsid w:val="00B558E8"/>
    <w:rsid w:val="00B565D1"/>
    <w:rsid w:val="00B56798"/>
    <w:rsid w:val="00B56A4E"/>
    <w:rsid w:val="00B56A99"/>
    <w:rsid w:val="00B56B23"/>
    <w:rsid w:val="00B56B9D"/>
    <w:rsid w:val="00B56C97"/>
    <w:rsid w:val="00B571E4"/>
    <w:rsid w:val="00B57442"/>
    <w:rsid w:val="00B57826"/>
    <w:rsid w:val="00B57BE5"/>
    <w:rsid w:val="00B608B8"/>
    <w:rsid w:val="00B60FA8"/>
    <w:rsid w:val="00B610A8"/>
    <w:rsid w:val="00B61901"/>
    <w:rsid w:val="00B61A8D"/>
    <w:rsid w:val="00B623CA"/>
    <w:rsid w:val="00B62721"/>
    <w:rsid w:val="00B62A75"/>
    <w:rsid w:val="00B631DA"/>
    <w:rsid w:val="00B63F86"/>
    <w:rsid w:val="00B6413B"/>
    <w:rsid w:val="00B64351"/>
    <w:rsid w:val="00B653F5"/>
    <w:rsid w:val="00B65534"/>
    <w:rsid w:val="00B656F9"/>
    <w:rsid w:val="00B65EB9"/>
    <w:rsid w:val="00B65FF2"/>
    <w:rsid w:val="00B6605B"/>
    <w:rsid w:val="00B66155"/>
    <w:rsid w:val="00B665F8"/>
    <w:rsid w:val="00B6678D"/>
    <w:rsid w:val="00B6689F"/>
    <w:rsid w:val="00B678C7"/>
    <w:rsid w:val="00B701D0"/>
    <w:rsid w:val="00B701F2"/>
    <w:rsid w:val="00B7052C"/>
    <w:rsid w:val="00B7057B"/>
    <w:rsid w:val="00B707C0"/>
    <w:rsid w:val="00B711A0"/>
    <w:rsid w:val="00B713B8"/>
    <w:rsid w:val="00B716E0"/>
    <w:rsid w:val="00B71C94"/>
    <w:rsid w:val="00B72126"/>
    <w:rsid w:val="00B734FA"/>
    <w:rsid w:val="00B73822"/>
    <w:rsid w:val="00B73F0C"/>
    <w:rsid w:val="00B74AF1"/>
    <w:rsid w:val="00B74E59"/>
    <w:rsid w:val="00B74F0D"/>
    <w:rsid w:val="00B74FFA"/>
    <w:rsid w:val="00B75162"/>
    <w:rsid w:val="00B75226"/>
    <w:rsid w:val="00B75401"/>
    <w:rsid w:val="00B757E8"/>
    <w:rsid w:val="00B75815"/>
    <w:rsid w:val="00B75D0A"/>
    <w:rsid w:val="00B76D6F"/>
    <w:rsid w:val="00B76DB7"/>
    <w:rsid w:val="00B76FC1"/>
    <w:rsid w:val="00B7713F"/>
    <w:rsid w:val="00B7720C"/>
    <w:rsid w:val="00B77E30"/>
    <w:rsid w:val="00B8054B"/>
    <w:rsid w:val="00B80FE6"/>
    <w:rsid w:val="00B80FFE"/>
    <w:rsid w:val="00B812CC"/>
    <w:rsid w:val="00B8131E"/>
    <w:rsid w:val="00B8137F"/>
    <w:rsid w:val="00B8143C"/>
    <w:rsid w:val="00B8153F"/>
    <w:rsid w:val="00B81B13"/>
    <w:rsid w:val="00B81F1C"/>
    <w:rsid w:val="00B8216D"/>
    <w:rsid w:val="00B82885"/>
    <w:rsid w:val="00B82936"/>
    <w:rsid w:val="00B82B77"/>
    <w:rsid w:val="00B832B4"/>
    <w:rsid w:val="00B83B0B"/>
    <w:rsid w:val="00B83D05"/>
    <w:rsid w:val="00B844CB"/>
    <w:rsid w:val="00B84879"/>
    <w:rsid w:val="00B84A48"/>
    <w:rsid w:val="00B84D19"/>
    <w:rsid w:val="00B85149"/>
    <w:rsid w:val="00B85B10"/>
    <w:rsid w:val="00B85BB3"/>
    <w:rsid w:val="00B8651D"/>
    <w:rsid w:val="00B86597"/>
    <w:rsid w:val="00B866B5"/>
    <w:rsid w:val="00B86EB5"/>
    <w:rsid w:val="00B873A6"/>
    <w:rsid w:val="00B874C8"/>
    <w:rsid w:val="00B87580"/>
    <w:rsid w:val="00B878D0"/>
    <w:rsid w:val="00B87A56"/>
    <w:rsid w:val="00B87ACD"/>
    <w:rsid w:val="00B90189"/>
    <w:rsid w:val="00B90A5F"/>
    <w:rsid w:val="00B914AB"/>
    <w:rsid w:val="00B91F61"/>
    <w:rsid w:val="00B92184"/>
    <w:rsid w:val="00B9228E"/>
    <w:rsid w:val="00B923AC"/>
    <w:rsid w:val="00B92550"/>
    <w:rsid w:val="00B92965"/>
    <w:rsid w:val="00B9326E"/>
    <w:rsid w:val="00B93C5B"/>
    <w:rsid w:val="00B93CA0"/>
    <w:rsid w:val="00B93E5B"/>
    <w:rsid w:val="00B93E99"/>
    <w:rsid w:val="00B941F3"/>
    <w:rsid w:val="00B94388"/>
    <w:rsid w:val="00B9503F"/>
    <w:rsid w:val="00B95372"/>
    <w:rsid w:val="00B954F8"/>
    <w:rsid w:val="00B955B0"/>
    <w:rsid w:val="00B959CB"/>
    <w:rsid w:val="00B95FA7"/>
    <w:rsid w:val="00B96067"/>
    <w:rsid w:val="00B96654"/>
    <w:rsid w:val="00B96BA5"/>
    <w:rsid w:val="00B9704A"/>
    <w:rsid w:val="00B977CE"/>
    <w:rsid w:val="00B97CE4"/>
    <w:rsid w:val="00B97EFC"/>
    <w:rsid w:val="00BA0C54"/>
    <w:rsid w:val="00BA0CEC"/>
    <w:rsid w:val="00BA1385"/>
    <w:rsid w:val="00BA1AFA"/>
    <w:rsid w:val="00BA1EFA"/>
    <w:rsid w:val="00BA2C6A"/>
    <w:rsid w:val="00BA2DD0"/>
    <w:rsid w:val="00BA2EE2"/>
    <w:rsid w:val="00BA30C7"/>
    <w:rsid w:val="00BA323F"/>
    <w:rsid w:val="00BA35E0"/>
    <w:rsid w:val="00BA3919"/>
    <w:rsid w:val="00BA403D"/>
    <w:rsid w:val="00BA4337"/>
    <w:rsid w:val="00BA48F1"/>
    <w:rsid w:val="00BA4D9D"/>
    <w:rsid w:val="00BA5001"/>
    <w:rsid w:val="00BA5018"/>
    <w:rsid w:val="00BA5301"/>
    <w:rsid w:val="00BA5B64"/>
    <w:rsid w:val="00BA5C72"/>
    <w:rsid w:val="00BA5D31"/>
    <w:rsid w:val="00BA5FB9"/>
    <w:rsid w:val="00BA6814"/>
    <w:rsid w:val="00BA6FD8"/>
    <w:rsid w:val="00BA7664"/>
    <w:rsid w:val="00BA7765"/>
    <w:rsid w:val="00BA7BEC"/>
    <w:rsid w:val="00BA7DE6"/>
    <w:rsid w:val="00BB015D"/>
    <w:rsid w:val="00BB037A"/>
    <w:rsid w:val="00BB03CB"/>
    <w:rsid w:val="00BB04B8"/>
    <w:rsid w:val="00BB0536"/>
    <w:rsid w:val="00BB09E3"/>
    <w:rsid w:val="00BB0E79"/>
    <w:rsid w:val="00BB18BB"/>
    <w:rsid w:val="00BB1C23"/>
    <w:rsid w:val="00BB1D86"/>
    <w:rsid w:val="00BB2397"/>
    <w:rsid w:val="00BB2565"/>
    <w:rsid w:val="00BB27CA"/>
    <w:rsid w:val="00BB2C85"/>
    <w:rsid w:val="00BB2EE1"/>
    <w:rsid w:val="00BB322D"/>
    <w:rsid w:val="00BB3F10"/>
    <w:rsid w:val="00BB4730"/>
    <w:rsid w:val="00BB5BA1"/>
    <w:rsid w:val="00BB5C75"/>
    <w:rsid w:val="00BB662F"/>
    <w:rsid w:val="00BB66A5"/>
    <w:rsid w:val="00BB6A3F"/>
    <w:rsid w:val="00BB6A90"/>
    <w:rsid w:val="00BB6B3A"/>
    <w:rsid w:val="00BB6DC9"/>
    <w:rsid w:val="00BB767C"/>
    <w:rsid w:val="00BB7AD6"/>
    <w:rsid w:val="00BB7D09"/>
    <w:rsid w:val="00BC00B0"/>
    <w:rsid w:val="00BC0489"/>
    <w:rsid w:val="00BC07FD"/>
    <w:rsid w:val="00BC100E"/>
    <w:rsid w:val="00BC134F"/>
    <w:rsid w:val="00BC170A"/>
    <w:rsid w:val="00BC1A91"/>
    <w:rsid w:val="00BC265F"/>
    <w:rsid w:val="00BC26E9"/>
    <w:rsid w:val="00BC2794"/>
    <w:rsid w:val="00BC294B"/>
    <w:rsid w:val="00BC2DE4"/>
    <w:rsid w:val="00BC3395"/>
    <w:rsid w:val="00BC3432"/>
    <w:rsid w:val="00BC3525"/>
    <w:rsid w:val="00BC36FE"/>
    <w:rsid w:val="00BC3B49"/>
    <w:rsid w:val="00BC4311"/>
    <w:rsid w:val="00BC4693"/>
    <w:rsid w:val="00BC469A"/>
    <w:rsid w:val="00BC4CE0"/>
    <w:rsid w:val="00BC5021"/>
    <w:rsid w:val="00BC5D65"/>
    <w:rsid w:val="00BC6457"/>
    <w:rsid w:val="00BC679A"/>
    <w:rsid w:val="00BC6C32"/>
    <w:rsid w:val="00BC6F91"/>
    <w:rsid w:val="00BC719C"/>
    <w:rsid w:val="00BC72AE"/>
    <w:rsid w:val="00BC7952"/>
    <w:rsid w:val="00BC7D02"/>
    <w:rsid w:val="00BC7D2C"/>
    <w:rsid w:val="00BC7DB0"/>
    <w:rsid w:val="00BD01B4"/>
    <w:rsid w:val="00BD0892"/>
    <w:rsid w:val="00BD0A32"/>
    <w:rsid w:val="00BD197E"/>
    <w:rsid w:val="00BD24B7"/>
    <w:rsid w:val="00BD2988"/>
    <w:rsid w:val="00BD2B8F"/>
    <w:rsid w:val="00BD3451"/>
    <w:rsid w:val="00BD37F9"/>
    <w:rsid w:val="00BD49B9"/>
    <w:rsid w:val="00BD4C77"/>
    <w:rsid w:val="00BD516E"/>
    <w:rsid w:val="00BD583B"/>
    <w:rsid w:val="00BD58DC"/>
    <w:rsid w:val="00BD58F9"/>
    <w:rsid w:val="00BD5C5D"/>
    <w:rsid w:val="00BD69D9"/>
    <w:rsid w:val="00BD6BC3"/>
    <w:rsid w:val="00BD7A1C"/>
    <w:rsid w:val="00BD7A59"/>
    <w:rsid w:val="00BE0082"/>
    <w:rsid w:val="00BE016B"/>
    <w:rsid w:val="00BE0187"/>
    <w:rsid w:val="00BE019C"/>
    <w:rsid w:val="00BE0AC1"/>
    <w:rsid w:val="00BE0E43"/>
    <w:rsid w:val="00BE152A"/>
    <w:rsid w:val="00BE25BC"/>
    <w:rsid w:val="00BE290B"/>
    <w:rsid w:val="00BE2AB0"/>
    <w:rsid w:val="00BE2FC8"/>
    <w:rsid w:val="00BE3079"/>
    <w:rsid w:val="00BE4697"/>
    <w:rsid w:val="00BE4A85"/>
    <w:rsid w:val="00BE4E02"/>
    <w:rsid w:val="00BE4F42"/>
    <w:rsid w:val="00BE5009"/>
    <w:rsid w:val="00BE57BF"/>
    <w:rsid w:val="00BE592B"/>
    <w:rsid w:val="00BE62FA"/>
    <w:rsid w:val="00BE6768"/>
    <w:rsid w:val="00BE6A25"/>
    <w:rsid w:val="00BE72C2"/>
    <w:rsid w:val="00BE7341"/>
    <w:rsid w:val="00BE78CE"/>
    <w:rsid w:val="00BE78E5"/>
    <w:rsid w:val="00BE7C80"/>
    <w:rsid w:val="00BE7E31"/>
    <w:rsid w:val="00BF02AE"/>
    <w:rsid w:val="00BF038A"/>
    <w:rsid w:val="00BF0829"/>
    <w:rsid w:val="00BF0E85"/>
    <w:rsid w:val="00BF1774"/>
    <w:rsid w:val="00BF1DCE"/>
    <w:rsid w:val="00BF202F"/>
    <w:rsid w:val="00BF203F"/>
    <w:rsid w:val="00BF25EC"/>
    <w:rsid w:val="00BF2A19"/>
    <w:rsid w:val="00BF31BC"/>
    <w:rsid w:val="00BF3A35"/>
    <w:rsid w:val="00BF3E7E"/>
    <w:rsid w:val="00BF41A1"/>
    <w:rsid w:val="00BF455C"/>
    <w:rsid w:val="00BF4713"/>
    <w:rsid w:val="00BF48BC"/>
    <w:rsid w:val="00BF498A"/>
    <w:rsid w:val="00BF4BCC"/>
    <w:rsid w:val="00BF5169"/>
    <w:rsid w:val="00BF57B1"/>
    <w:rsid w:val="00BF6A72"/>
    <w:rsid w:val="00BF6C18"/>
    <w:rsid w:val="00BF6E3E"/>
    <w:rsid w:val="00BF7203"/>
    <w:rsid w:val="00BF7335"/>
    <w:rsid w:val="00BF745B"/>
    <w:rsid w:val="00BF7C51"/>
    <w:rsid w:val="00C004C6"/>
    <w:rsid w:val="00C005D4"/>
    <w:rsid w:val="00C00879"/>
    <w:rsid w:val="00C0089C"/>
    <w:rsid w:val="00C00F65"/>
    <w:rsid w:val="00C01720"/>
    <w:rsid w:val="00C02071"/>
    <w:rsid w:val="00C0219B"/>
    <w:rsid w:val="00C0244D"/>
    <w:rsid w:val="00C024E9"/>
    <w:rsid w:val="00C02CE1"/>
    <w:rsid w:val="00C035E4"/>
    <w:rsid w:val="00C03F7F"/>
    <w:rsid w:val="00C0419C"/>
    <w:rsid w:val="00C04740"/>
    <w:rsid w:val="00C0527C"/>
    <w:rsid w:val="00C05335"/>
    <w:rsid w:val="00C05A46"/>
    <w:rsid w:val="00C063BC"/>
    <w:rsid w:val="00C065CC"/>
    <w:rsid w:val="00C071FB"/>
    <w:rsid w:val="00C07EE7"/>
    <w:rsid w:val="00C100B2"/>
    <w:rsid w:val="00C1068C"/>
    <w:rsid w:val="00C11FAB"/>
    <w:rsid w:val="00C12537"/>
    <w:rsid w:val="00C12929"/>
    <w:rsid w:val="00C12BA6"/>
    <w:rsid w:val="00C12BE8"/>
    <w:rsid w:val="00C12CB6"/>
    <w:rsid w:val="00C1377C"/>
    <w:rsid w:val="00C137EB"/>
    <w:rsid w:val="00C141A6"/>
    <w:rsid w:val="00C143B1"/>
    <w:rsid w:val="00C1444C"/>
    <w:rsid w:val="00C14ED0"/>
    <w:rsid w:val="00C1501F"/>
    <w:rsid w:val="00C150EF"/>
    <w:rsid w:val="00C1518F"/>
    <w:rsid w:val="00C1540C"/>
    <w:rsid w:val="00C155B1"/>
    <w:rsid w:val="00C1571F"/>
    <w:rsid w:val="00C15AB6"/>
    <w:rsid w:val="00C15C5D"/>
    <w:rsid w:val="00C1676C"/>
    <w:rsid w:val="00C16E50"/>
    <w:rsid w:val="00C16EAE"/>
    <w:rsid w:val="00C1765E"/>
    <w:rsid w:val="00C1783C"/>
    <w:rsid w:val="00C204BC"/>
    <w:rsid w:val="00C208D3"/>
    <w:rsid w:val="00C20E02"/>
    <w:rsid w:val="00C21093"/>
    <w:rsid w:val="00C21B69"/>
    <w:rsid w:val="00C21BC6"/>
    <w:rsid w:val="00C23542"/>
    <w:rsid w:val="00C23769"/>
    <w:rsid w:val="00C23CBA"/>
    <w:rsid w:val="00C241B9"/>
    <w:rsid w:val="00C243AF"/>
    <w:rsid w:val="00C24E08"/>
    <w:rsid w:val="00C251B1"/>
    <w:rsid w:val="00C2524D"/>
    <w:rsid w:val="00C25941"/>
    <w:rsid w:val="00C2674F"/>
    <w:rsid w:val="00C271C4"/>
    <w:rsid w:val="00C271CD"/>
    <w:rsid w:val="00C272E7"/>
    <w:rsid w:val="00C27736"/>
    <w:rsid w:val="00C27BDF"/>
    <w:rsid w:val="00C27CD5"/>
    <w:rsid w:val="00C302B2"/>
    <w:rsid w:val="00C30F1D"/>
    <w:rsid w:val="00C30F9B"/>
    <w:rsid w:val="00C32B76"/>
    <w:rsid w:val="00C33294"/>
    <w:rsid w:val="00C332F3"/>
    <w:rsid w:val="00C333F7"/>
    <w:rsid w:val="00C33882"/>
    <w:rsid w:val="00C338C6"/>
    <w:rsid w:val="00C339E7"/>
    <w:rsid w:val="00C343E8"/>
    <w:rsid w:val="00C34696"/>
    <w:rsid w:val="00C34A8A"/>
    <w:rsid w:val="00C34B92"/>
    <w:rsid w:val="00C34CBE"/>
    <w:rsid w:val="00C35170"/>
    <w:rsid w:val="00C35357"/>
    <w:rsid w:val="00C35624"/>
    <w:rsid w:val="00C3574E"/>
    <w:rsid w:val="00C35B0F"/>
    <w:rsid w:val="00C35B16"/>
    <w:rsid w:val="00C35EAB"/>
    <w:rsid w:val="00C36AE1"/>
    <w:rsid w:val="00C36B67"/>
    <w:rsid w:val="00C36BEC"/>
    <w:rsid w:val="00C36DEF"/>
    <w:rsid w:val="00C36E69"/>
    <w:rsid w:val="00C372B9"/>
    <w:rsid w:val="00C378B7"/>
    <w:rsid w:val="00C37ADE"/>
    <w:rsid w:val="00C40290"/>
    <w:rsid w:val="00C40A85"/>
    <w:rsid w:val="00C412A4"/>
    <w:rsid w:val="00C42481"/>
    <w:rsid w:val="00C4288C"/>
    <w:rsid w:val="00C428DD"/>
    <w:rsid w:val="00C42ABD"/>
    <w:rsid w:val="00C42B57"/>
    <w:rsid w:val="00C42E86"/>
    <w:rsid w:val="00C431DD"/>
    <w:rsid w:val="00C43222"/>
    <w:rsid w:val="00C435A3"/>
    <w:rsid w:val="00C43A97"/>
    <w:rsid w:val="00C443B6"/>
    <w:rsid w:val="00C44760"/>
    <w:rsid w:val="00C4486A"/>
    <w:rsid w:val="00C44A1F"/>
    <w:rsid w:val="00C44AAB"/>
    <w:rsid w:val="00C44E99"/>
    <w:rsid w:val="00C4566E"/>
    <w:rsid w:val="00C459AC"/>
    <w:rsid w:val="00C45F17"/>
    <w:rsid w:val="00C463AF"/>
    <w:rsid w:val="00C463B8"/>
    <w:rsid w:val="00C47899"/>
    <w:rsid w:val="00C47C7D"/>
    <w:rsid w:val="00C47CAB"/>
    <w:rsid w:val="00C503C2"/>
    <w:rsid w:val="00C5068E"/>
    <w:rsid w:val="00C506F7"/>
    <w:rsid w:val="00C50A15"/>
    <w:rsid w:val="00C51219"/>
    <w:rsid w:val="00C512BA"/>
    <w:rsid w:val="00C5143D"/>
    <w:rsid w:val="00C514E8"/>
    <w:rsid w:val="00C51577"/>
    <w:rsid w:val="00C51707"/>
    <w:rsid w:val="00C51937"/>
    <w:rsid w:val="00C52268"/>
    <w:rsid w:val="00C5319F"/>
    <w:rsid w:val="00C5344B"/>
    <w:rsid w:val="00C53958"/>
    <w:rsid w:val="00C53C4F"/>
    <w:rsid w:val="00C54623"/>
    <w:rsid w:val="00C55101"/>
    <w:rsid w:val="00C5532A"/>
    <w:rsid w:val="00C555CA"/>
    <w:rsid w:val="00C557D5"/>
    <w:rsid w:val="00C558E2"/>
    <w:rsid w:val="00C55AF9"/>
    <w:rsid w:val="00C564F6"/>
    <w:rsid w:val="00C566C6"/>
    <w:rsid w:val="00C56AE8"/>
    <w:rsid w:val="00C5744B"/>
    <w:rsid w:val="00C574B6"/>
    <w:rsid w:val="00C574D9"/>
    <w:rsid w:val="00C57DAF"/>
    <w:rsid w:val="00C60041"/>
    <w:rsid w:val="00C600C3"/>
    <w:rsid w:val="00C604C4"/>
    <w:rsid w:val="00C60690"/>
    <w:rsid w:val="00C606D1"/>
    <w:rsid w:val="00C60751"/>
    <w:rsid w:val="00C60B44"/>
    <w:rsid w:val="00C60D81"/>
    <w:rsid w:val="00C60FA1"/>
    <w:rsid w:val="00C610EE"/>
    <w:rsid w:val="00C6126B"/>
    <w:rsid w:val="00C61696"/>
    <w:rsid w:val="00C6183A"/>
    <w:rsid w:val="00C61BC1"/>
    <w:rsid w:val="00C61D90"/>
    <w:rsid w:val="00C62007"/>
    <w:rsid w:val="00C620EA"/>
    <w:rsid w:val="00C6215E"/>
    <w:rsid w:val="00C62914"/>
    <w:rsid w:val="00C62B2B"/>
    <w:rsid w:val="00C62D00"/>
    <w:rsid w:val="00C62D05"/>
    <w:rsid w:val="00C63549"/>
    <w:rsid w:val="00C6358E"/>
    <w:rsid w:val="00C63B77"/>
    <w:rsid w:val="00C63D47"/>
    <w:rsid w:val="00C63E3B"/>
    <w:rsid w:val="00C64070"/>
    <w:rsid w:val="00C64890"/>
    <w:rsid w:val="00C649F5"/>
    <w:rsid w:val="00C650B8"/>
    <w:rsid w:val="00C651A5"/>
    <w:rsid w:val="00C652C6"/>
    <w:rsid w:val="00C6536F"/>
    <w:rsid w:val="00C6641A"/>
    <w:rsid w:val="00C66896"/>
    <w:rsid w:val="00C668F4"/>
    <w:rsid w:val="00C669DB"/>
    <w:rsid w:val="00C674D3"/>
    <w:rsid w:val="00C675BC"/>
    <w:rsid w:val="00C67652"/>
    <w:rsid w:val="00C67975"/>
    <w:rsid w:val="00C67C10"/>
    <w:rsid w:val="00C70085"/>
    <w:rsid w:val="00C70288"/>
    <w:rsid w:val="00C709FA"/>
    <w:rsid w:val="00C70ABA"/>
    <w:rsid w:val="00C70E9A"/>
    <w:rsid w:val="00C70F06"/>
    <w:rsid w:val="00C7120C"/>
    <w:rsid w:val="00C71365"/>
    <w:rsid w:val="00C71373"/>
    <w:rsid w:val="00C71619"/>
    <w:rsid w:val="00C717D3"/>
    <w:rsid w:val="00C719DF"/>
    <w:rsid w:val="00C71BD4"/>
    <w:rsid w:val="00C71D6B"/>
    <w:rsid w:val="00C71ED7"/>
    <w:rsid w:val="00C7230B"/>
    <w:rsid w:val="00C72431"/>
    <w:rsid w:val="00C72559"/>
    <w:rsid w:val="00C726B7"/>
    <w:rsid w:val="00C726F5"/>
    <w:rsid w:val="00C72B28"/>
    <w:rsid w:val="00C72D0D"/>
    <w:rsid w:val="00C73297"/>
    <w:rsid w:val="00C734AC"/>
    <w:rsid w:val="00C741C0"/>
    <w:rsid w:val="00C74EC5"/>
    <w:rsid w:val="00C759A9"/>
    <w:rsid w:val="00C765CB"/>
    <w:rsid w:val="00C768E7"/>
    <w:rsid w:val="00C76908"/>
    <w:rsid w:val="00C76E0D"/>
    <w:rsid w:val="00C76FB0"/>
    <w:rsid w:val="00C77486"/>
    <w:rsid w:val="00C7751C"/>
    <w:rsid w:val="00C7779D"/>
    <w:rsid w:val="00C779AC"/>
    <w:rsid w:val="00C779B8"/>
    <w:rsid w:val="00C779BA"/>
    <w:rsid w:val="00C779E2"/>
    <w:rsid w:val="00C77FF8"/>
    <w:rsid w:val="00C80673"/>
    <w:rsid w:val="00C80D14"/>
    <w:rsid w:val="00C80F00"/>
    <w:rsid w:val="00C8111F"/>
    <w:rsid w:val="00C8161E"/>
    <w:rsid w:val="00C8200A"/>
    <w:rsid w:val="00C820FD"/>
    <w:rsid w:val="00C825B7"/>
    <w:rsid w:val="00C82B55"/>
    <w:rsid w:val="00C84572"/>
    <w:rsid w:val="00C84D4C"/>
    <w:rsid w:val="00C84EE4"/>
    <w:rsid w:val="00C85313"/>
    <w:rsid w:val="00C8618A"/>
    <w:rsid w:val="00C86288"/>
    <w:rsid w:val="00C86688"/>
    <w:rsid w:val="00C86BB7"/>
    <w:rsid w:val="00C909B4"/>
    <w:rsid w:val="00C90F45"/>
    <w:rsid w:val="00C913B9"/>
    <w:rsid w:val="00C919A4"/>
    <w:rsid w:val="00C91A50"/>
    <w:rsid w:val="00C92C77"/>
    <w:rsid w:val="00C93014"/>
    <w:rsid w:val="00C931FD"/>
    <w:rsid w:val="00C93485"/>
    <w:rsid w:val="00C93710"/>
    <w:rsid w:val="00C93EF1"/>
    <w:rsid w:val="00C945A8"/>
    <w:rsid w:val="00C94F69"/>
    <w:rsid w:val="00C94FB9"/>
    <w:rsid w:val="00C94FC6"/>
    <w:rsid w:val="00C96F41"/>
    <w:rsid w:val="00C97238"/>
    <w:rsid w:val="00C97D85"/>
    <w:rsid w:val="00C97F11"/>
    <w:rsid w:val="00CA008A"/>
    <w:rsid w:val="00CA00CC"/>
    <w:rsid w:val="00CA0796"/>
    <w:rsid w:val="00CA101E"/>
    <w:rsid w:val="00CA1748"/>
    <w:rsid w:val="00CA1F5D"/>
    <w:rsid w:val="00CA28F2"/>
    <w:rsid w:val="00CA2DC4"/>
    <w:rsid w:val="00CA3177"/>
    <w:rsid w:val="00CA3D63"/>
    <w:rsid w:val="00CA40C1"/>
    <w:rsid w:val="00CA435F"/>
    <w:rsid w:val="00CA4479"/>
    <w:rsid w:val="00CA472F"/>
    <w:rsid w:val="00CA5B0F"/>
    <w:rsid w:val="00CA64F4"/>
    <w:rsid w:val="00CA69BE"/>
    <w:rsid w:val="00CA6DD0"/>
    <w:rsid w:val="00CA7099"/>
    <w:rsid w:val="00CA71E3"/>
    <w:rsid w:val="00CA7716"/>
    <w:rsid w:val="00CB0AA7"/>
    <w:rsid w:val="00CB0E90"/>
    <w:rsid w:val="00CB143D"/>
    <w:rsid w:val="00CB163F"/>
    <w:rsid w:val="00CB1831"/>
    <w:rsid w:val="00CB1949"/>
    <w:rsid w:val="00CB22EE"/>
    <w:rsid w:val="00CB2322"/>
    <w:rsid w:val="00CB28E8"/>
    <w:rsid w:val="00CB2E15"/>
    <w:rsid w:val="00CB317E"/>
    <w:rsid w:val="00CB359A"/>
    <w:rsid w:val="00CB44D2"/>
    <w:rsid w:val="00CB4681"/>
    <w:rsid w:val="00CB49F6"/>
    <w:rsid w:val="00CB4A91"/>
    <w:rsid w:val="00CB4B47"/>
    <w:rsid w:val="00CB51C9"/>
    <w:rsid w:val="00CB5873"/>
    <w:rsid w:val="00CB5899"/>
    <w:rsid w:val="00CB5FA4"/>
    <w:rsid w:val="00CB64C1"/>
    <w:rsid w:val="00CB6C2E"/>
    <w:rsid w:val="00CB6ECB"/>
    <w:rsid w:val="00CB6F3F"/>
    <w:rsid w:val="00CB6FA1"/>
    <w:rsid w:val="00CB714C"/>
    <w:rsid w:val="00CB7267"/>
    <w:rsid w:val="00CC027A"/>
    <w:rsid w:val="00CC03AC"/>
    <w:rsid w:val="00CC092E"/>
    <w:rsid w:val="00CC09F2"/>
    <w:rsid w:val="00CC0D06"/>
    <w:rsid w:val="00CC0D34"/>
    <w:rsid w:val="00CC0D93"/>
    <w:rsid w:val="00CC13DF"/>
    <w:rsid w:val="00CC16BB"/>
    <w:rsid w:val="00CC20C7"/>
    <w:rsid w:val="00CC2964"/>
    <w:rsid w:val="00CC3108"/>
    <w:rsid w:val="00CC3A21"/>
    <w:rsid w:val="00CC3B4A"/>
    <w:rsid w:val="00CC4444"/>
    <w:rsid w:val="00CC452F"/>
    <w:rsid w:val="00CC4632"/>
    <w:rsid w:val="00CC4BAC"/>
    <w:rsid w:val="00CC4C82"/>
    <w:rsid w:val="00CC6265"/>
    <w:rsid w:val="00CC67EA"/>
    <w:rsid w:val="00CC6896"/>
    <w:rsid w:val="00CC694D"/>
    <w:rsid w:val="00CC727C"/>
    <w:rsid w:val="00CC7835"/>
    <w:rsid w:val="00CD03FE"/>
    <w:rsid w:val="00CD0445"/>
    <w:rsid w:val="00CD0E17"/>
    <w:rsid w:val="00CD13E6"/>
    <w:rsid w:val="00CD1A3A"/>
    <w:rsid w:val="00CD23D1"/>
    <w:rsid w:val="00CD2611"/>
    <w:rsid w:val="00CD2A07"/>
    <w:rsid w:val="00CD32DF"/>
    <w:rsid w:val="00CD3768"/>
    <w:rsid w:val="00CD38DD"/>
    <w:rsid w:val="00CD39D5"/>
    <w:rsid w:val="00CD3EF8"/>
    <w:rsid w:val="00CD4293"/>
    <w:rsid w:val="00CD42A8"/>
    <w:rsid w:val="00CD4381"/>
    <w:rsid w:val="00CD43FF"/>
    <w:rsid w:val="00CD44C3"/>
    <w:rsid w:val="00CD4AA7"/>
    <w:rsid w:val="00CD505E"/>
    <w:rsid w:val="00CD553E"/>
    <w:rsid w:val="00CD570A"/>
    <w:rsid w:val="00CD57FA"/>
    <w:rsid w:val="00CD5C1D"/>
    <w:rsid w:val="00CD5E40"/>
    <w:rsid w:val="00CD60A1"/>
    <w:rsid w:val="00CD6944"/>
    <w:rsid w:val="00CD78DF"/>
    <w:rsid w:val="00CD7C29"/>
    <w:rsid w:val="00CD7CB5"/>
    <w:rsid w:val="00CD7D85"/>
    <w:rsid w:val="00CD7D90"/>
    <w:rsid w:val="00CE05C1"/>
    <w:rsid w:val="00CE0A3B"/>
    <w:rsid w:val="00CE0D5B"/>
    <w:rsid w:val="00CE101C"/>
    <w:rsid w:val="00CE1812"/>
    <w:rsid w:val="00CE1FB9"/>
    <w:rsid w:val="00CE20A7"/>
    <w:rsid w:val="00CE26EF"/>
    <w:rsid w:val="00CE2AC8"/>
    <w:rsid w:val="00CE2D61"/>
    <w:rsid w:val="00CE2DD7"/>
    <w:rsid w:val="00CE2F40"/>
    <w:rsid w:val="00CE35D5"/>
    <w:rsid w:val="00CE36B3"/>
    <w:rsid w:val="00CE3A50"/>
    <w:rsid w:val="00CE3B91"/>
    <w:rsid w:val="00CE3CEE"/>
    <w:rsid w:val="00CE3D10"/>
    <w:rsid w:val="00CE41ED"/>
    <w:rsid w:val="00CE4546"/>
    <w:rsid w:val="00CE468A"/>
    <w:rsid w:val="00CE4848"/>
    <w:rsid w:val="00CE4B97"/>
    <w:rsid w:val="00CE510B"/>
    <w:rsid w:val="00CE528F"/>
    <w:rsid w:val="00CE561C"/>
    <w:rsid w:val="00CE58CF"/>
    <w:rsid w:val="00CE5A80"/>
    <w:rsid w:val="00CE63BD"/>
    <w:rsid w:val="00CE6920"/>
    <w:rsid w:val="00CE7842"/>
    <w:rsid w:val="00CE7A49"/>
    <w:rsid w:val="00CF0086"/>
    <w:rsid w:val="00CF0564"/>
    <w:rsid w:val="00CF06C5"/>
    <w:rsid w:val="00CF08B3"/>
    <w:rsid w:val="00CF0F4C"/>
    <w:rsid w:val="00CF1024"/>
    <w:rsid w:val="00CF15FB"/>
    <w:rsid w:val="00CF196A"/>
    <w:rsid w:val="00CF1ADC"/>
    <w:rsid w:val="00CF1DDF"/>
    <w:rsid w:val="00CF1EC9"/>
    <w:rsid w:val="00CF2057"/>
    <w:rsid w:val="00CF226C"/>
    <w:rsid w:val="00CF2A62"/>
    <w:rsid w:val="00CF2C5B"/>
    <w:rsid w:val="00CF2C95"/>
    <w:rsid w:val="00CF31F3"/>
    <w:rsid w:val="00CF37B4"/>
    <w:rsid w:val="00CF37D5"/>
    <w:rsid w:val="00CF439A"/>
    <w:rsid w:val="00CF43A6"/>
    <w:rsid w:val="00CF4648"/>
    <w:rsid w:val="00CF4913"/>
    <w:rsid w:val="00CF5733"/>
    <w:rsid w:val="00CF5829"/>
    <w:rsid w:val="00CF610A"/>
    <w:rsid w:val="00CF6299"/>
    <w:rsid w:val="00CF62D0"/>
    <w:rsid w:val="00CF6463"/>
    <w:rsid w:val="00CF67AA"/>
    <w:rsid w:val="00CF69E6"/>
    <w:rsid w:val="00CF6A0B"/>
    <w:rsid w:val="00CF6F0A"/>
    <w:rsid w:val="00CF7347"/>
    <w:rsid w:val="00CF742F"/>
    <w:rsid w:val="00CF7974"/>
    <w:rsid w:val="00D00398"/>
    <w:rsid w:val="00D004A2"/>
    <w:rsid w:val="00D00770"/>
    <w:rsid w:val="00D00FA2"/>
    <w:rsid w:val="00D010F5"/>
    <w:rsid w:val="00D013FD"/>
    <w:rsid w:val="00D0163F"/>
    <w:rsid w:val="00D019BF"/>
    <w:rsid w:val="00D01BDF"/>
    <w:rsid w:val="00D021B6"/>
    <w:rsid w:val="00D027AB"/>
    <w:rsid w:val="00D03865"/>
    <w:rsid w:val="00D038B6"/>
    <w:rsid w:val="00D03F2F"/>
    <w:rsid w:val="00D04488"/>
    <w:rsid w:val="00D044FD"/>
    <w:rsid w:val="00D04575"/>
    <w:rsid w:val="00D04AB4"/>
    <w:rsid w:val="00D04BBC"/>
    <w:rsid w:val="00D04C6A"/>
    <w:rsid w:val="00D05416"/>
    <w:rsid w:val="00D05593"/>
    <w:rsid w:val="00D06091"/>
    <w:rsid w:val="00D061C5"/>
    <w:rsid w:val="00D06240"/>
    <w:rsid w:val="00D067C2"/>
    <w:rsid w:val="00D0725D"/>
    <w:rsid w:val="00D10755"/>
    <w:rsid w:val="00D10835"/>
    <w:rsid w:val="00D10986"/>
    <w:rsid w:val="00D10E64"/>
    <w:rsid w:val="00D10F4C"/>
    <w:rsid w:val="00D11107"/>
    <w:rsid w:val="00D111C1"/>
    <w:rsid w:val="00D11206"/>
    <w:rsid w:val="00D11279"/>
    <w:rsid w:val="00D112B9"/>
    <w:rsid w:val="00D1168B"/>
    <w:rsid w:val="00D11E9B"/>
    <w:rsid w:val="00D12123"/>
    <w:rsid w:val="00D132F4"/>
    <w:rsid w:val="00D133A4"/>
    <w:rsid w:val="00D1373C"/>
    <w:rsid w:val="00D13E07"/>
    <w:rsid w:val="00D14498"/>
    <w:rsid w:val="00D145F6"/>
    <w:rsid w:val="00D1470F"/>
    <w:rsid w:val="00D14768"/>
    <w:rsid w:val="00D14F56"/>
    <w:rsid w:val="00D155A8"/>
    <w:rsid w:val="00D15ACD"/>
    <w:rsid w:val="00D16407"/>
    <w:rsid w:val="00D169D3"/>
    <w:rsid w:val="00D16F69"/>
    <w:rsid w:val="00D17B17"/>
    <w:rsid w:val="00D17CCC"/>
    <w:rsid w:val="00D202AC"/>
    <w:rsid w:val="00D2184F"/>
    <w:rsid w:val="00D21C54"/>
    <w:rsid w:val="00D22616"/>
    <w:rsid w:val="00D2280B"/>
    <w:rsid w:val="00D22CEA"/>
    <w:rsid w:val="00D22FDB"/>
    <w:rsid w:val="00D231BA"/>
    <w:rsid w:val="00D23EF4"/>
    <w:rsid w:val="00D24824"/>
    <w:rsid w:val="00D24BA8"/>
    <w:rsid w:val="00D24FC4"/>
    <w:rsid w:val="00D25113"/>
    <w:rsid w:val="00D2543C"/>
    <w:rsid w:val="00D2558C"/>
    <w:rsid w:val="00D26123"/>
    <w:rsid w:val="00D26643"/>
    <w:rsid w:val="00D268BE"/>
    <w:rsid w:val="00D26A10"/>
    <w:rsid w:val="00D27091"/>
    <w:rsid w:val="00D27370"/>
    <w:rsid w:val="00D274CE"/>
    <w:rsid w:val="00D2757A"/>
    <w:rsid w:val="00D27DB6"/>
    <w:rsid w:val="00D27E49"/>
    <w:rsid w:val="00D3057E"/>
    <w:rsid w:val="00D30AC9"/>
    <w:rsid w:val="00D30BD1"/>
    <w:rsid w:val="00D30EB6"/>
    <w:rsid w:val="00D315C5"/>
    <w:rsid w:val="00D31CA0"/>
    <w:rsid w:val="00D31D7F"/>
    <w:rsid w:val="00D329CC"/>
    <w:rsid w:val="00D3364F"/>
    <w:rsid w:val="00D34997"/>
    <w:rsid w:val="00D3540F"/>
    <w:rsid w:val="00D354C9"/>
    <w:rsid w:val="00D35585"/>
    <w:rsid w:val="00D3603F"/>
    <w:rsid w:val="00D36171"/>
    <w:rsid w:val="00D3669D"/>
    <w:rsid w:val="00D36EAB"/>
    <w:rsid w:val="00D37294"/>
    <w:rsid w:val="00D37AC5"/>
    <w:rsid w:val="00D37ECA"/>
    <w:rsid w:val="00D41047"/>
    <w:rsid w:val="00D4138F"/>
    <w:rsid w:val="00D4175D"/>
    <w:rsid w:val="00D41898"/>
    <w:rsid w:val="00D41913"/>
    <w:rsid w:val="00D41DB0"/>
    <w:rsid w:val="00D42470"/>
    <w:rsid w:val="00D42602"/>
    <w:rsid w:val="00D431CB"/>
    <w:rsid w:val="00D43A7B"/>
    <w:rsid w:val="00D43A9B"/>
    <w:rsid w:val="00D43AF2"/>
    <w:rsid w:val="00D43C0B"/>
    <w:rsid w:val="00D44283"/>
    <w:rsid w:val="00D4436A"/>
    <w:rsid w:val="00D44620"/>
    <w:rsid w:val="00D446F6"/>
    <w:rsid w:val="00D447DC"/>
    <w:rsid w:val="00D44A61"/>
    <w:rsid w:val="00D44D80"/>
    <w:rsid w:val="00D44DEE"/>
    <w:rsid w:val="00D450C4"/>
    <w:rsid w:val="00D450E0"/>
    <w:rsid w:val="00D4542B"/>
    <w:rsid w:val="00D45475"/>
    <w:rsid w:val="00D45546"/>
    <w:rsid w:val="00D45647"/>
    <w:rsid w:val="00D463F6"/>
    <w:rsid w:val="00D46B35"/>
    <w:rsid w:val="00D46C3D"/>
    <w:rsid w:val="00D47B1C"/>
    <w:rsid w:val="00D51764"/>
    <w:rsid w:val="00D51E61"/>
    <w:rsid w:val="00D51E71"/>
    <w:rsid w:val="00D51F59"/>
    <w:rsid w:val="00D52C79"/>
    <w:rsid w:val="00D530A8"/>
    <w:rsid w:val="00D53621"/>
    <w:rsid w:val="00D53C48"/>
    <w:rsid w:val="00D53DCB"/>
    <w:rsid w:val="00D54482"/>
    <w:rsid w:val="00D55130"/>
    <w:rsid w:val="00D551CB"/>
    <w:rsid w:val="00D553AA"/>
    <w:rsid w:val="00D55812"/>
    <w:rsid w:val="00D5586F"/>
    <w:rsid w:val="00D55ACB"/>
    <w:rsid w:val="00D55C8A"/>
    <w:rsid w:val="00D562F1"/>
    <w:rsid w:val="00D56611"/>
    <w:rsid w:val="00D56666"/>
    <w:rsid w:val="00D568D4"/>
    <w:rsid w:val="00D569B6"/>
    <w:rsid w:val="00D5712C"/>
    <w:rsid w:val="00D57C8D"/>
    <w:rsid w:val="00D57F8F"/>
    <w:rsid w:val="00D6029F"/>
    <w:rsid w:val="00D60413"/>
    <w:rsid w:val="00D604A9"/>
    <w:rsid w:val="00D60821"/>
    <w:rsid w:val="00D60A2D"/>
    <w:rsid w:val="00D60B4A"/>
    <w:rsid w:val="00D60EE2"/>
    <w:rsid w:val="00D611DF"/>
    <w:rsid w:val="00D612BB"/>
    <w:rsid w:val="00D61A36"/>
    <w:rsid w:val="00D61DDA"/>
    <w:rsid w:val="00D6212A"/>
    <w:rsid w:val="00D62DF9"/>
    <w:rsid w:val="00D62E2F"/>
    <w:rsid w:val="00D632E1"/>
    <w:rsid w:val="00D63C95"/>
    <w:rsid w:val="00D63DE9"/>
    <w:rsid w:val="00D63F35"/>
    <w:rsid w:val="00D64321"/>
    <w:rsid w:val="00D6455A"/>
    <w:rsid w:val="00D64994"/>
    <w:rsid w:val="00D64F14"/>
    <w:rsid w:val="00D65086"/>
    <w:rsid w:val="00D6577A"/>
    <w:rsid w:val="00D65844"/>
    <w:rsid w:val="00D6600C"/>
    <w:rsid w:val="00D66360"/>
    <w:rsid w:val="00D66A78"/>
    <w:rsid w:val="00D66B25"/>
    <w:rsid w:val="00D66ED7"/>
    <w:rsid w:val="00D676FA"/>
    <w:rsid w:val="00D6773D"/>
    <w:rsid w:val="00D700A7"/>
    <w:rsid w:val="00D704F9"/>
    <w:rsid w:val="00D7076B"/>
    <w:rsid w:val="00D70F04"/>
    <w:rsid w:val="00D710F6"/>
    <w:rsid w:val="00D71EA3"/>
    <w:rsid w:val="00D72387"/>
    <w:rsid w:val="00D72588"/>
    <w:rsid w:val="00D727B4"/>
    <w:rsid w:val="00D728C7"/>
    <w:rsid w:val="00D729A5"/>
    <w:rsid w:val="00D73772"/>
    <w:rsid w:val="00D73D98"/>
    <w:rsid w:val="00D74E30"/>
    <w:rsid w:val="00D7500B"/>
    <w:rsid w:val="00D751D6"/>
    <w:rsid w:val="00D75D29"/>
    <w:rsid w:val="00D76501"/>
    <w:rsid w:val="00D76818"/>
    <w:rsid w:val="00D769C6"/>
    <w:rsid w:val="00D76D59"/>
    <w:rsid w:val="00D76EE3"/>
    <w:rsid w:val="00D776BD"/>
    <w:rsid w:val="00D777DB"/>
    <w:rsid w:val="00D803C5"/>
    <w:rsid w:val="00D80C52"/>
    <w:rsid w:val="00D812E6"/>
    <w:rsid w:val="00D81AC0"/>
    <w:rsid w:val="00D8212D"/>
    <w:rsid w:val="00D82342"/>
    <w:rsid w:val="00D829F6"/>
    <w:rsid w:val="00D82A03"/>
    <w:rsid w:val="00D82E34"/>
    <w:rsid w:val="00D8347A"/>
    <w:rsid w:val="00D836F1"/>
    <w:rsid w:val="00D84003"/>
    <w:rsid w:val="00D84746"/>
    <w:rsid w:val="00D84AFF"/>
    <w:rsid w:val="00D84B4E"/>
    <w:rsid w:val="00D84D45"/>
    <w:rsid w:val="00D84EF0"/>
    <w:rsid w:val="00D85005"/>
    <w:rsid w:val="00D851A0"/>
    <w:rsid w:val="00D851BA"/>
    <w:rsid w:val="00D85361"/>
    <w:rsid w:val="00D85A54"/>
    <w:rsid w:val="00D85D35"/>
    <w:rsid w:val="00D863D9"/>
    <w:rsid w:val="00D86592"/>
    <w:rsid w:val="00D8662E"/>
    <w:rsid w:val="00D868D7"/>
    <w:rsid w:val="00D86AD5"/>
    <w:rsid w:val="00D86C9D"/>
    <w:rsid w:val="00D86EDF"/>
    <w:rsid w:val="00D875C1"/>
    <w:rsid w:val="00D876BF"/>
    <w:rsid w:val="00D87863"/>
    <w:rsid w:val="00D87AEF"/>
    <w:rsid w:val="00D87C76"/>
    <w:rsid w:val="00D87E8A"/>
    <w:rsid w:val="00D9004D"/>
    <w:rsid w:val="00D90339"/>
    <w:rsid w:val="00D9072D"/>
    <w:rsid w:val="00D90B3B"/>
    <w:rsid w:val="00D90C5E"/>
    <w:rsid w:val="00D91575"/>
    <w:rsid w:val="00D91C8C"/>
    <w:rsid w:val="00D924A0"/>
    <w:rsid w:val="00D92702"/>
    <w:rsid w:val="00D928A7"/>
    <w:rsid w:val="00D931A7"/>
    <w:rsid w:val="00D93AE4"/>
    <w:rsid w:val="00D94330"/>
    <w:rsid w:val="00D943D7"/>
    <w:rsid w:val="00D943EA"/>
    <w:rsid w:val="00D945FE"/>
    <w:rsid w:val="00D94957"/>
    <w:rsid w:val="00D94E36"/>
    <w:rsid w:val="00D958F9"/>
    <w:rsid w:val="00D96574"/>
    <w:rsid w:val="00D9686E"/>
    <w:rsid w:val="00D968C5"/>
    <w:rsid w:val="00D969D5"/>
    <w:rsid w:val="00D96A58"/>
    <w:rsid w:val="00D96B91"/>
    <w:rsid w:val="00D96C5C"/>
    <w:rsid w:val="00D96F15"/>
    <w:rsid w:val="00D9766D"/>
    <w:rsid w:val="00D9770E"/>
    <w:rsid w:val="00DA06FA"/>
    <w:rsid w:val="00DA0AA6"/>
    <w:rsid w:val="00DA134E"/>
    <w:rsid w:val="00DA1502"/>
    <w:rsid w:val="00DA16E5"/>
    <w:rsid w:val="00DA1FC1"/>
    <w:rsid w:val="00DA2171"/>
    <w:rsid w:val="00DA26C7"/>
    <w:rsid w:val="00DA29E5"/>
    <w:rsid w:val="00DA2EB3"/>
    <w:rsid w:val="00DA34FF"/>
    <w:rsid w:val="00DA38A7"/>
    <w:rsid w:val="00DA3B3A"/>
    <w:rsid w:val="00DA4578"/>
    <w:rsid w:val="00DA4616"/>
    <w:rsid w:val="00DA4735"/>
    <w:rsid w:val="00DA49EA"/>
    <w:rsid w:val="00DA4BDF"/>
    <w:rsid w:val="00DA4F1D"/>
    <w:rsid w:val="00DA5755"/>
    <w:rsid w:val="00DA58F7"/>
    <w:rsid w:val="00DA6266"/>
    <w:rsid w:val="00DA6314"/>
    <w:rsid w:val="00DA6540"/>
    <w:rsid w:val="00DA6667"/>
    <w:rsid w:val="00DA6983"/>
    <w:rsid w:val="00DA6B78"/>
    <w:rsid w:val="00DA6D47"/>
    <w:rsid w:val="00DA6D60"/>
    <w:rsid w:val="00DA7107"/>
    <w:rsid w:val="00DA7337"/>
    <w:rsid w:val="00DA7BF2"/>
    <w:rsid w:val="00DA7E25"/>
    <w:rsid w:val="00DA7F64"/>
    <w:rsid w:val="00DB024C"/>
    <w:rsid w:val="00DB0372"/>
    <w:rsid w:val="00DB0408"/>
    <w:rsid w:val="00DB0A13"/>
    <w:rsid w:val="00DB0EA1"/>
    <w:rsid w:val="00DB0F34"/>
    <w:rsid w:val="00DB13E3"/>
    <w:rsid w:val="00DB1624"/>
    <w:rsid w:val="00DB1A01"/>
    <w:rsid w:val="00DB1D9E"/>
    <w:rsid w:val="00DB1FC9"/>
    <w:rsid w:val="00DB2535"/>
    <w:rsid w:val="00DB2EFA"/>
    <w:rsid w:val="00DB3743"/>
    <w:rsid w:val="00DB3C52"/>
    <w:rsid w:val="00DB402D"/>
    <w:rsid w:val="00DB4B27"/>
    <w:rsid w:val="00DB5707"/>
    <w:rsid w:val="00DB575A"/>
    <w:rsid w:val="00DB594C"/>
    <w:rsid w:val="00DB5A45"/>
    <w:rsid w:val="00DB5BC8"/>
    <w:rsid w:val="00DB6179"/>
    <w:rsid w:val="00DB63E7"/>
    <w:rsid w:val="00DB6BE9"/>
    <w:rsid w:val="00DB6C56"/>
    <w:rsid w:val="00DB6FD9"/>
    <w:rsid w:val="00DB70E1"/>
    <w:rsid w:val="00DB7CF0"/>
    <w:rsid w:val="00DB7DEB"/>
    <w:rsid w:val="00DC0B2F"/>
    <w:rsid w:val="00DC0E76"/>
    <w:rsid w:val="00DC157E"/>
    <w:rsid w:val="00DC1730"/>
    <w:rsid w:val="00DC176A"/>
    <w:rsid w:val="00DC1AB2"/>
    <w:rsid w:val="00DC2128"/>
    <w:rsid w:val="00DC2B12"/>
    <w:rsid w:val="00DC2C5F"/>
    <w:rsid w:val="00DC301F"/>
    <w:rsid w:val="00DC3419"/>
    <w:rsid w:val="00DC34D8"/>
    <w:rsid w:val="00DC3EDA"/>
    <w:rsid w:val="00DC4065"/>
    <w:rsid w:val="00DC41CC"/>
    <w:rsid w:val="00DC4BCF"/>
    <w:rsid w:val="00DC4EFE"/>
    <w:rsid w:val="00DC5549"/>
    <w:rsid w:val="00DC5642"/>
    <w:rsid w:val="00DC578F"/>
    <w:rsid w:val="00DC5B6E"/>
    <w:rsid w:val="00DC5E50"/>
    <w:rsid w:val="00DC6B3C"/>
    <w:rsid w:val="00DC72F3"/>
    <w:rsid w:val="00DC75CF"/>
    <w:rsid w:val="00DC76CD"/>
    <w:rsid w:val="00DC7A3C"/>
    <w:rsid w:val="00DC7B83"/>
    <w:rsid w:val="00DC7FC3"/>
    <w:rsid w:val="00DD033C"/>
    <w:rsid w:val="00DD09E3"/>
    <w:rsid w:val="00DD0E14"/>
    <w:rsid w:val="00DD117C"/>
    <w:rsid w:val="00DD1988"/>
    <w:rsid w:val="00DD223D"/>
    <w:rsid w:val="00DD236B"/>
    <w:rsid w:val="00DD27CA"/>
    <w:rsid w:val="00DD29A5"/>
    <w:rsid w:val="00DD34A4"/>
    <w:rsid w:val="00DD37BA"/>
    <w:rsid w:val="00DD4C6F"/>
    <w:rsid w:val="00DD547C"/>
    <w:rsid w:val="00DD5829"/>
    <w:rsid w:val="00DD5E62"/>
    <w:rsid w:val="00DD6092"/>
    <w:rsid w:val="00DD6378"/>
    <w:rsid w:val="00DD692C"/>
    <w:rsid w:val="00DD7176"/>
    <w:rsid w:val="00DD72A4"/>
    <w:rsid w:val="00DD755B"/>
    <w:rsid w:val="00DD768B"/>
    <w:rsid w:val="00DD7698"/>
    <w:rsid w:val="00DD76C1"/>
    <w:rsid w:val="00DD78C8"/>
    <w:rsid w:val="00DD7A42"/>
    <w:rsid w:val="00DD7C56"/>
    <w:rsid w:val="00DD7F47"/>
    <w:rsid w:val="00DE016D"/>
    <w:rsid w:val="00DE0302"/>
    <w:rsid w:val="00DE030D"/>
    <w:rsid w:val="00DE06F2"/>
    <w:rsid w:val="00DE08F3"/>
    <w:rsid w:val="00DE0CD6"/>
    <w:rsid w:val="00DE0F7C"/>
    <w:rsid w:val="00DE12F4"/>
    <w:rsid w:val="00DE14C9"/>
    <w:rsid w:val="00DE1E67"/>
    <w:rsid w:val="00DE2035"/>
    <w:rsid w:val="00DE20F4"/>
    <w:rsid w:val="00DE2152"/>
    <w:rsid w:val="00DE26C2"/>
    <w:rsid w:val="00DE28DE"/>
    <w:rsid w:val="00DE29D4"/>
    <w:rsid w:val="00DE2ADE"/>
    <w:rsid w:val="00DE3428"/>
    <w:rsid w:val="00DE364C"/>
    <w:rsid w:val="00DE36D7"/>
    <w:rsid w:val="00DE3AFF"/>
    <w:rsid w:val="00DE3B0F"/>
    <w:rsid w:val="00DE3C81"/>
    <w:rsid w:val="00DE4608"/>
    <w:rsid w:val="00DE4C92"/>
    <w:rsid w:val="00DE5881"/>
    <w:rsid w:val="00DE6593"/>
    <w:rsid w:val="00DE6B27"/>
    <w:rsid w:val="00DE6B59"/>
    <w:rsid w:val="00DE70BD"/>
    <w:rsid w:val="00DE7203"/>
    <w:rsid w:val="00DE7445"/>
    <w:rsid w:val="00DE76C2"/>
    <w:rsid w:val="00DE7F3B"/>
    <w:rsid w:val="00DF0053"/>
    <w:rsid w:val="00DF012E"/>
    <w:rsid w:val="00DF03C5"/>
    <w:rsid w:val="00DF03EA"/>
    <w:rsid w:val="00DF0B93"/>
    <w:rsid w:val="00DF1312"/>
    <w:rsid w:val="00DF2549"/>
    <w:rsid w:val="00DF2C84"/>
    <w:rsid w:val="00DF2D6E"/>
    <w:rsid w:val="00DF2E43"/>
    <w:rsid w:val="00DF2F63"/>
    <w:rsid w:val="00DF3B73"/>
    <w:rsid w:val="00DF3BD2"/>
    <w:rsid w:val="00DF3E83"/>
    <w:rsid w:val="00DF44E8"/>
    <w:rsid w:val="00DF4594"/>
    <w:rsid w:val="00DF495B"/>
    <w:rsid w:val="00DF4A63"/>
    <w:rsid w:val="00DF4C67"/>
    <w:rsid w:val="00DF4E40"/>
    <w:rsid w:val="00DF52DD"/>
    <w:rsid w:val="00DF5406"/>
    <w:rsid w:val="00DF551E"/>
    <w:rsid w:val="00DF5C6B"/>
    <w:rsid w:val="00DF6167"/>
    <w:rsid w:val="00DF63E1"/>
    <w:rsid w:val="00DF6656"/>
    <w:rsid w:val="00DF67BC"/>
    <w:rsid w:val="00DF6B82"/>
    <w:rsid w:val="00DF7181"/>
    <w:rsid w:val="00DF7A95"/>
    <w:rsid w:val="00DF7BCF"/>
    <w:rsid w:val="00DF7F6F"/>
    <w:rsid w:val="00E004CE"/>
    <w:rsid w:val="00E005DF"/>
    <w:rsid w:val="00E011AD"/>
    <w:rsid w:val="00E01973"/>
    <w:rsid w:val="00E01A11"/>
    <w:rsid w:val="00E01CAE"/>
    <w:rsid w:val="00E01E82"/>
    <w:rsid w:val="00E025ED"/>
    <w:rsid w:val="00E036C9"/>
    <w:rsid w:val="00E03720"/>
    <w:rsid w:val="00E03F4B"/>
    <w:rsid w:val="00E04636"/>
    <w:rsid w:val="00E048DA"/>
    <w:rsid w:val="00E049E1"/>
    <w:rsid w:val="00E053E6"/>
    <w:rsid w:val="00E05562"/>
    <w:rsid w:val="00E05999"/>
    <w:rsid w:val="00E05A4D"/>
    <w:rsid w:val="00E06420"/>
    <w:rsid w:val="00E068CB"/>
    <w:rsid w:val="00E06EAC"/>
    <w:rsid w:val="00E07176"/>
    <w:rsid w:val="00E0720A"/>
    <w:rsid w:val="00E0757D"/>
    <w:rsid w:val="00E07F62"/>
    <w:rsid w:val="00E1033D"/>
    <w:rsid w:val="00E1080D"/>
    <w:rsid w:val="00E10A1E"/>
    <w:rsid w:val="00E10A8C"/>
    <w:rsid w:val="00E10FC0"/>
    <w:rsid w:val="00E1141C"/>
    <w:rsid w:val="00E12107"/>
    <w:rsid w:val="00E12470"/>
    <w:rsid w:val="00E12C52"/>
    <w:rsid w:val="00E12D06"/>
    <w:rsid w:val="00E12F9C"/>
    <w:rsid w:val="00E133AB"/>
    <w:rsid w:val="00E13EDF"/>
    <w:rsid w:val="00E1486C"/>
    <w:rsid w:val="00E15174"/>
    <w:rsid w:val="00E15342"/>
    <w:rsid w:val="00E154CA"/>
    <w:rsid w:val="00E155E4"/>
    <w:rsid w:val="00E163E4"/>
    <w:rsid w:val="00E16794"/>
    <w:rsid w:val="00E16FA3"/>
    <w:rsid w:val="00E177F8"/>
    <w:rsid w:val="00E1781F"/>
    <w:rsid w:val="00E17B9A"/>
    <w:rsid w:val="00E201D5"/>
    <w:rsid w:val="00E2038D"/>
    <w:rsid w:val="00E20B06"/>
    <w:rsid w:val="00E20CDE"/>
    <w:rsid w:val="00E20D06"/>
    <w:rsid w:val="00E20E6E"/>
    <w:rsid w:val="00E21E55"/>
    <w:rsid w:val="00E228A5"/>
    <w:rsid w:val="00E22F87"/>
    <w:rsid w:val="00E235F4"/>
    <w:rsid w:val="00E24979"/>
    <w:rsid w:val="00E24A48"/>
    <w:rsid w:val="00E24FF6"/>
    <w:rsid w:val="00E250C4"/>
    <w:rsid w:val="00E25258"/>
    <w:rsid w:val="00E254C0"/>
    <w:rsid w:val="00E255B2"/>
    <w:rsid w:val="00E25621"/>
    <w:rsid w:val="00E25705"/>
    <w:rsid w:val="00E2575B"/>
    <w:rsid w:val="00E25760"/>
    <w:rsid w:val="00E25F75"/>
    <w:rsid w:val="00E2660D"/>
    <w:rsid w:val="00E272EB"/>
    <w:rsid w:val="00E2746C"/>
    <w:rsid w:val="00E2750A"/>
    <w:rsid w:val="00E27F6A"/>
    <w:rsid w:val="00E3049D"/>
    <w:rsid w:val="00E305BB"/>
    <w:rsid w:val="00E30640"/>
    <w:rsid w:val="00E30729"/>
    <w:rsid w:val="00E30CB9"/>
    <w:rsid w:val="00E314ED"/>
    <w:rsid w:val="00E315DD"/>
    <w:rsid w:val="00E31983"/>
    <w:rsid w:val="00E321E9"/>
    <w:rsid w:val="00E324C7"/>
    <w:rsid w:val="00E32C21"/>
    <w:rsid w:val="00E32DF0"/>
    <w:rsid w:val="00E33158"/>
    <w:rsid w:val="00E333CA"/>
    <w:rsid w:val="00E33487"/>
    <w:rsid w:val="00E337C4"/>
    <w:rsid w:val="00E33BF7"/>
    <w:rsid w:val="00E33DB1"/>
    <w:rsid w:val="00E340B1"/>
    <w:rsid w:val="00E34530"/>
    <w:rsid w:val="00E345AB"/>
    <w:rsid w:val="00E34B57"/>
    <w:rsid w:val="00E34E25"/>
    <w:rsid w:val="00E35D5E"/>
    <w:rsid w:val="00E363C7"/>
    <w:rsid w:val="00E3730F"/>
    <w:rsid w:val="00E37B21"/>
    <w:rsid w:val="00E37D6D"/>
    <w:rsid w:val="00E37FCF"/>
    <w:rsid w:val="00E4011C"/>
    <w:rsid w:val="00E40285"/>
    <w:rsid w:val="00E407F5"/>
    <w:rsid w:val="00E409D7"/>
    <w:rsid w:val="00E40ABD"/>
    <w:rsid w:val="00E40FE7"/>
    <w:rsid w:val="00E41372"/>
    <w:rsid w:val="00E4139B"/>
    <w:rsid w:val="00E4174A"/>
    <w:rsid w:val="00E42282"/>
    <w:rsid w:val="00E4241E"/>
    <w:rsid w:val="00E42745"/>
    <w:rsid w:val="00E42D10"/>
    <w:rsid w:val="00E42D7B"/>
    <w:rsid w:val="00E42F74"/>
    <w:rsid w:val="00E43384"/>
    <w:rsid w:val="00E4356E"/>
    <w:rsid w:val="00E43F8D"/>
    <w:rsid w:val="00E444F9"/>
    <w:rsid w:val="00E448C6"/>
    <w:rsid w:val="00E45796"/>
    <w:rsid w:val="00E45E34"/>
    <w:rsid w:val="00E462D0"/>
    <w:rsid w:val="00E464C1"/>
    <w:rsid w:val="00E46657"/>
    <w:rsid w:val="00E46663"/>
    <w:rsid w:val="00E46A72"/>
    <w:rsid w:val="00E46D10"/>
    <w:rsid w:val="00E47043"/>
    <w:rsid w:val="00E4736A"/>
    <w:rsid w:val="00E503C6"/>
    <w:rsid w:val="00E50677"/>
    <w:rsid w:val="00E50DF9"/>
    <w:rsid w:val="00E510F5"/>
    <w:rsid w:val="00E5128E"/>
    <w:rsid w:val="00E51520"/>
    <w:rsid w:val="00E518B1"/>
    <w:rsid w:val="00E51D0D"/>
    <w:rsid w:val="00E52B15"/>
    <w:rsid w:val="00E52D6A"/>
    <w:rsid w:val="00E533A8"/>
    <w:rsid w:val="00E53807"/>
    <w:rsid w:val="00E53A57"/>
    <w:rsid w:val="00E53DFF"/>
    <w:rsid w:val="00E53FCE"/>
    <w:rsid w:val="00E54F55"/>
    <w:rsid w:val="00E5504E"/>
    <w:rsid w:val="00E55160"/>
    <w:rsid w:val="00E55DE0"/>
    <w:rsid w:val="00E55ED7"/>
    <w:rsid w:val="00E562D4"/>
    <w:rsid w:val="00E562E4"/>
    <w:rsid w:val="00E5638C"/>
    <w:rsid w:val="00E5695E"/>
    <w:rsid w:val="00E56B33"/>
    <w:rsid w:val="00E57109"/>
    <w:rsid w:val="00E57433"/>
    <w:rsid w:val="00E6108A"/>
    <w:rsid w:val="00E613FA"/>
    <w:rsid w:val="00E62279"/>
    <w:rsid w:val="00E6284E"/>
    <w:rsid w:val="00E63B75"/>
    <w:rsid w:val="00E64310"/>
    <w:rsid w:val="00E6475E"/>
    <w:rsid w:val="00E652CC"/>
    <w:rsid w:val="00E655B0"/>
    <w:rsid w:val="00E65C5E"/>
    <w:rsid w:val="00E65D8A"/>
    <w:rsid w:val="00E65E3F"/>
    <w:rsid w:val="00E66343"/>
    <w:rsid w:val="00E672D6"/>
    <w:rsid w:val="00E678EF"/>
    <w:rsid w:val="00E67904"/>
    <w:rsid w:val="00E7036A"/>
    <w:rsid w:val="00E7092F"/>
    <w:rsid w:val="00E7095A"/>
    <w:rsid w:val="00E7187B"/>
    <w:rsid w:val="00E726ED"/>
    <w:rsid w:val="00E728DC"/>
    <w:rsid w:val="00E72FC2"/>
    <w:rsid w:val="00E741B0"/>
    <w:rsid w:val="00E74210"/>
    <w:rsid w:val="00E742A5"/>
    <w:rsid w:val="00E74BC5"/>
    <w:rsid w:val="00E751A7"/>
    <w:rsid w:val="00E75C01"/>
    <w:rsid w:val="00E75D17"/>
    <w:rsid w:val="00E76094"/>
    <w:rsid w:val="00E76E4F"/>
    <w:rsid w:val="00E77924"/>
    <w:rsid w:val="00E77AAE"/>
    <w:rsid w:val="00E77BB9"/>
    <w:rsid w:val="00E77DA8"/>
    <w:rsid w:val="00E801D8"/>
    <w:rsid w:val="00E80478"/>
    <w:rsid w:val="00E8071C"/>
    <w:rsid w:val="00E81A62"/>
    <w:rsid w:val="00E81D9E"/>
    <w:rsid w:val="00E82077"/>
    <w:rsid w:val="00E8246B"/>
    <w:rsid w:val="00E82BDE"/>
    <w:rsid w:val="00E82EDD"/>
    <w:rsid w:val="00E8322B"/>
    <w:rsid w:val="00E83517"/>
    <w:rsid w:val="00E837BE"/>
    <w:rsid w:val="00E83DB3"/>
    <w:rsid w:val="00E84385"/>
    <w:rsid w:val="00E8441B"/>
    <w:rsid w:val="00E84621"/>
    <w:rsid w:val="00E84EC3"/>
    <w:rsid w:val="00E8549B"/>
    <w:rsid w:val="00E855AE"/>
    <w:rsid w:val="00E857CA"/>
    <w:rsid w:val="00E871DF"/>
    <w:rsid w:val="00E87BC6"/>
    <w:rsid w:val="00E90C89"/>
    <w:rsid w:val="00E9170A"/>
    <w:rsid w:val="00E91922"/>
    <w:rsid w:val="00E91A0C"/>
    <w:rsid w:val="00E9258E"/>
    <w:rsid w:val="00E925C0"/>
    <w:rsid w:val="00E92ED1"/>
    <w:rsid w:val="00E935FC"/>
    <w:rsid w:val="00E9483F"/>
    <w:rsid w:val="00E94B39"/>
    <w:rsid w:val="00E94CDE"/>
    <w:rsid w:val="00E94D7F"/>
    <w:rsid w:val="00E951A9"/>
    <w:rsid w:val="00E952A7"/>
    <w:rsid w:val="00E95334"/>
    <w:rsid w:val="00E95353"/>
    <w:rsid w:val="00E95B6B"/>
    <w:rsid w:val="00E95E58"/>
    <w:rsid w:val="00E95E84"/>
    <w:rsid w:val="00E9611B"/>
    <w:rsid w:val="00E967FF"/>
    <w:rsid w:val="00E96914"/>
    <w:rsid w:val="00E97779"/>
    <w:rsid w:val="00EA0069"/>
    <w:rsid w:val="00EA1204"/>
    <w:rsid w:val="00EA19B2"/>
    <w:rsid w:val="00EA1C08"/>
    <w:rsid w:val="00EA1F19"/>
    <w:rsid w:val="00EA2386"/>
    <w:rsid w:val="00EA2584"/>
    <w:rsid w:val="00EA2C7F"/>
    <w:rsid w:val="00EA3883"/>
    <w:rsid w:val="00EA4854"/>
    <w:rsid w:val="00EA4983"/>
    <w:rsid w:val="00EA5193"/>
    <w:rsid w:val="00EA5972"/>
    <w:rsid w:val="00EA5F38"/>
    <w:rsid w:val="00EA6568"/>
    <w:rsid w:val="00EA7133"/>
    <w:rsid w:val="00EA7551"/>
    <w:rsid w:val="00EA7652"/>
    <w:rsid w:val="00EA7E4D"/>
    <w:rsid w:val="00EB00C4"/>
    <w:rsid w:val="00EB00F8"/>
    <w:rsid w:val="00EB04C6"/>
    <w:rsid w:val="00EB050E"/>
    <w:rsid w:val="00EB0BCF"/>
    <w:rsid w:val="00EB1CD8"/>
    <w:rsid w:val="00EB21D8"/>
    <w:rsid w:val="00EB22C3"/>
    <w:rsid w:val="00EB26DE"/>
    <w:rsid w:val="00EB32B0"/>
    <w:rsid w:val="00EB32C5"/>
    <w:rsid w:val="00EB3518"/>
    <w:rsid w:val="00EB366B"/>
    <w:rsid w:val="00EB440D"/>
    <w:rsid w:val="00EB4587"/>
    <w:rsid w:val="00EB4E75"/>
    <w:rsid w:val="00EB545B"/>
    <w:rsid w:val="00EB5D51"/>
    <w:rsid w:val="00EB63D0"/>
    <w:rsid w:val="00EB6657"/>
    <w:rsid w:val="00EB71E3"/>
    <w:rsid w:val="00EB72FC"/>
    <w:rsid w:val="00EB7638"/>
    <w:rsid w:val="00EB7801"/>
    <w:rsid w:val="00EB7D58"/>
    <w:rsid w:val="00EB7F41"/>
    <w:rsid w:val="00EC07B0"/>
    <w:rsid w:val="00EC0BBF"/>
    <w:rsid w:val="00EC0C43"/>
    <w:rsid w:val="00EC13B4"/>
    <w:rsid w:val="00EC19A0"/>
    <w:rsid w:val="00EC2D6A"/>
    <w:rsid w:val="00EC30A0"/>
    <w:rsid w:val="00EC31FE"/>
    <w:rsid w:val="00EC3D9F"/>
    <w:rsid w:val="00EC3E2E"/>
    <w:rsid w:val="00EC3F2D"/>
    <w:rsid w:val="00EC4184"/>
    <w:rsid w:val="00EC41CB"/>
    <w:rsid w:val="00EC43EE"/>
    <w:rsid w:val="00EC5092"/>
    <w:rsid w:val="00EC5F48"/>
    <w:rsid w:val="00EC62EE"/>
    <w:rsid w:val="00EC6C43"/>
    <w:rsid w:val="00EC7567"/>
    <w:rsid w:val="00ED0369"/>
    <w:rsid w:val="00ED0463"/>
    <w:rsid w:val="00ED05C6"/>
    <w:rsid w:val="00ED0655"/>
    <w:rsid w:val="00ED09DF"/>
    <w:rsid w:val="00ED0EF4"/>
    <w:rsid w:val="00ED1120"/>
    <w:rsid w:val="00ED11A9"/>
    <w:rsid w:val="00ED1312"/>
    <w:rsid w:val="00ED14A1"/>
    <w:rsid w:val="00ED186E"/>
    <w:rsid w:val="00ED1A3D"/>
    <w:rsid w:val="00ED1AA0"/>
    <w:rsid w:val="00ED319B"/>
    <w:rsid w:val="00ED325F"/>
    <w:rsid w:val="00ED3405"/>
    <w:rsid w:val="00ED34FD"/>
    <w:rsid w:val="00ED3B11"/>
    <w:rsid w:val="00ED4528"/>
    <w:rsid w:val="00ED482C"/>
    <w:rsid w:val="00ED503E"/>
    <w:rsid w:val="00ED55C7"/>
    <w:rsid w:val="00ED5B9E"/>
    <w:rsid w:val="00ED5CEC"/>
    <w:rsid w:val="00ED5D44"/>
    <w:rsid w:val="00ED6875"/>
    <w:rsid w:val="00ED68CB"/>
    <w:rsid w:val="00ED6AEA"/>
    <w:rsid w:val="00ED6D45"/>
    <w:rsid w:val="00ED7123"/>
    <w:rsid w:val="00ED76AF"/>
    <w:rsid w:val="00ED77AA"/>
    <w:rsid w:val="00ED77CE"/>
    <w:rsid w:val="00ED7C2A"/>
    <w:rsid w:val="00ED7D4C"/>
    <w:rsid w:val="00ED7DC5"/>
    <w:rsid w:val="00ED7DD1"/>
    <w:rsid w:val="00ED7DD6"/>
    <w:rsid w:val="00ED7E85"/>
    <w:rsid w:val="00EE09AA"/>
    <w:rsid w:val="00EE0A18"/>
    <w:rsid w:val="00EE0B0F"/>
    <w:rsid w:val="00EE0B21"/>
    <w:rsid w:val="00EE10C4"/>
    <w:rsid w:val="00EE11C0"/>
    <w:rsid w:val="00EE1A49"/>
    <w:rsid w:val="00EE1A9F"/>
    <w:rsid w:val="00EE243F"/>
    <w:rsid w:val="00EE26BE"/>
    <w:rsid w:val="00EE2D7A"/>
    <w:rsid w:val="00EE2DEA"/>
    <w:rsid w:val="00EE311F"/>
    <w:rsid w:val="00EE3870"/>
    <w:rsid w:val="00EE3B3E"/>
    <w:rsid w:val="00EE3D4E"/>
    <w:rsid w:val="00EE3E9D"/>
    <w:rsid w:val="00EE4BFB"/>
    <w:rsid w:val="00EE4F9B"/>
    <w:rsid w:val="00EE50FA"/>
    <w:rsid w:val="00EE5631"/>
    <w:rsid w:val="00EE5996"/>
    <w:rsid w:val="00EE59EF"/>
    <w:rsid w:val="00EE5DE1"/>
    <w:rsid w:val="00EE60FF"/>
    <w:rsid w:val="00EE6217"/>
    <w:rsid w:val="00EE649A"/>
    <w:rsid w:val="00EE6745"/>
    <w:rsid w:val="00EE687B"/>
    <w:rsid w:val="00EE6AAF"/>
    <w:rsid w:val="00EE7171"/>
    <w:rsid w:val="00EE74C8"/>
    <w:rsid w:val="00EE7B94"/>
    <w:rsid w:val="00EE7DC8"/>
    <w:rsid w:val="00EF0030"/>
    <w:rsid w:val="00EF0390"/>
    <w:rsid w:val="00EF06A2"/>
    <w:rsid w:val="00EF0EA0"/>
    <w:rsid w:val="00EF1842"/>
    <w:rsid w:val="00EF25D5"/>
    <w:rsid w:val="00EF29AD"/>
    <w:rsid w:val="00EF2B5A"/>
    <w:rsid w:val="00EF3310"/>
    <w:rsid w:val="00EF3492"/>
    <w:rsid w:val="00EF3779"/>
    <w:rsid w:val="00EF3972"/>
    <w:rsid w:val="00EF4ACC"/>
    <w:rsid w:val="00EF4CEF"/>
    <w:rsid w:val="00EF5261"/>
    <w:rsid w:val="00EF5757"/>
    <w:rsid w:val="00EF5AE7"/>
    <w:rsid w:val="00EF5FB7"/>
    <w:rsid w:val="00EF5FBC"/>
    <w:rsid w:val="00EF6102"/>
    <w:rsid w:val="00EF6128"/>
    <w:rsid w:val="00EF6263"/>
    <w:rsid w:val="00EF6266"/>
    <w:rsid w:val="00EF62C1"/>
    <w:rsid w:val="00EF6404"/>
    <w:rsid w:val="00EF65B5"/>
    <w:rsid w:val="00EF6D39"/>
    <w:rsid w:val="00EF6D9F"/>
    <w:rsid w:val="00EF6F65"/>
    <w:rsid w:val="00EF6FA5"/>
    <w:rsid w:val="00EF72EF"/>
    <w:rsid w:val="00EF73B0"/>
    <w:rsid w:val="00EF7787"/>
    <w:rsid w:val="00EF7933"/>
    <w:rsid w:val="00EF7E93"/>
    <w:rsid w:val="00EF7F35"/>
    <w:rsid w:val="00F0013F"/>
    <w:rsid w:val="00F00205"/>
    <w:rsid w:val="00F00D0C"/>
    <w:rsid w:val="00F00DE9"/>
    <w:rsid w:val="00F00E3A"/>
    <w:rsid w:val="00F01528"/>
    <w:rsid w:val="00F0167C"/>
    <w:rsid w:val="00F01950"/>
    <w:rsid w:val="00F01B5C"/>
    <w:rsid w:val="00F03609"/>
    <w:rsid w:val="00F04069"/>
    <w:rsid w:val="00F0465B"/>
    <w:rsid w:val="00F054EC"/>
    <w:rsid w:val="00F05C0B"/>
    <w:rsid w:val="00F05C83"/>
    <w:rsid w:val="00F05D72"/>
    <w:rsid w:val="00F05F98"/>
    <w:rsid w:val="00F0607B"/>
    <w:rsid w:val="00F0624D"/>
    <w:rsid w:val="00F062AC"/>
    <w:rsid w:val="00F06887"/>
    <w:rsid w:val="00F07375"/>
    <w:rsid w:val="00F0759B"/>
    <w:rsid w:val="00F1007A"/>
    <w:rsid w:val="00F100C9"/>
    <w:rsid w:val="00F1066B"/>
    <w:rsid w:val="00F11432"/>
    <w:rsid w:val="00F11A93"/>
    <w:rsid w:val="00F1211A"/>
    <w:rsid w:val="00F122FD"/>
    <w:rsid w:val="00F12593"/>
    <w:rsid w:val="00F12735"/>
    <w:rsid w:val="00F12A3C"/>
    <w:rsid w:val="00F12DE5"/>
    <w:rsid w:val="00F1336E"/>
    <w:rsid w:val="00F14EA8"/>
    <w:rsid w:val="00F16341"/>
    <w:rsid w:val="00F1656D"/>
    <w:rsid w:val="00F16644"/>
    <w:rsid w:val="00F17193"/>
    <w:rsid w:val="00F176C5"/>
    <w:rsid w:val="00F17BFA"/>
    <w:rsid w:val="00F17CCF"/>
    <w:rsid w:val="00F17DCD"/>
    <w:rsid w:val="00F20368"/>
    <w:rsid w:val="00F2043D"/>
    <w:rsid w:val="00F20835"/>
    <w:rsid w:val="00F20A3E"/>
    <w:rsid w:val="00F217D5"/>
    <w:rsid w:val="00F22563"/>
    <w:rsid w:val="00F22969"/>
    <w:rsid w:val="00F22DA5"/>
    <w:rsid w:val="00F23351"/>
    <w:rsid w:val="00F23B5B"/>
    <w:rsid w:val="00F242EB"/>
    <w:rsid w:val="00F243D3"/>
    <w:rsid w:val="00F245AC"/>
    <w:rsid w:val="00F25471"/>
    <w:rsid w:val="00F26160"/>
    <w:rsid w:val="00F26476"/>
    <w:rsid w:val="00F265AC"/>
    <w:rsid w:val="00F26B83"/>
    <w:rsid w:val="00F26C1A"/>
    <w:rsid w:val="00F27461"/>
    <w:rsid w:val="00F27751"/>
    <w:rsid w:val="00F2794A"/>
    <w:rsid w:val="00F3134B"/>
    <w:rsid w:val="00F316B2"/>
    <w:rsid w:val="00F31843"/>
    <w:rsid w:val="00F31D6F"/>
    <w:rsid w:val="00F32293"/>
    <w:rsid w:val="00F3233F"/>
    <w:rsid w:val="00F323BB"/>
    <w:rsid w:val="00F325DE"/>
    <w:rsid w:val="00F32A57"/>
    <w:rsid w:val="00F32B92"/>
    <w:rsid w:val="00F330A7"/>
    <w:rsid w:val="00F3328A"/>
    <w:rsid w:val="00F33317"/>
    <w:rsid w:val="00F3342C"/>
    <w:rsid w:val="00F33A90"/>
    <w:rsid w:val="00F344FA"/>
    <w:rsid w:val="00F35941"/>
    <w:rsid w:val="00F3635B"/>
    <w:rsid w:val="00F36450"/>
    <w:rsid w:val="00F364DB"/>
    <w:rsid w:val="00F36532"/>
    <w:rsid w:val="00F36559"/>
    <w:rsid w:val="00F365F4"/>
    <w:rsid w:val="00F36705"/>
    <w:rsid w:val="00F3681F"/>
    <w:rsid w:val="00F36E88"/>
    <w:rsid w:val="00F3724A"/>
    <w:rsid w:val="00F372E9"/>
    <w:rsid w:val="00F3747C"/>
    <w:rsid w:val="00F374B3"/>
    <w:rsid w:val="00F375AA"/>
    <w:rsid w:val="00F379BA"/>
    <w:rsid w:val="00F40275"/>
    <w:rsid w:val="00F40434"/>
    <w:rsid w:val="00F407D4"/>
    <w:rsid w:val="00F40866"/>
    <w:rsid w:val="00F40A25"/>
    <w:rsid w:val="00F40B07"/>
    <w:rsid w:val="00F40B0E"/>
    <w:rsid w:val="00F40C0D"/>
    <w:rsid w:val="00F40D95"/>
    <w:rsid w:val="00F412EC"/>
    <w:rsid w:val="00F41416"/>
    <w:rsid w:val="00F414E9"/>
    <w:rsid w:val="00F41B3A"/>
    <w:rsid w:val="00F41D78"/>
    <w:rsid w:val="00F41E86"/>
    <w:rsid w:val="00F42309"/>
    <w:rsid w:val="00F428D7"/>
    <w:rsid w:val="00F42A32"/>
    <w:rsid w:val="00F42FFA"/>
    <w:rsid w:val="00F440D0"/>
    <w:rsid w:val="00F44501"/>
    <w:rsid w:val="00F44630"/>
    <w:rsid w:val="00F44CBB"/>
    <w:rsid w:val="00F44CC3"/>
    <w:rsid w:val="00F454D3"/>
    <w:rsid w:val="00F4566E"/>
    <w:rsid w:val="00F45ACB"/>
    <w:rsid w:val="00F46B0B"/>
    <w:rsid w:val="00F47255"/>
    <w:rsid w:val="00F4726B"/>
    <w:rsid w:val="00F474A1"/>
    <w:rsid w:val="00F47826"/>
    <w:rsid w:val="00F47AB8"/>
    <w:rsid w:val="00F47B32"/>
    <w:rsid w:val="00F47CA4"/>
    <w:rsid w:val="00F5000E"/>
    <w:rsid w:val="00F50114"/>
    <w:rsid w:val="00F505D2"/>
    <w:rsid w:val="00F509DD"/>
    <w:rsid w:val="00F50A9E"/>
    <w:rsid w:val="00F50B2B"/>
    <w:rsid w:val="00F50C3F"/>
    <w:rsid w:val="00F510E8"/>
    <w:rsid w:val="00F5224A"/>
    <w:rsid w:val="00F529F6"/>
    <w:rsid w:val="00F530CE"/>
    <w:rsid w:val="00F53102"/>
    <w:rsid w:val="00F53548"/>
    <w:rsid w:val="00F53B17"/>
    <w:rsid w:val="00F53BDD"/>
    <w:rsid w:val="00F53C8F"/>
    <w:rsid w:val="00F5409E"/>
    <w:rsid w:val="00F548F8"/>
    <w:rsid w:val="00F54AB5"/>
    <w:rsid w:val="00F556A7"/>
    <w:rsid w:val="00F55BCA"/>
    <w:rsid w:val="00F56E5A"/>
    <w:rsid w:val="00F57079"/>
    <w:rsid w:val="00F573E2"/>
    <w:rsid w:val="00F57576"/>
    <w:rsid w:val="00F578BC"/>
    <w:rsid w:val="00F57C97"/>
    <w:rsid w:val="00F57E7A"/>
    <w:rsid w:val="00F604AE"/>
    <w:rsid w:val="00F60575"/>
    <w:rsid w:val="00F6057B"/>
    <w:rsid w:val="00F609CF"/>
    <w:rsid w:val="00F60A9E"/>
    <w:rsid w:val="00F60C38"/>
    <w:rsid w:val="00F6122C"/>
    <w:rsid w:val="00F616A2"/>
    <w:rsid w:val="00F62021"/>
    <w:rsid w:val="00F62591"/>
    <w:rsid w:val="00F62812"/>
    <w:rsid w:val="00F62874"/>
    <w:rsid w:val="00F62DF7"/>
    <w:rsid w:val="00F62F5E"/>
    <w:rsid w:val="00F62F85"/>
    <w:rsid w:val="00F643A0"/>
    <w:rsid w:val="00F64497"/>
    <w:rsid w:val="00F646A1"/>
    <w:rsid w:val="00F64A75"/>
    <w:rsid w:val="00F65768"/>
    <w:rsid w:val="00F66A4A"/>
    <w:rsid w:val="00F66D3E"/>
    <w:rsid w:val="00F67178"/>
    <w:rsid w:val="00F6720C"/>
    <w:rsid w:val="00F67388"/>
    <w:rsid w:val="00F675B0"/>
    <w:rsid w:val="00F67633"/>
    <w:rsid w:val="00F67717"/>
    <w:rsid w:val="00F67A06"/>
    <w:rsid w:val="00F67DAB"/>
    <w:rsid w:val="00F7014E"/>
    <w:rsid w:val="00F70559"/>
    <w:rsid w:val="00F70830"/>
    <w:rsid w:val="00F70952"/>
    <w:rsid w:val="00F7098A"/>
    <w:rsid w:val="00F70B44"/>
    <w:rsid w:val="00F7157D"/>
    <w:rsid w:val="00F717E4"/>
    <w:rsid w:val="00F719C3"/>
    <w:rsid w:val="00F71C91"/>
    <w:rsid w:val="00F72780"/>
    <w:rsid w:val="00F72B10"/>
    <w:rsid w:val="00F72E70"/>
    <w:rsid w:val="00F7321C"/>
    <w:rsid w:val="00F73894"/>
    <w:rsid w:val="00F739CB"/>
    <w:rsid w:val="00F73CA0"/>
    <w:rsid w:val="00F73EF7"/>
    <w:rsid w:val="00F742AE"/>
    <w:rsid w:val="00F74553"/>
    <w:rsid w:val="00F7499E"/>
    <w:rsid w:val="00F74A28"/>
    <w:rsid w:val="00F74F9B"/>
    <w:rsid w:val="00F75191"/>
    <w:rsid w:val="00F766C7"/>
    <w:rsid w:val="00F767C6"/>
    <w:rsid w:val="00F768C9"/>
    <w:rsid w:val="00F76C69"/>
    <w:rsid w:val="00F76E5F"/>
    <w:rsid w:val="00F774D6"/>
    <w:rsid w:val="00F77653"/>
    <w:rsid w:val="00F77697"/>
    <w:rsid w:val="00F8000A"/>
    <w:rsid w:val="00F80299"/>
    <w:rsid w:val="00F804DC"/>
    <w:rsid w:val="00F80713"/>
    <w:rsid w:val="00F80A08"/>
    <w:rsid w:val="00F80B53"/>
    <w:rsid w:val="00F80F23"/>
    <w:rsid w:val="00F81068"/>
    <w:rsid w:val="00F812AB"/>
    <w:rsid w:val="00F812B4"/>
    <w:rsid w:val="00F8144F"/>
    <w:rsid w:val="00F81909"/>
    <w:rsid w:val="00F81B2C"/>
    <w:rsid w:val="00F81DFA"/>
    <w:rsid w:val="00F820B9"/>
    <w:rsid w:val="00F821FB"/>
    <w:rsid w:val="00F8235A"/>
    <w:rsid w:val="00F82BF6"/>
    <w:rsid w:val="00F83C96"/>
    <w:rsid w:val="00F8467E"/>
    <w:rsid w:val="00F848E3"/>
    <w:rsid w:val="00F84F90"/>
    <w:rsid w:val="00F85274"/>
    <w:rsid w:val="00F8566E"/>
    <w:rsid w:val="00F85F3C"/>
    <w:rsid w:val="00F86061"/>
    <w:rsid w:val="00F864F2"/>
    <w:rsid w:val="00F8659D"/>
    <w:rsid w:val="00F8663C"/>
    <w:rsid w:val="00F86868"/>
    <w:rsid w:val="00F86EE5"/>
    <w:rsid w:val="00F8724D"/>
    <w:rsid w:val="00F875BD"/>
    <w:rsid w:val="00F876BC"/>
    <w:rsid w:val="00F90855"/>
    <w:rsid w:val="00F90EF7"/>
    <w:rsid w:val="00F91620"/>
    <w:rsid w:val="00F91D35"/>
    <w:rsid w:val="00F91F41"/>
    <w:rsid w:val="00F92654"/>
    <w:rsid w:val="00F9277B"/>
    <w:rsid w:val="00F92DE4"/>
    <w:rsid w:val="00F93B02"/>
    <w:rsid w:val="00F94839"/>
    <w:rsid w:val="00F9488E"/>
    <w:rsid w:val="00F94913"/>
    <w:rsid w:val="00F94B90"/>
    <w:rsid w:val="00F953BF"/>
    <w:rsid w:val="00F957B8"/>
    <w:rsid w:val="00F95829"/>
    <w:rsid w:val="00F9588C"/>
    <w:rsid w:val="00F958DC"/>
    <w:rsid w:val="00F95972"/>
    <w:rsid w:val="00F96060"/>
    <w:rsid w:val="00F960AC"/>
    <w:rsid w:val="00F960DC"/>
    <w:rsid w:val="00F96503"/>
    <w:rsid w:val="00F96B61"/>
    <w:rsid w:val="00F97057"/>
    <w:rsid w:val="00F9799D"/>
    <w:rsid w:val="00F97D25"/>
    <w:rsid w:val="00F97E9B"/>
    <w:rsid w:val="00FA0AF1"/>
    <w:rsid w:val="00FA1010"/>
    <w:rsid w:val="00FA17D1"/>
    <w:rsid w:val="00FA1DBD"/>
    <w:rsid w:val="00FA1EC1"/>
    <w:rsid w:val="00FA24CA"/>
    <w:rsid w:val="00FA24F3"/>
    <w:rsid w:val="00FA2678"/>
    <w:rsid w:val="00FA2BE4"/>
    <w:rsid w:val="00FA390D"/>
    <w:rsid w:val="00FA3C67"/>
    <w:rsid w:val="00FA3E65"/>
    <w:rsid w:val="00FA45AC"/>
    <w:rsid w:val="00FA48ED"/>
    <w:rsid w:val="00FA515A"/>
    <w:rsid w:val="00FA5FAF"/>
    <w:rsid w:val="00FA611D"/>
    <w:rsid w:val="00FA6A14"/>
    <w:rsid w:val="00FA6C2F"/>
    <w:rsid w:val="00FA6CAC"/>
    <w:rsid w:val="00FA7194"/>
    <w:rsid w:val="00FA7667"/>
    <w:rsid w:val="00FA774D"/>
    <w:rsid w:val="00FA7AB6"/>
    <w:rsid w:val="00FA7AC2"/>
    <w:rsid w:val="00FA7F20"/>
    <w:rsid w:val="00FB0061"/>
    <w:rsid w:val="00FB0F46"/>
    <w:rsid w:val="00FB12A5"/>
    <w:rsid w:val="00FB18B1"/>
    <w:rsid w:val="00FB1A4B"/>
    <w:rsid w:val="00FB1A6A"/>
    <w:rsid w:val="00FB1EA9"/>
    <w:rsid w:val="00FB218C"/>
    <w:rsid w:val="00FB2669"/>
    <w:rsid w:val="00FB3081"/>
    <w:rsid w:val="00FB345F"/>
    <w:rsid w:val="00FB3462"/>
    <w:rsid w:val="00FB3580"/>
    <w:rsid w:val="00FB42BB"/>
    <w:rsid w:val="00FB4393"/>
    <w:rsid w:val="00FB49E0"/>
    <w:rsid w:val="00FB4F75"/>
    <w:rsid w:val="00FB5265"/>
    <w:rsid w:val="00FB5527"/>
    <w:rsid w:val="00FB58F4"/>
    <w:rsid w:val="00FB6127"/>
    <w:rsid w:val="00FB64BD"/>
    <w:rsid w:val="00FB6811"/>
    <w:rsid w:val="00FB6C4A"/>
    <w:rsid w:val="00FB6F0B"/>
    <w:rsid w:val="00FB6F7D"/>
    <w:rsid w:val="00FB70FB"/>
    <w:rsid w:val="00FB75AD"/>
    <w:rsid w:val="00FC0115"/>
    <w:rsid w:val="00FC020C"/>
    <w:rsid w:val="00FC0791"/>
    <w:rsid w:val="00FC082B"/>
    <w:rsid w:val="00FC0E83"/>
    <w:rsid w:val="00FC0EAD"/>
    <w:rsid w:val="00FC11FB"/>
    <w:rsid w:val="00FC17E5"/>
    <w:rsid w:val="00FC18CF"/>
    <w:rsid w:val="00FC2183"/>
    <w:rsid w:val="00FC21AB"/>
    <w:rsid w:val="00FC240A"/>
    <w:rsid w:val="00FC27F7"/>
    <w:rsid w:val="00FC3353"/>
    <w:rsid w:val="00FC3C27"/>
    <w:rsid w:val="00FC4525"/>
    <w:rsid w:val="00FC49BF"/>
    <w:rsid w:val="00FC4A22"/>
    <w:rsid w:val="00FC4AAB"/>
    <w:rsid w:val="00FC4E1F"/>
    <w:rsid w:val="00FC508C"/>
    <w:rsid w:val="00FC5126"/>
    <w:rsid w:val="00FC532C"/>
    <w:rsid w:val="00FC5527"/>
    <w:rsid w:val="00FC5AFF"/>
    <w:rsid w:val="00FC6436"/>
    <w:rsid w:val="00FC644E"/>
    <w:rsid w:val="00FC669E"/>
    <w:rsid w:val="00FC6C92"/>
    <w:rsid w:val="00FC6CBE"/>
    <w:rsid w:val="00FC6FE9"/>
    <w:rsid w:val="00FC74BC"/>
    <w:rsid w:val="00FC74FB"/>
    <w:rsid w:val="00FC799A"/>
    <w:rsid w:val="00FC79B5"/>
    <w:rsid w:val="00FD0BF4"/>
    <w:rsid w:val="00FD0DD3"/>
    <w:rsid w:val="00FD136B"/>
    <w:rsid w:val="00FD17BC"/>
    <w:rsid w:val="00FD1D36"/>
    <w:rsid w:val="00FD29CD"/>
    <w:rsid w:val="00FD2D5B"/>
    <w:rsid w:val="00FD2D78"/>
    <w:rsid w:val="00FD2D99"/>
    <w:rsid w:val="00FD2EAF"/>
    <w:rsid w:val="00FD3563"/>
    <w:rsid w:val="00FD471D"/>
    <w:rsid w:val="00FD4B58"/>
    <w:rsid w:val="00FD4CEA"/>
    <w:rsid w:val="00FD5034"/>
    <w:rsid w:val="00FD51C1"/>
    <w:rsid w:val="00FD5207"/>
    <w:rsid w:val="00FD5247"/>
    <w:rsid w:val="00FD54C1"/>
    <w:rsid w:val="00FD55EC"/>
    <w:rsid w:val="00FD5738"/>
    <w:rsid w:val="00FD5A7F"/>
    <w:rsid w:val="00FD5ADA"/>
    <w:rsid w:val="00FD7C8A"/>
    <w:rsid w:val="00FD7E5D"/>
    <w:rsid w:val="00FE0618"/>
    <w:rsid w:val="00FE076C"/>
    <w:rsid w:val="00FE08D7"/>
    <w:rsid w:val="00FE0A7F"/>
    <w:rsid w:val="00FE12B7"/>
    <w:rsid w:val="00FE146C"/>
    <w:rsid w:val="00FE17DB"/>
    <w:rsid w:val="00FE1A11"/>
    <w:rsid w:val="00FE2110"/>
    <w:rsid w:val="00FE28F8"/>
    <w:rsid w:val="00FE2949"/>
    <w:rsid w:val="00FE425B"/>
    <w:rsid w:val="00FE4A1B"/>
    <w:rsid w:val="00FE4A3F"/>
    <w:rsid w:val="00FE4EB4"/>
    <w:rsid w:val="00FE5031"/>
    <w:rsid w:val="00FE5146"/>
    <w:rsid w:val="00FE5778"/>
    <w:rsid w:val="00FE6569"/>
    <w:rsid w:val="00FE6C4C"/>
    <w:rsid w:val="00FE6F6C"/>
    <w:rsid w:val="00FE6F7E"/>
    <w:rsid w:val="00FE700A"/>
    <w:rsid w:val="00FE71EA"/>
    <w:rsid w:val="00FE78B0"/>
    <w:rsid w:val="00FE7B75"/>
    <w:rsid w:val="00FF0159"/>
    <w:rsid w:val="00FF0275"/>
    <w:rsid w:val="00FF1E5B"/>
    <w:rsid w:val="00FF2585"/>
    <w:rsid w:val="00FF2B52"/>
    <w:rsid w:val="00FF34FF"/>
    <w:rsid w:val="00FF39CD"/>
    <w:rsid w:val="00FF3A07"/>
    <w:rsid w:val="00FF3D93"/>
    <w:rsid w:val="00FF3FC4"/>
    <w:rsid w:val="00FF454C"/>
    <w:rsid w:val="00FF4869"/>
    <w:rsid w:val="00FF5058"/>
    <w:rsid w:val="00FF581E"/>
    <w:rsid w:val="00FF5A89"/>
    <w:rsid w:val="00FF5EC3"/>
    <w:rsid w:val="00FF68C7"/>
    <w:rsid w:val="00FF6FDC"/>
    <w:rsid w:val="00FF6FF4"/>
    <w:rsid w:val="00FF719A"/>
    <w:rsid w:val="00FF7228"/>
    <w:rsid w:val="00FF72E1"/>
    <w:rsid w:val="00FF7740"/>
    <w:rsid w:val="00FF7747"/>
    <w:rsid w:val="00FF7AC2"/>
    <w:rsid w:val="00FF7FA7"/>
    <w:rsid w:val="00FF7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D7CF8"/>
    <w:pPr>
      <w:spacing w:after="120"/>
      <w:jc w:val="both"/>
    </w:pPr>
    <w:rPr>
      <w:sz w:val="24"/>
      <w:lang w:val="en-GB" w:eastAsia="en-US"/>
    </w:rPr>
  </w:style>
  <w:style w:type="paragraph" w:styleId="Heading1">
    <w:name w:val="heading 1"/>
    <w:basedOn w:val="Normal"/>
    <w:next w:val="Text1"/>
    <w:link w:val="Heading1Char"/>
    <w:autoRedefine/>
    <w:uiPriority w:val="99"/>
    <w:qFormat/>
    <w:rsid w:val="0000707A"/>
    <w:pPr>
      <w:keepNext/>
      <w:tabs>
        <w:tab w:val="left" w:pos="1134"/>
      </w:tabs>
      <w:autoSpaceDE w:val="0"/>
      <w:autoSpaceDN w:val="0"/>
      <w:adjustRightInd w:val="0"/>
      <w:outlineLvl w:val="0"/>
    </w:pPr>
    <w:rPr>
      <w:rFonts w:ascii="Arial" w:hAnsi="Arial"/>
      <w:b/>
      <w:bCs/>
      <w:smallCaps/>
      <w:color w:val="002060"/>
      <w:sz w:val="22"/>
      <w:szCs w:val="22"/>
      <w:lang w:eastAsia="sv-SE"/>
    </w:rPr>
  </w:style>
  <w:style w:type="paragraph" w:styleId="Heading2">
    <w:name w:val="heading 2"/>
    <w:aliases w:val="2,(cntl 2),(SubSection),h2,Para Nos,Para,Main Heading,Main Headi,Numbered - 2,(Main Heading),Paragraph,Sub Heading,ignorer2,Oscar Faber 2,Headline 2,headi,heading2,h21,h22,21,H2,l2,kopregel 2,Dossier Head 2,ASAPHeading 2,2H,2H1,2H2,heading"/>
    <w:basedOn w:val="Normal"/>
    <w:next w:val="Text2"/>
    <w:link w:val="Heading2Char"/>
    <w:autoRedefine/>
    <w:uiPriority w:val="99"/>
    <w:qFormat/>
    <w:rsid w:val="00523BE5"/>
    <w:pPr>
      <w:keepNext/>
      <w:autoSpaceDE w:val="0"/>
      <w:autoSpaceDN w:val="0"/>
      <w:adjustRightInd w:val="0"/>
      <w:spacing w:after="0"/>
      <w:outlineLvl w:val="1"/>
    </w:pPr>
    <w:rPr>
      <w:rFonts w:ascii="Arial" w:hAnsi="Arial" w:cs="Arial"/>
      <w:b/>
      <w:bCs/>
      <w:i/>
      <w:color w:val="002060"/>
      <w:sz w:val="22"/>
      <w:szCs w:val="22"/>
      <w:lang w:eastAsia="sv-SE"/>
    </w:rPr>
  </w:style>
  <w:style w:type="paragraph" w:styleId="Heading3">
    <w:name w:val="heading 3"/>
    <w:aliases w:val="T3,Kop 3,Titre3,Titre 3 Car Car"/>
    <w:basedOn w:val="Normal"/>
    <w:next w:val="Text3"/>
    <w:link w:val="Heading3Char"/>
    <w:uiPriority w:val="99"/>
    <w:qFormat/>
    <w:rsid w:val="008E5887"/>
    <w:pPr>
      <w:spacing w:before="240" w:after="240"/>
      <w:ind w:left="425"/>
      <w:outlineLvl w:val="2"/>
    </w:pPr>
    <w:rPr>
      <w:b/>
      <w:i/>
      <w:noProof/>
      <w:color w:val="365F91"/>
      <w:lang w:eastAsia="fr-BE"/>
    </w:rPr>
  </w:style>
  <w:style w:type="paragraph" w:styleId="Heading4">
    <w:name w:val="heading 4"/>
    <w:basedOn w:val="Heading2"/>
    <w:next w:val="Text4"/>
    <w:link w:val="Heading4Char"/>
    <w:uiPriority w:val="99"/>
    <w:qFormat/>
    <w:rsid w:val="001D6BDB"/>
    <w:pPr>
      <w:spacing w:after="240"/>
      <w:ind w:left="1287" w:hanging="720"/>
      <w:outlineLvl w:val="3"/>
    </w:pPr>
    <w:rPr>
      <w:rFonts w:cs="Times New Roman"/>
    </w:rPr>
  </w:style>
  <w:style w:type="paragraph" w:styleId="Heading5">
    <w:name w:val="heading 5"/>
    <w:basedOn w:val="Heading4"/>
    <w:next w:val="Normal"/>
    <w:link w:val="Heading5Char"/>
    <w:uiPriority w:val="99"/>
    <w:qFormat/>
    <w:rsid w:val="00BE0AC1"/>
    <w:pPr>
      <w:numPr>
        <w:numId w:val="9"/>
      </w:numPr>
      <w:tabs>
        <w:tab w:val="clear" w:pos="1209"/>
      </w:tabs>
      <w:ind w:left="814"/>
      <w:outlineLvl w:val="4"/>
    </w:pPr>
  </w:style>
  <w:style w:type="paragraph" w:styleId="Heading6">
    <w:name w:val="heading 6"/>
    <w:basedOn w:val="Normal"/>
    <w:next w:val="Normal"/>
    <w:link w:val="Heading6Char"/>
    <w:uiPriority w:val="99"/>
    <w:qFormat/>
    <w:rsid w:val="009B4998"/>
    <w:pPr>
      <w:numPr>
        <w:ilvl w:val="5"/>
        <w:numId w:val="29"/>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9B4998"/>
    <w:pPr>
      <w:numPr>
        <w:ilvl w:val="6"/>
        <w:numId w:val="29"/>
      </w:numPr>
      <w:spacing w:before="240" w:after="60"/>
      <w:outlineLvl w:val="6"/>
    </w:pPr>
    <w:rPr>
      <w:rFonts w:ascii="Arial" w:hAnsi="Arial"/>
      <w:sz w:val="20"/>
    </w:rPr>
  </w:style>
  <w:style w:type="paragraph" w:styleId="Heading8">
    <w:name w:val="heading 8"/>
    <w:basedOn w:val="Normal"/>
    <w:next w:val="Normal"/>
    <w:link w:val="Heading8Char"/>
    <w:uiPriority w:val="99"/>
    <w:qFormat/>
    <w:rsid w:val="009B4998"/>
    <w:pPr>
      <w:numPr>
        <w:ilvl w:val="7"/>
        <w:numId w:val="29"/>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9B4998"/>
    <w:pPr>
      <w:numPr>
        <w:ilvl w:val="8"/>
        <w:numId w:val="2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707A"/>
    <w:rPr>
      <w:rFonts w:ascii="Arial" w:hAnsi="Arial"/>
      <w:b/>
      <w:bCs/>
      <w:smallCaps/>
      <w:color w:val="002060"/>
      <w:sz w:val="22"/>
      <w:szCs w:val="22"/>
      <w:lang w:val="en-GB" w:eastAsia="sv-SE"/>
    </w:rPr>
  </w:style>
  <w:style w:type="character" w:customStyle="1" w:styleId="Heading2Char">
    <w:name w:val="Heading 2 Char"/>
    <w:aliases w:val="2 Char,(cntl 2) Char,(SubSection) Char,h2 Char,Para Nos Char,Para Char,Main Heading Char,Main Headi Char,Numbered - 2 Char,(Main Heading) Char,Paragraph Char,Sub Heading Char,ignorer2 Char,Oscar Faber 2 Char,Headline 2 Char,headi Char"/>
    <w:link w:val="Heading2"/>
    <w:uiPriority w:val="99"/>
    <w:locked/>
    <w:rsid w:val="00523BE5"/>
    <w:rPr>
      <w:rFonts w:ascii="Arial" w:hAnsi="Arial" w:cs="Arial"/>
      <w:b/>
      <w:bCs/>
      <w:i/>
      <w:color w:val="002060"/>
      <w:sz w:val="22"/>
      <w:szCs w:val="22"/>
      <w:lang w:val="en-GB" w:eastAsia="sv-SE"/>
    </w:rPr>
  </w:style>
  <w:style w:type="character" w:customStyle="1" w:styleId="Heading3Char">
    <w:name w:val="Heading 3 Char"/>
    <w:aliases w:val="T3 Char,Kop 3 Char,Titre3 Char,Titre 3 Car Car Char"/>
    <w:link w:val="Heading3"/>
    <w:uiPriority w:val="99"/>
    <w:locked/>
    <w:rsid w:val="00B734FA"/>
    <w:rPr>
      <w:rFonts w:cs="Times New Roman"/>
      <w:b/>
      <w:i/>
      <w:noProof/>
      <w:color w:val="365F91"/>
      <w:sz w:val="24"/>
      <w:lang w:val="en-GB" w:eastAsia="fr-BE"/>
    </w:rPr>
  </w:style>
  <w:style w:type="character" w:customStyle="1" w:styleId="Heading4Char">
    <w:name w:val="Heading 4 Char"/>
    <w:link w:val="Heading4"/>
    <w:uiPriority w:val="99"/>
    <w:locked/>
    <w:rsid w:val="00730DF7"/>
    <w:rPr>
      <w:rFonts w:ascii="Arial" w:hAnsi="Arial" w:cs="Times New Roman"/>
      <w:b/>
      <w:i/>
      <w:color w:val="002060"/>
      <w:sz w:val="22"/>
      <w:lang w:val="en-GB" w:eastAsia="sv-SE"/>
    </w:rPr>
  </w:style>
  <w:style w:type="character" w:customStyle="1" w:styleId="Heading5Char">
    <w:name w:val="Heading 5 Char"/>
    <w:link w:val="Heading5"/>
    <w:uiPriority w:val="99"/>
    <w:semiHidden/>
    <w:locked/>
    <w:rsid w:val="00365F12"/>
    <w:rPr>
      <w:rFonts w:ascii="Arial" w:hAnsi="Arial" w:cs="Times New Roman"/>
      <w:b/>
      <w:bCs/>
      <w:i/>
      <w:color w:val="002060"/>
      <w:sz w:val="22"/>
      <w:szCs w:val="22"/>
      <w:lang w:val="en-GB" w:eastAsia="sv-SE" w:bidi="ar-SA"/>
    </w:rPr>
  </w:style>
  <w:style w:type="character" w:customStyle="1" w:styleId="Heading6Char">
    <w:name w:val="Heading 6 Char"/>
    <w:link w:val="Heading6"/>
    <w:uiPriority w:val="99"/>
    <w:locked/>
    <w:rsid w:val="00365F12"/>
    <w:rPr>
      <w:rFonts w:ascii="Arial" w:hAnsi="Arial"/>
      <w:i/>
      <w:szCs w:val="20"/>
      <w:lang w:val="en-GB" w:eastAsia="en-US"/>
    </w:rPr>
  </w:style>
  <w:style w:type="character" w:customStyle="1" w:styleId="Heading7Char">
    <w:name w:val="Heading 7 Char"/>
    <w:link w:val="Heading7"/>
    <w:uiPriority w:val="99"/>
    <w:locked/>
    <w:rsid w:val="00365F12"/>
    <w:rPr>
      <w:rFonts w:ascii="Arial" w:hAnsi="Arial"/>
      <w:sz w:val="20"/>
      <w:szCs w:val="20"/>
      <w:lang w:val="en-GB" w:eastAsia="en-US"/>
    </w:rPr>
  </w:style>
  <w:style w:type="character" w:customStyle="1" w:styleId="Heading8Char">
    <w:name w:val="Heading 8 Char"/>
    <w:link w:val="Heading8"/>
    <w:uiPriority w:val="99"/>
    <w:locked/>
    <w:rsid w:val="00365F12"/>
    <w:rPr>
      <w:rFonts w:ascii="Arial" w:hAnsi="Arial"/>
      <w:i/>
      <w:sz w:val="20"/>
      <w:szCs w:val="20"/>
      <w:lang w:val="en-GB" w:eastAsia="en-US"/>
    </w:rPr>
  </w:style>
  <w:style w:type="character" w:customStyle="1" w:styleId="Heading9Char">
    <w:name w:val="Heading 9 Char"/>
    <w:link w:val="Heading9"/>
    <w:uiPriority w:val="99"/>
    <w:locked/>
    <w:rsid w:val="00365F12"/>
    <w:rPr>
      <w:rFonts w:ascii="Arial" w:hAnsi="Arial"/>
      <w:i/>
      <w:sz w:val="18"/>
      <w:szCs w:val="20"/>
      <w:lang w:val="en-GB" w:eastAsia="en-US"/>
    </w:rPr>
  </w:style>
  <w:style w:type="paragraph" w:styleId="BalloonText">
    <w:name w:val="Balloon Text"/>
    <w:basedOn w:val="Normal"/>
    <w:link w:val="BalloonTextChar"/>
    <w:uiPriority w:val="99"/>
    <w:semiHidden/>
    <w:rsid w:val="000E060D"/>
    <w:rPr>
      <w:rFonts w:ascii="Tahoma" w:hAnsi="Tahoma" w:cs="Tahoma"/>
      <w:sz w:val="16"/>
      <w:szCs w:val="16"/>
    </w:rPr>
  </w:style>
  <w:style w:type="character" w:customStyle="1" w:styleId="BalloonTextChar">
    <w:name w:val="Balloon Text Char"/>
    <w:link w:val="BalloonText"/>
    <w:uiPriority w:val="99"/>
    <w:semiHidden/>
    <w:locked/>
    <w:rsid w:val="00365F12"/>
    <w:rPr>
      <w:rFonts w:cs="Times New Roman"/>
      <w:sz w:val="2"/>
      <w:lang w:val="en-GB" w:eastAsia="en-US"/>
    </w:rPr>
  </w:style>
  <w:style w:type="paragraph" w:customStyle="1" w:styleId="Text1">
    <w:name w:val="Text 1"/>
    <w:basedOn w:val="Normal"/>
    <w:link w:val="Text1Char"/>
    <w:uiPriority w:val="99"/>
    <w:rsid w:val="009B4998"/>
    <w:pPr>
      <w:ind w:left="482"/>
    </w:pPr>
  </w:style>
  <w:style w:type="paragraph" w:customStyle="1" w:styleId="Text2">
    <w:name w:val="Text 2"/>
    <w:basedOn w:val="Normal"/>
    <w:uiPriority w:val="99"/>
    <w:rsid w:val="009B4998"/>
    <w:pPr>
      <w:tabs>
        <w:tab w:val="left" w:pos="2160"/>
      </w:tabs>
      <w:ind w:left="1077"/>
    </w:pPr>
  </w:style>
  <w:style w:type="paragraph" w:customStyle="1" w:styleId="Text3">
    <w:name w:val="Text 3"/>
    <w:basedOn w:val="Normal"/>
    <w:uiPriority w:val="99"/>
    <w:rsid w:val="009B4998"/>
    <w:pPr>
      <w:tabs>
        <w:tab w:val="left" w:pos="2302"/>
      </w:tabs>
      <w:ind w:left="1916"/>
    </w:pPr>
  </w:style>
  <w:style w:type="paragraph" w:customStyle="1" w:styleId="Text4">
    <w:name w:val="Text 4"/>
    <w:basedOn w:val="Normal"/>
    <w:uiPriority w:val="99"/>
    <w:rsid w:val="009B4998"/>
    <w:pPr>
      <w:ind w:left="2880"/>
    </w:pPr>
  </w:style>
  <w:style w:type="paragraph" w:customStyle="1" w:styleId="Address">
    <w:name w:val="Address"/>
    <w:basedOn w:val="Normal"/>
    <w:uiPriority w:val="99"/>
    <w:rsid w:val="009B4998"/>
    <w:pPr>
      <w:spacing w:after="0"/>
      <w:jc w:val="left"/>
    </w:pPr>
  </w:style>
  <w:style w:type="paragraph" w:customStyle="1" w:styleId="AddressTL">
    <w:name w:val="AddressTL"/>
    <w:basedOn w:val="Normal"/>
    <w:next w:val="Normal"/>
    <w:uiPriority w:val="99"/>
    <w:rsid w:val="009B4998"/>
    <w:pPr>
      <w:spacing w:after="720"/>
      <w:jc w:val="left"/>
    </w:pPr>
  </w:style>
  <w:style w:type="paragraph" w:customStyle="1" w:styleId="AddressTR">
    <w:name w:val="AddressTR"/>
    <w:basedOn w:val="Normal"/>
    <w:next w:val="Normal"/>
    <w:uiPriority w:val="99"/>
    <w:rsid w:val="009B4998"/>
    <w:pPr>
      <w:spacing w:after="720"/>
      <w:ind w:left="5103"/>
      <w:jc w:val="left"/>
    </w:pPr>
  </w:style>
  <w:style w:type="paragraph" w:styleId="BlockText">
    <w:name w:val="Block Text"/>
    <w:basedOn w:val="Normal"/>
    <w:uiPriority w:val="99"/>
    <w:rsid w:val="009B4998"/>
    <w:pPr>
      <w:ind w:left="1440" w:right="1440"/>
    </w:pPr>
  </w:style>
  <w:style w:type="paragraph" w:styleId="BodyText">
    <w:name w:val="Body Text"/>
    <w:basedOn w:val="Normal"/>
    <w:link w:val="BodyTextChar"/>
    <w:uiPriority w:val="99"/>
    <w:rsid w:val="009B4998"/>
  </w:style>
  <w:style w:type="character" w:customStyle="1" w:styleId="BodyTextChar">
    <w:name w:val="Body Text Char"/>
    <w:link w:val="BodyText"/>
    <w:uiPriority w:val="99"/>
    <w:semiHidden/>
    <w:locked/>
    <w:rsid w:val="00365F12"/>
    <w:rPr>
      <w:rFonts w:cs="Times New Roman"/>
      <w:sz w:val="20"/>
      <w:szCs w:val="20"/>
      <w:lang w:val="en-GB" w:eastAsia="en-US"/>
    </w:rPr>
  </w:style>
  <w:style w:type="paragraph" w:styleId="BodyText2">
    <w:name w:val="Body Text 2"/>
    <w:basedOn w:val="Normal"/>
    <w:link w:val="BodyText2Char"/>
    <w:uiPriority w:val="99"/>
    <w:rsid w:val="009B4998"/>
    <w:pPr>
      <w:spacing w:line="480" w:lineRule="auto"/>
    </w:pPr>
  </w:style>
  <w:style w:type="character" w:customStyle="1" w:styleId="BodyText2Char">
    <w:name w:val="Body Text 2 Char"/>
    <w:link w:val="BodyText2"/>
    <w:uiPriority w:val="99"/>
    <w:semiHidden/>
    <w:locked/>
    <w:rsid w:val="00365F12"/>
    <w:rPr>
      <w:rFonts w:cs="Times New Roman"/>
      <w:sz w:val="20"/>
      <w:szCs w:val="20"/>
      <w:lang w:val="en-GB" w:eastAsia="en-US"/>
    </w:rPr>
  </w:style>
  <w:style w:type="paragraph" w:styleId="BodyText3">
    <w:name w:val="Body Text 3"/>
    <w:basedOn w:val="Normal"/>
    <w:link w:val="BodyText3Char"/>
    <w:uiPriority w:val="99"/>
    <w:rsid w:val="009B4998"/>
    <w:rPr>
      <w:sz w:val="16"/>
    </w:rPr>
  </w:style>
  <w:style w:type="character" w:customStyle="1" w:styleId="BodyText3Char">
    <w:name w:val="Body Text 3 Char"/>
    <w:link w:val="BodyText3"/>
    <w:uiPriority w:val="99"/>
    <w:semiHidden/>
    <w:locked/>
    <w:rsid w:val="00365F12"/>
    <w:rPr>
      <w:rFonts w:cs="Times New Roman"/>
      <w:sz w:val="16"/>
      <w:szCs w:val="16"/>
      <w:lang w:val="en-GB" w:eastAsia="en-US"/>
    </w:rPr>
  </w:style>
  <w:style w:type="paragraph" w:styleId="BodyTextFirstIndent">
    <w:name w:val="Body Text First Indent"/>
    <w:basedOn w:val="BodyText"/>
    <w:link w:val="BodyTextFirstIndentChar"/>
    <w:uiPriority w:val="99"/>
    <w:rsid w:val="009B4998"/>
    <w:pPr>
      <w:ind w:firstLine="210"/>
    </w:pPr>
  </w:style>
  <w:style w:type="character" w:customStyle="1" w:styleId="BodyTextFirstIndentChar">
    <w:name w:val="Body Text First Indent Char"/>
    <w:link w:val="BodyTextFirstIndent"/>
    <w:uiPriority w:val="99"/>
    <w:semiHidden/>
    <w:locked/>
    <w:rsid w:val="00365F12"/>
    <w:rPr>
      <w:rFonts w:cs="Times New Roman"/>
      <w:sz w:val="20"/>
      <w:szCs w:val="20"/>
      <w:lang w:val="en-GB" w:eastAsia="en-US"/>
    </w:rPr>
  </w:style>
  <w:style w:type="paragraph" w:styleId="BodyTextIndent">
    <w:name w:val="Body Text Indent"/>
    <w:basedOn w:val="Normal"/>
    <w:link w:val="BodyTextIndentChar"/>
    <w:uiPriority w:val="99"/>
    <w:rsid w:val="009B4998"/>
    <w:pPr>
      <w:ind w:left="283"/>
    </w:pPr>
  </w:style>
  <w:style w:type="character" w:customStyle="1" w:styleId="BodyTextIndentChar">
    <w:name w:val="Body Text Indent Char"/>
    <w:link w:val="BodyTextIndent"/>
    <w:uiPriority w:val="99"/>
    <w:semiHidden/>
    <w:locked/>
    <w:rsid w:val="00365F12"/>
    <w:rPr>
      <w:rFonts w:cs="Times New Roman"/>
      <w:sz w:val="20"/>
      <w:szCs w:val="20"/>
      <w:lang w:val="en-GB" w:eastAsia="en-US"/>
    </w:rPr>
  </w:style>
  <w:style w:type="paragraph" w:styleId="BodyTextFirstIndent2">
    <w:name w:val="Body Text First Indent 2"/>
    <w:basedOn w:val="BodyTextIndent"/>
    <w:link w:val="BodyTextFirstIndent2Char"/>
    <w:uiPriority w:val="99"/>
    <w:rsid w:val="009B4998"/>
    <w:pPr>
      <w:ind w:firstLine="210"/>
    </w:pPr>
  </w:style>
  <w:style w:type="character" w:customStyle="1" w:styleId="BodyTextFirstIndent2Char">
    <w:name w:val="Body Text First Indent 2 Char"/>
    <w:link w:val="BodyTextFirstIndent2"/>
    <w:uiPriority w:val="99"/>
    <w:semiHidden/>
    <w:locked/>
    <w:rsid w:val="00365F12"/>
    <w:rPr>
      <w:rFonts w:cs="Times New Roman"/>
      <w:sz w:val="20"/>
      <w:szCs w:val="20"/>
      <w:lang w:val="en-GB" w:eastAsia="en-US"/>
    </w:rPr>
  </w:style>
  <w:style w:type="paragraph" w:styleId="BodyTextIndent2">
    <w:name w:val="Body Text Indent 2"/>
    <w:basedOn w:val="Normal"/>
    <w:link w:val="BodyTextIndent2Char"/>
    <w:uiPriority w:val="99"/>
    <w:rsid w:val="009B4998"/>
    <w:pPr>
      <w:spacing w:line="480" w:lineRule="auto"/>
      <w:ind w:left="283"/>
    </w:pPr>
  </w:style>
  <w:style w:type="character" w:customStyle="1" w:styleId="BodyTextIndent2Char">
    <w:name w:val="Body Text Indent 2 Char"/>
    <w:link w:val="BodyTextIndent2"/>
    <w:uiPriority w:val="99"/>
    <w:semiHidden/>
    <w:locked/>
    <w:rsid w:val="00365F12"/>
    <w:rPr>
      <w:rFonts w:cs="Times New Roman"/>
      <w:sz w:val="20"/>
      <w:szCs w:val="20"/>
      <w:lang w:val="en-GB" w:eastAsia="en-US"/>
    </w:rPr>
  </w:style>
  <w:style w:type="paragraph" w:styleId="BodyTextIndent3">
    <w:name w:val="Body Text Indent 3"/>
    <w:basedOn w:val="Normal"/>
    <w:link w:val="BodyTextIndent3Char"/>
    <w:uiPriority w:val="99"/>
    <w:rsid w:val="009B4998"/>
    <w:pPr>
      <w:ind w:left="283"/>
    </w:pPr>
    <w:rPr>
      <w:sz w:val="16"/>
    </w:rPr>
  </w:style>
  <w:style w:type="character" w:customStyle="1" w:styleId="BodyTextIndent3Char">
    <w:name w:val="Body Text Indent 3 Char"/>
    <w:link w:val="BodyTextIndent3"/>
    <w:uiPriority w:val="99"/>
    <w:semiHidden/>
    <w:locked/>
    <w:rsid w:val="00365F12"/>
    <w:rPr>
      <w:rFonts w:cs="Times New Roman"/>
      <w:sz w:val="16"/>
      <w:szCs w:val="16"/>
      <w:lang w:val="en-GB" w:eastAsia="en-US"/>
    </w:rPr>
  </w:style>
  <w:style w:type="paragraph" w:styleId="Caption">
    <w:name w:val="caption"/>
    <w:aliases w:val="Studientitel,Legende,Car16,Car Car Car Car Car Car Car,Car Car Car Car Car,Car Car Car Car Car Car Car Car Car Car Car Car,Car3,legendes,légende,Car5"/>
    <w:basedOn w:val="Normal"/>
    <w:next w:val="Normal"/>
    <w:link w:val="CaptionChar"/>
    <w:uiPriority w:val="99"/>
    <w:qFormat/>
    <w:rsid w:val="009B4998"/>
    <w:pPr>
      <w:spacing w:before="120"/>
    </w:pPr>
    <w:rPr>
      <w:b/>
      <w:lang w:val="it-IT"/>
    </w:rPr>
  </w:style>
  <w:style w:type="paragraph" w:styleId="Closing">
    <w:name w:val="Closing"/>
    <w:basedOn w:val="Normal"/>
    <w:next w:val="Signature"/>
    <w:link w:val="ClosingChar"/>
    <w:uiPriority w:val="99"/>
    <w:rsid w:val="009B4998"/>
    <w:pPr>
      <w:tabs>
        <w:tab w:val="left" w:pos="5103"/>
      </w:tabs>
      <w:spacing w:before="240"/>
      <w:ind w:left="5103"/>
      <w:jc w:val="left"/>
    </w:pPr>
  </w:style>
  <w:style w:type="character" w:customStyle="1" w:styleId="ClosingChar">
    <w:name w:val="Closing Char"/>
    <w:link w:val="Closing"/>
    <w:uiPriority w:val="99"/>
    <w:semiHidden/>
    <w:locked/>
    <w:rsid w:val="00365F12"/>
    <w:rPr>
      <w:rFonts w:cs="Times New Roman"/>
      <w:sz w:val="20"/>
      <w:szCs w:val="20"/>
      <w:lang w:val="en-GB" w:eastAsia="en-US"/>
    </w:rPr>
  </w:style>
  <w:style w:type="paragraph" w:styleId="Signature">
    <w:name w:val="Signature"/>
    <w:basedOn w:val="Normal"/>
    <w:next w:val="Contact"/>
    <w:link w:val="SignatureChar"/>
    <w:uiPriority w:val="99"/>
    <w:rsid w:val="009B4998"/>
    <w:pPr>
      <w:tabs>
        <w:tab w:val="left" w:pos="5103"/>
      </w:tabs>
      <w:spacing w:before="1200" w:after="0"/>
      <w:ind w:left="5103"/>
      <w:jc w:val="center"/>
    </w:pPr>
  </w:style>
  <w:style w:type="character" w:customStyle="1" w:styleId="SignatureChar">
    <w:name w:val="Signature Char"/>
    <w:link w:val="Signature"/>
    <w:uiPriority w:val="99"/>
    <w:locked/>
    <w:rsid w:val="005911BB"/>
    <w:rPr>
      <w:rFonts w:cs="Times New Roman"/>
      <w:sz w:val="24"/>
      <w:lang w:val="en-GB" w:eastAsia="en-US"/>
    </w:rPr>
  </w:style>
  <w:style w:type="paragraph" w:customStyle="1" w:styleId="Enclosures">
    <w:name w:val="Enclosures"/>
    <w:basedOn w:val="Normal"/>
    <w:next w:val="Participants"/>
    <w:uiPriority w:val="99"/>
    <w:rsid w:val="009B4998"/>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9B4998"/>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9B4998"/>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sid w:val="009B4998"/>
    <w:rPr>
      <w:sz w:val="20"/>
      <w:lang w:val="it-IT"/>
    </w:rPr>
  </w:style>
  <w:style w:type="character" w:customStyle="1" w:styleId="CommentTextChar">
    <w:name w:val="Comment Text Char"/>
    <w:link w:val="CommentText"/>
    <w:uiPriority w:val="99"/>
    <w:locked/>
    <w:rsid w:val="00F77697"/>
    <w:rPr>
      <w:rFonts w:cs="Times New Roman"/>
      <w:lang w:eastAsia="en-US"/>
    </w:rPr>
  </w:style>
  <w:style w:type="paragraph" w:styleId="Date">
    <w:name w:val="Date"/>
    <w:basedOn w:val="Normal"/>
    <w:next w:val="References"/>
    <w:link w:val="DateChar"/>
    <w:uiPriority w:val="99"/>
    <w:rsid w:val="009B4998"/>
    <w:pPr>
      <w:spacing w:after="0"/>
      <w:ind w:left="5103" w:right="-567"/>
      <w:jc w:val="left"/>
    </w:pPr>
  </w:style>
  <w:style w:type="character" w:customStyle="1" w:styleId="DateChar">
    <w:name w:val="Date Char"/>
    <w:link w:val="Date"/>
    <w:uiPriority w:val="99"/>
    <w:semiHidden/>
    <w:locked/>
    <w:rsid w:val="00365F12"/>
    <w:rPr>
      <w:rFonts w:cs="Times New Roman"/>
      <w:sz w:val="20"/>
      <w:szCs w:val="20"/>
      <w:lang w:val="en-GB" w:eastAsia="en-US"/>
    </w:rPr>
  </w:style>
  <w:style w:type="paragraph" w:customStyle="1" w:styleId="References">
    <w:name w:val="References"/>
    <w:basedOn w:val="Normal"/>
    <w:next w:val="AddressTR"/>
    <w:uiPriority w:val="99"/>
    <w:rsid w:val="009B4998"/>
    <w:pPr>
      <w:ind w:left="5103"/>
      <w:jc w:val="left"/>
    </w:pPr>
    <w:rPr>
      <w:sz w:val="20"/>
    </w:rPr>
  </w:style>
  <w:style w:type="paragraph" w:styleId="DocumentMap">
    <w:name w:val="Document Map"/>
    <w:basedOn w:val="Normal"/>
    <w:link w:val="DocumentMapChar"/>
    <w:uiPriority w:val="99"/>
    <w:semiHidden/>
    <w:rsid w:val="009B4998"/>
    <w:pPr>
      <w:shd w:val="clear" w:color="auto" w:fill="000080"/>
    </w:pPr>
    <w:rPr>
      <w:rFonts w:ascii="Tahoma" w:hAnsi="Tahoma"/>
    </w:rPr>
  </w:style>
  <w:style w:type="character" w:customStyle="1" w:styleId="DocumentMapChar">
    <w:name w:val="Document Map Char"/>
    <w:link w:val="DocumentMap"/>
    <w:uiPriority w:val="99"/>
    <w:semiHidden/>
    <w:locked/>
    <w:rsid w:val="00365F12"/>
    <w:rPr>
      <w:rFonts w:cs="Times New Roman"/>
      <w:sz w:val="2"/>
      <w:lang w:val="en-GB" w:eastAsia="en-US"/>
    </w:rPr>
  </w:style>
  <w:style w:type="paragraph" w:customStyle="1" w:styleId="DoubSign">
    <w:name w:val="DoubSign"/>
    <w:basedOn w:val="Normal"/>
    <w:next w:val="Contact"/>
    <w:uiPriority w:val="99"/>
    <w:rsid w:val="009B4998"/>
    <w:pPr>
      <w:tabs>
        <w:tab w:val="left" w:pos="5103"/>
      </w:tabs>
      <w:spacing w:before="1200" w:after="0"/>
      <w:jc w:val="left"/>
    </w:pPr>
  </w:style>
  <w:style w:type="paragraph" w:styleId="EndnoteText">
    <w:name w:val="endnote text"/>
    <w:basedOn w:val="Normal"/>
    <w:link w:val="EndnoteTextChar"/>
    <w:uiPriority w:val="99"/>
    <w:semiHidden/>
    <w:rsid w:val="009B4998"/>
    <w:rPr>
      <w:sz w:val="20"/>
      <w:lang w:val="it-IT"/>
    </w:rPr>
  </w:style>
  <w:style w:type="character" w:customStyle="1" w:styleId="EndnoteTextChar">
    <w:name w:val="Endnote Text Char"/>
    <w:link w:val="EndnoteText"/>
    <w:uiPriority w:val="99"/>
    <w:semiHidden/>
    <w:locked/>
    <w:rsid w:val="003C4699"/>
    <w:rPr>
      <w:rFonts w:cs="Times New Roman"/>
      <w:lang w:eastAsia="en-US"/>
    </w:rPr>
  </w:style>
  <w:style w:type="paragraph" w:styleId="EnvelopeAddress">
    <w:name w:val="envelope address"/>
    <w:basedOn w:val="Normal"/>
    <w:uiPriority w:val="99"/>
    <w:rsid w:val="009B4998"/>
    <w:pPr>
      <w:framePr w:w="7920" w:h="1980" w:hRule="exact" w:hSpace="180" w:wrap="auto" w:hAnchor="page" w:xAlign="center" w:yAlign="bottom"/>
      <w:spacing w:after="0"/>
    </w:pPr>
  </w:style>
  <w:style w:type="paragraph" w:styleId="EnvelopeReturn">
    <w:name w:val="envelope return"/>
    <w:basedOn w:val="Normal"/>
    <w:uiPriority w:val="99"/>
    <w:rsid w:val="009B4998"/>
    <w:pPr>
      <w:spacing w:after="0"/>
    </w:pPr>
    <w:rPr>
      <w:sz w:val="20"/>
    </w:rPr>
  </w:style>
  <w:style w:type="paragraph" w:styleId="Footer">
    <w:name w:val="footer"/>
    <w:basedOn w:val="Normal"/>
    <w:link w:val="FooterChar"/>
    <w:uiPriority w:val="99"/>
    <w:rsid w:val="009B4998"/>
    <w:pPr>
      <w:spacing w:after="0"/>
      <w:ind w:right="-567"/>
      <w:jc w:val="left"/>
    </w:pPr>
    <w:rPr>
      <w:rFonts w:ascii="Arial" w:hAnsi="Arial"/>
      <w:sz w:val="16"/>
    </w:rPr>
  </w:style>
  <w:style w:type="character" w:customStyle="1" w:styleId="FooterChar">
    <w:name w:val="Footer Char"/>
    <w:link w:val="Footer"/>
    <w:uiPriority w:val="99"/>
    <w:locked/>
    <w:rsid w:val="00FC74BC"/>
    <w:rPr>
      <w:rFonts w:ascii="Arial" w:hAnsi="Arial" w:cs="Times New Roman"/>
      <w:sz w:val="16"/>
      <w:lang w:val="en-GB" w:eastAsia="en-US"/>
    </w:rPr>
  </w:style>
  <w:style w:type="paragraph" w:styleId="FootnoteText">
    <w:name w:val="footnote text"/>
    <w:aliases w:val="Footnote,Schriftart: 9 pt,Schriftart: 10 pt,Schriftart: 8 pt,WB-Fußnotentext,Footnote Text Char2,Footnote Text Char1 Char,Footnote Text Char2 Char Char,Footnote Text Char1 Char Char Char,Footnote Text Char2 Char Char Char Char"/>
    <w:basedOn w:val="Normal"/>
    <w:link w:val="FootnoteTextChar"/>
    <w:uiPriority w:val="99"/>
    <w:rsid w:val="004A7676"/>
    <w:pPr>
      <w:spacing w:after="60"/>
    </w:pPr>
    <w:rPr>
      <w:sz w:val="20"/>
      <w:lang w:val="it-IT"/>
    </w:rPr>
  </w:style>
  <w:style w:type="character" w:customStyle="1" w:styleId="FootnoteTextChar">
    <w:name w:val="Footnote Text Char"/>
    <w:aliases w:val="Footnote Char,Schriftart: 9 pt Char,Schriftart: 10 pt Char,Schriftart: 8 pt Char,WB-Fußnotentext Char,Footnote Text Char2 Char,Footnote Text Char1 Char Char,Footnote Text Char2 Char Char Char,Footnote Text Char1 Char Char Char Char"/>
    <w:link w:val="FootnoteText"/>
    <w:uiPriority w:val="99"/>
    <w:locked/>
    <w:rsid w:val="004A7676"/>
    <w:rPr>
      <w:rFonts w:cs="Times New Roman"/>
      <w:lang w:eastAsia="en-US"/>
    </w:rPr>
  </w:style>
  <w:style w:type="paragraph" w:styleId="Header">
    <w:name w:val="header"/>
    <w:basedOn w:val="Normal"/>
    <w:link w:val="HeaderChar"/>
    <w:uiPriority w:val="99"/>
    <w:rsid w:val="009B4998"/>
    <w:pPr>
      <w:tabs>
        <w:tab w:val="center" w:pos="4153"/>
        <w:tab w:val="right" w:pos="8306"/>
      </w:tabs>
    </w:pPr>
  </w:style>
  <w:style w:type="character" w:customStyle="1" w:styleId="HeaderChar">
    <w:name w:val="Header Char"/>
    <w:link w:val="Header"/>
    <w:uiPriority w:val="99"/>
    <w:locked/>
    <w:rsid w:val="00FC74BC"/>
    <w:rPr>
      <w:rFonts w:cs="Times New Roman"/>
      <w:sz w:val="24"/>
      <w:lang w:val="en-GB" w:eastAsia="en-US"/>
    </w:rPr>
  </w:style>
  <w:style w:type="paragraph" w:styleId="Index1">
    <w:name w:val="index 1"/>
    <w:basedOn w:val="Normal"/>
    <w:next w:val="Normal"/>
    <w:autoRedefine/>
    <w:uiPriority w:val="99"/>
    <w:semiHidden/>
    <w:rsid w:val="009B4998"/>
    <w:pPr>
      <w:ind w:left="240" w:hanging="240"/>
    </w:pPr>
  </w:style>
  <w:style w:type="paragraph" w:styleId="Index2">
    <w:name w:val="index 2"/>
    <w:basedOn w:val="Normal"/>
    <w:next w:val="Normal"/>
    <w:autoRedefine/>
    <w:uiPriority w:val="99"/>
    <w:semiHidden/>
    <w:rsid w:val="009B4998"/>
    <w:pPr>
      <w:ind w:left="480" w:hanging="240"/>
    </w:pPr>
  </w:style>
  <w:style w:type="paragraph" w:styleId="Index3">
    <w:name w:val="index 3"/>
    <w:basedOn w:val="Normal"/>
    <w:next w:val="Normal"/>
    <w:autoRedefine/>
    <w:uiPriority w:val="99"/>
    <w:semiHidden/>
    <w:rsid w:val="009B4998"/>
    <w:pPr>
      <w:ind w:left="720" w:hanging="240"/>
    </w:pPr>
  </w:style>
  <w:style w:type="paragraph" w:styleId="Index4">
    <w:name w:val="index 4"/>
    <w:basedOn w:val="Normal"/>
    <w:next w:val="Normal"/>
    <w:autoRedefine/>
    <w:uiPriority w:val="99"/>
    <w:semiHidden/>
    <w:rsid w:val="009B4998"/>
    <w:pPr>
      <w:ind w:left="960" w:hanging="240"/>
    </w:pPr>
  </w:style>
  <w:style w:type="paragraph" w:styleId="Index5">
    <w:name w:val="index 5"/>
    <w:basedOn w:val="Normal"/>
    <w:next w:val="Normal"/>
    <w:autoRedefine/>
    <w:uiPriority w:val="99"/>
    <w:semiHidden/>
    <w:rsid w:val="009B4998"/>
    <w:pPr>
      <w:ind w:left="1200" w:hanging="240"/>
    </w:pPr>
  </w:style>
  <w:style w:type="paragraph" w:styleId="Index6">
    <w:name w:val="index 6"/>
    <w:basedOn w:val="Normal"/>
    <w:next w:val="Normal"/>
    <w:autoRedefine/>
    <w:uiPriority w:val="99"/>
    <w:semiHidden/>
    <w:rsid w:val="009B4998"/>
    <w:pPr>
      <w:ind w:left="1440" w:hanging="240"/>
    </w:pPr>
  </w:style>
  <w:style w:type="paragraph" w:styleId="Index7">
    <w:name w:val="index 7"/>
    <w:basedOn w:val="Normal"/>
    <w:next w:val="Normal"/>
    <w:autoRedefine/>
    <w:uiPriority w:val="99"/>
    <w:semiHidden/>
    <w:rsid w:val="009B4998"/>
    <w:pPr>
      <w:ind w:left="1680" w:hanging="240"/>
    </w:pPr>
  </w:style>
  <w:style w:type="paragraph" w:styleId="Index8">
    <w:name w:val="index 8"/>
    <w:basedOn w:val="Normal"/>
    <w:next w:val="Normal"/>
    <w:autoRedefine/>
    <w:uiPriority w:val="99"/>
    <w:semiHidden/>
    <w:rsid w:val="009B4998"/>
    <w:pPr>
      <w:ind w:left="1920" w:hanging="240"/>
    </w:pPr>
  </w:style>
  <w:style w:type="paragraph" w:styleId="Index9">
    <w:name w:val="index 9"/>
    <w:basedOn w:val="Normal"/>
    <w:next w:val="Normal"/>
    <w:autoRedefine/>
    <w:uiPriority w:val="99"/>
    <w:semiHidden/>
    <w:rsid w:val="009B4998"/>
    <w:pPr>
      <w:ind w:left="2160" w:hanging="240"/>
    </w:pPr>
  </w:style>
  <w:style w:type="paragraph" w:styleId="IndexHeading">
    <w:name w:val="index heading"/>
    <w:basedOn w:val="Normal"/>
    <w:next w:val="Index1"/>
    <w:uiPriority w:val="99"/>
    <w:semiHidden/>
    <w:rsid w:val="009B4998"/>
    <w:rPr>
      <w:rFonts w:ascii="Arial" w:hAnsi="Arial"/>
      <w:b/>
    </w:rPr>
  </w:style>
  <w:style w:type="paragraph" w:styleId="List">
    <w:name w:val="List"/>
    <w:basedOn w:val="Normal"/>
    <w:uiPriority w:val="99"/>
    <w:rsid w:val="009B4998"/>
    <w:pPr>
      <w:ind w:left="283" w:hanging="283"/>
    </w:pPr>
  </w:style>
  <w:style w:type="paragraph" w:styleId="List2">
    <w:name w:val="List 2"/>
    <w:basedOn w:val="Normal"/>
    <w:uiPriority w:val="99"/>
    <w:rsid w:val="009B4998"/>
    <w:pPr>
      <w:ind w:left="566" w:hanging="283"/>
    </w:pPr>
  </w:style>
  <w:style w:type="paragraph" w:styleId="List3">
    <w:name w:val="List 3"/>
    <w:basedOn w:val="Normal"/>
    <w:uiPriority w:val="99"/>
    <w:rsid w:val="009B4998"/>
    <w:pPr>
      <w:ind w:left="849" w:hanging="283"/>
    </w:pPr>
  </w:style>
  <w:style w:type="paragraph" w:styleId="List4">
    <w:name w:val="List 4"/>
    <w:basedOn w:val="Normal"/>
    <w:uiPriority w:val="99"/>
    <w:rsid w:val="009B4998"/>
    <w:pPr>
      <w:ind w:left="1132" w:hanging="283"/>
    </w:pPr>
  </w:style>
  <w:style w:type="paragraph" w:styleId="List5">
    <w:name w:val="List 5"/>
    <w:basedOn w:val="Normal"/>
    <w:uiPriority w:val="99"/>
    <w:rsid w:val="009B4998"/>
    <w:pPr>
      <w:ind w:left="1415" w:hanging="283"/>
    </w:pPr>
  </w:style>
  <w:style w:type="paragraph" w:styleId="ListBullet">
    <w:name w:val="List Bullet"/>
    <w:basedOn w:val="Normal"/>
    <w:uiPriority w:val="99"/>
    <w:rsid w:val="009B4998"/>
    <w:pPr>
      <w:numPr>
        <w:numId w:val="14"/>
      </w:numPr>
    </w:pPr>
  </w:style>
  <w:style w:type="paragraph" w:styleId="ListBullet2">
    <w:name w:val="List Bullet 2"/>
    <w:basedOn w:val="Text2"/>
    <w:uiPriority w:val="99"/>
    <w:rsid w:val="009B4998"/>
    <w:pPr>
      <w:numPr>
        <w:numId w:val="15"/>
      </w:numPr>
      <w:tabs>
        <w:tab w:val="clear" w:pos="2160"/>
      </w:tabs>
    </w:pPr>
  </w:style>
  <w:style w:type="paragraph" w:styleId="ListBullet3">
    <w:name w:val="List Bullet 3"/>
    <w:basedOn w:val="Text3"/>
    <w:uiPriority w:val="99"/>
    <w:rsid w:val="009B4998"/>
    <w:pPr>
      <w:numPr>
        <w:numId w:val="16"/>
      </w:numPr>
      <w:tabs>
        <w:tab w:val="clear" w:pos="2302"/>
      </w:tabs>
    </w:pPr>
  </w:style>
  <w:style w:type="paragraph" w:styleId="ListBullet4">
    <w:name w:val="List Bullet 4"/>
    <w:basedOn w:val="Text4"/>
    <w:uiPriority w:val="99"/>
    <w:rsid w:val="009B4998"/>
    <w:pPr>
      <w:numPr>
        <w:numId w:val="17"/>
      </w:numPr>
    </w:pPr>
  </w:style>
  <w:style w:type="paragraph" w:styleId="ListBullet5">
    <w:name w:val="List Bullet 5"/>
    <w:basedOn w:val="Normal"/>
    <w:autoRedefine/>
    <w:uiPriority w:val="99"/>
    <w:rsid w:val="009B4998"/>
    <w:pPr>
      <w:numPr>
        <w:numId w:val="1"/>
      </w:numPr>
      <w:tabs>
        <w:tab w:val="clear" w:pos="360"/>
        <w:tab w:val="num" w:pos="1492"/>
      </w:tabs>
      <w:ind w:left="1492"/>
    </w:pPr>
  </w:style>
  <w:style w:type="paragraph" w:styleId="ListContinue">
    <w:name w:val="List Continue"/>
    <w:basedOn w:val="Normal"/>
    <w:uiPriority w:val="99"/>
    <w:rsid w:val="009B4998"/>
    <w:pPr>
      <w:ind w:left="283"/>
    </w:pPr>
  </w:style>
  <w:style w:type="paragraph" w:styleId="ListContinue2">
    <w:name w:val="List Continue 2"/>
    <w:basedOn w:val="Normal"/>
    <w:uiPriority w:val="99"/>
    <w:rsid w:val="009B4998"/>
    <w:pPr>
      <w:ind w:left="566"/>
    </w:pPr>
  </w:style>
  <w:style w:type="paragraph" w:styleId="ListContinue3">
    <w:name w:val="List Continue 3"/>
    <w:basedOn w:val="Normal"/>
    <w:uiPriority w:val="99"/>
    <w:rsid w:val="009B4998"/>
    <w:pPr>
      <w:ind w:left="849"/>
    </w:pPr>
  </w:style>
  <w:style w:type="paragraph" w:styleId="ListContinue4">
    <w:name w:val="List Continue 4"/>
    <w:basedOn w:val="Normal"/>
    <w:uiPriority w:val="99"/>
    <w:rsid w:val="009B4998"/>
    <w:pPr>
      <w:ind w:left="1132"/>
    </w:pPr>
  </w:style>
  <w:style w:type="paragraph" w:styleId="ListContinue5">
    <w:name w:val="List Continue 5"/>
    <w:basedOn w:val="Normal"/>
    <w:uiPriority w:val="99"/>
    <w:rsid w:val="009B4998"/>
    <w:pPr>
      <w:ind w:left="1415"/>
    </w:pPr>
  </w:style>
  <w:style w:type="paragraph" w:styleId="ListNumber">
    <w:name w:val="List Number"/>
    <w:basedOn w:val="Normal"/>
    <w:uiPriority w:val="99"/>
    <w:rsid w:val="009B4998"/>
    <w:pPr>
      <w:numPr>
        <w:numId w:val="23"/>
      </w:numPr>
    </w:pPr>
  </w:style>
  <w:style w:type="paragraph" w:styleId="ListNumber2">
    <w:name w:val="List Number 2"/>
    <w:basedOn w:val="Text2"/>
    <w:uiPriority w:val="99"/>
    <w:rsid w:val="009B4998"/>
    <w:pPr>
      <w:numPr>
        <w:numId w:val="25"/>
      </w:numPr>
      <w:tabs>
        <w:tab w:val="clear" w:pos="1786"/>
        <w:tab w:val="clear" w:pos="2160"/>
      </w:tabs>
      <w:ind w:left="720" w:hanging="360"/>
    </w:pPr>
  </w:style>
  <w:style w:type="paragraph" w:styleId="ListNumber3">
    <w:name w:val="List Number 3"/>
    <w:basedOn w:val="Text3"/>
    <w:uiPriority w:val="99"/>
    <w:rsid w:val="009B4998"/>
    <w:pPr>
      <w:numPr>
        <w:numId w:val="26"/>
      </w:numPr>
      <w:tabs>
        <w:tab w:val="clear" w:pos="2302"/>
      </w:tabs>
    </w:pPr>
  </w:style>
  <w:style w:type="paragraph" w:styleId="ListNumber4">
    <w:name w:val="List Number 4"/>
    <w:basedOn w:val="Text4"/>
    <w:uiPriority w:val="99"/>
    <w:rsid w:val="009B4998"/>
    <w:pPr>
      <w:numPr>
        <w:numId w:val="27"/>
      </w:numPr>
    </w:pPr>
  </w:style>
  <w:style w:type="paragraph" w:styleId="ListNumber5">
    <w:name w:val="List Number 5"/>
    <w:basedOn w:val="Normal"/>
    <w:uiPriority w:val="99"/>
    <w:rsid w:val="009B4998"/>
    <w:pPr>
      <w:numPr>
        <w:numId w:val="2"/>
      </w:numPr>
      <w:tabs>
        <w:tab w:val="clear" w:pos="643"/>
        <w:tab w:val="num" w:pos="1492"/>
      </w:tabs>
      <w:ind w:left="1492"/>
    </w:pPr>
  </w:style>
  <w:style w:type="paragraph" w:styleId="MacroText">
    <w:name w:val="macro"/>
    <w:link w:val="MacroTextChar"/>
    <w:uiPriority w:val="99"/>
    <w:semiHidden/>
    <w:rsid w:val="009B49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MacroTextChar">
    <w:name w:val="Macro Text Char"/>
    <w:link w:val="MacroText"/>
    <w:uiPriority w:val="99"/>
    <w:semiHidden/>
    <w:locked/>
    <w:rsid w:val="00365F12"/>
    <w:rPr>
      <w:rFonts w:ascii="Courier New" w:hAnsi="Courier New" w:cs="Times New Roman"/>
      <w:lang w:val="en-GB" w:eastAsia="en-US" w:bidi="ar-SA"/>
    </w:rPr>
  </w:style>
  <w:style w:type="paragraph" w:styleId="MessageHeader">
    <w:name w:val="Message Header"/>
    <w:basedOn w:val="Normal"/>
    <w:link w:val="MessageHeaderChar"/>
    <w:uiPriority w:val="99"/>
    <w:rsid w:val="009B49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uiPriority w:val="99"/>
    <w:semiHidden/>
    <w:locked/>
    <w:rsid w:val="00365F12"/>
    <w:rPr>
      <w:rFonts w:ascii="Cambria" w:hAnsi="Cambria" w:cs="Times New Roman"/>
      <w:sz w:val="24"/>
      <w:szCs w:val="24"/>
      <w:shd w:val="pct20" w:color="auto" w:fill="auto"/>
      <w:lang w:val="en-GB" w:eastAsia="en-US"/>
    </w:rPr>
  </w:style>
  <w:style w:type="paragraph" w:styleId="NormalIndent">
    <w:name w:val="Normal Indent"/>
    <w:basedOn w:val="Normal"/>
    <w:uiPriority w:val="99"/>
    <w:rsid w:val="009B4998"/>
    <w:pPr>
      <w:ind w:left="720"/>
    </w:pPr>
  </w:style>
  <w:style w:type="paragraph" w:styleId="NoteHeading">
    <w:name w:val="Note Heading"/>
    <w:basedOn w:val="Normal"/>
    <w:next w:val="Normal"/>
    <w:link w:val="NoteHeadingChar"/>
    <w:uiPriority w:val="99"/>
    <w:rsid w:val="009B4998"/>
  </w:style>
  <w:style w:type="character" w:customStyle="1" w:styleId="NoteHeadingChar">
    <w:name w:val="Note Heading Char"/>
    <w:link w:val="NoteHeading"/>
    <w:uiPriority w:val="99"/>
    <w:semiHidden/>
    <w:locked/>
    <w:rsid w:val="00365F12"/>
    <w:rPr>
      <w:rFonts w:cs="Times New Roman"/>
      <w:sz w:val="20"/>
      <w:szCs w:val="20"/>
      <w:lang w:val="en-GB" w:eastAsia="en-US"/>
    </w:rPr>
  </w:style>
  <w:style w:type="paragraph" w:customStyle="1" w:styleId="NoteHead">
    <w:name w:val="NoteHead"/>
    <w:basedOn w:val="Normal"/>
    <w:next w:val="Subject"/>
    <w:uiPriority w:val="99"/>
    <w:rsid w:val="009B4998"/>
    <w:pPr>
      <w:spacing w:before="720" w:after="720"/>
      <w:jc w:val="center"/>
    </w:pPr>
    <w:rPr>
      <w:b/>
      <w:smallCaps/>
    </w:rPr>
  </w:style>
  <w:style w:type="paragraph" w:customStyle="1" w:styleId="Subject">
    <w:name w:val="Subject"/>
    <w:basedOn w:val="Normal"/>
    <w:next w:val="Normal"/>
    <w:uiPriority w:val="99"/>
    <w:rsid w:val="009B4998"/>
    <w:pPr>
      <w:spacing w:after="480"/>
      <w:ind w:left="1531" w:hanging="1531"/>
      <w:jc w:val="left"/>
    </w:pPr>
    <w:rPr>
      <w:b/>
    </w:rPr>
  </w:style>
  <w:style w:type="paragraph" w:customStyle="1" w:styleId="NoteList">
    <w:name w:val="NoteList"/>
    <w:basedOn w:val="Normal"/>
    <w:next w:val="Subject"/>
    <w:uiPriority w:val="99"/>
    <w:rsid w:val="009B4998"/>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9B4998"/>
    <w:pPr>
      <w:keepNext w:val="0"/>
      <w:outlineLvl w:val="9"/>
    </w:pPr>
    <w:rPr>
      <w:b w:val="0"/>
      <w:smallCaps w:val="0"/>
    </w:rPr>
  </w:style>
  <w:style w:type="paragraph" w:customStyle="1" w:styleId="NumPar2">
    <w:name w:val="NumPar 2"/>
    <w:basedOn w:val="Heading2"/>
    <w:next w:val="Text2"/>
    <w:uiPriority w:val="99"/>
    <w:rsid w:val="009B4998"/>
    <w:pPr>
      <w:outlineLvl w:val="9"/>
    </w:pPr>
    <w:rPr>
      <w:b w:val="0"/>
    </w:rPr>
  </w:style>
  <w:style w:type="paragraph" w:customStyle="1" w:styleId="NumPar3">
    <w:name w:val="NumPar 3"/>
    <w:basedOn w:val="Heading3"/>
    <w:next w:val="Text3"/>
    <w:uiPriority w:val="99"/>
    <w:rsid w:val="009B4998"/>
    <w:pPr>
      <w:outlineLvl w:val="9"/>
    </w:pPr>
    <w:rPr>
      <w:i w:val="0"/>
    </w:rPr>
  </w:style>
  <w:style w:type="paragraph" w:customStyle="1" w:styleId="NumPar4">
    <w:name w:val="NumPar 4"/>
    <w:basedOn w:val="Heading4"/>
    <w:next w:val="Text4"/>
    <w:uiPriority w:val="99"/>
    <w:rsid w:val="009B4998"/>
    <w:pPr>
      <w:outlineLvl w:val="9"/>
    </w:pPr>
  </w:style>
  <w:style w:type="paragraph" w:styleId="PlainText">
    <w:name w:val="Plain Text"/>
    <w:basedOn w:val="Normal"/>
    <w:link w:val="PlainTextChar"/>
    <w:uiPriority w:val="99"/>
    <w:rsid w:val="009B4998"/>
    <w:rPr>
      <w:rFonts w:ascii="Courier New" w:hAnsi="Courier New"/>
      <w:sz w:val="20"/>
    </w:rPr>
  </w:style>
  <w:style w:type="character" w:customStyle="1" w:styleId="PlainTextChar">
    <w:name w:val="Plain Text Char"/>
    <w:link w:val="PlainText"/>
    <w:uiPriority w:val="99"/>
    <w:semiHidden/>
    <w:locked/>
    <w:rsid w:val="00365F12"/>
    <w:rPr>
      <w:rFonts w:ascii="Courier New" w:hAnsi="Courier New" w:cs="Courier New"/>
      <w:sz w:val="20"/>
      <w:szCs w:val="20"/>
      <w:lang w:val="en-GB" w:eastAsia="en-US"/>
    </w:rPr>
  </w:style>
  <w:style w:type="paragraph" w:styleId="Salutation">
    <w:name w:val="Salutation"/>
    <w:basedOn w:val="Normal"/>
    <w:next w:val="Normal"/>
    <w:link w:val="SalutationChar"/>
    <w:uiPriority w:val="99"/>
    <w:rsid w:val="009B4998"/>
  </w:style>
  <w:style w:type="character" w:customStyle="1" w:styleId="SalutationChar">
    <w:name w:val="Salutation Char"/>
    <w:link w:val="Salutation"/>
    <w:uiPriority w:val="99"/>
    <w:semiHidden/>
    <w:locked/>
    <w:rsid w:val="00365F12"/>
    <w:rPr>
      <w:rFonts w:cs="Times New Roman"/>
      <w:sz w:val="20"/>
      <w:szCs w:val="20"/>
      <w:lang w:val="en-GB" w:eastAsia="en-US"/>
    </w:rPr>
  </w:style>
  <w:style w:type="paragraph" w:styleId="Subtitle">
    <w:name w:val="Subtitle"/>
    <w:basedOn w:val="Normal"/>
    <w:link w:val="SubtitleChar"/>
    <w:uiPriority w:val="99"/>
    <w:qFormat/>
    <w:rsid w:val="009B4998"/>
    <w:pPr>
      <w:spacing w:after="60"/>
      <w:jc w:val="center"/>
      <w:outlineLvl w:val="1"/>
    </w:pPr>
    <w:rPr>
      <w:rFonts w:ascii="Arial" w:hAnsi="Arial"/>
    </w:rPr>
  </w:style>
  <w:style w:type="character" w:customStyle="1" w:styleId="SubtitleChar">
    <w:name w:val="Subtitle Char"/>
    <w:link w:val="Subtitle"/>
    <w:uiPriority w:val="99"/>
    <w:locked/>
    <w:rsid w:val="00365F12"/>
    <w:rPr>
      <w:rFonts w:ascii="Cambria" w:hAnsi="Cambria" w:cs="Times New Roman"/>
      <w:sz w:val="24"/>
      <w:szCs w:val="24"/>
      <w:lang w:val="en-GB" w:eastAsia="en-US"/>
    </w:rPr>
  </w:style>
  <w:style w:type="paragraph" w:styleId="TableofAuthorities">
    <w:name w:val="table of authorities"/>
    <w:basedOn w:val="Normal"/>
    <w:next w:val="Normal"/>
    <w:uiPriority w:val="99"/>
    <w:semiHidden/>
    <w:rsid w:val="009B4998"/>
    <w:pPr>
      <w:ind w:left="240" w:hanging="240"/>
    </w:pPr>
  </w:style>
  <w:style w:type="paragraph" w:styleId="TableofFigures">
    <w:name w:val="table of figures"/>
    <w:basedOn w:val="Normal"/>
    <w:next w:val="Normal"/>
    <w:uiPriority w:val="99"/>
    <w:semiHidden/>
    <w:rsid w:val="009B4998"/>
    <w:pPr>
      <w:ind w:left="480" w:hanging="480"/>
    </w:pPr>
  </w:style>
  <w:style w:type="paragraph" w:styleId="Title">
    <w:name w:val="Title"/>
    <w:basedOn w:val="Normal"/>
    <w:link w:val="TitleChar"/>
    <w:uiPriority w:val="99"/>
    <w:qFormat/>
    <w:rsid w:val="009B4998"/>
    <w:pPr>
      <w:spacing w:before="240" w:after="60"/>
      <w:jc w:val="center"/>
      <w:outlineLvl w:val="0"/>
    </w:pPr>
    <w:rPr>
      <w:rFonts w:ascii="Arial" w:hAnsi="Arial"/>
      <w:b/>
      <w:kern w:val="28"/>
      <w:sz w:val="32"/>
    </w:rPr>
  </w:style>
  <w:style w:type="character" w:customStyle="1" w:styleId="TitleChar">
    <w:name w:val="Title Char"/>
    <w:link w:val="Title"/>
    <w:uiPriority w:val="99"/>
    <w:locked/>
    <w:rsid w:val="00365F12"/>
    <w:rPr>
      <w:rFonts w:ascii="Cambria" w:hAnsi="Cambria" w:cs="Times New Roman"/>
      <w:b/>
      <w:bCs/>
      <w:kern w:val="28"/>
      <w:sz w:val="32"/>
      <w:szCs w:val="32"/>
      <w:lang w:val="en-GB" w:eastAsia="en-US"/>
    </w:rPr>
  </w:style>
  <w:style w:type="paragraph" w:styleId="TOAHeading">
    <w:name w:val="toa heading"/>
    <w:basedOn w:val="Normal"/>
    <w:next w:val="Normal"/>
    <w:uiPriority w:val="99"/>
    <w:semiHidden/>
    <w:rsid w:val="009B4998"/>
    <w:pPr>
      <w:spacing w:before="120"/>
    </w:pPr>
    <w:rPr>
      <w:rFonts w:ascii="Arial" w:hAnsi="Arial"/>
      <w:b/>
    </w:rPr>
  </w:style>
  <w:style w:type="paragraph" w:styleId="TOC1">
    <w:name w:val="toc 1"/>
    <w:basedOn w:val="Normal"/>
    <w:next w:val="Normal"/>
    <w:uiPriority w:val="39"/>
    <w:qFormat/>
    <w:rsid w:val="009B4998"/>
    <w:pPr>
      <w:tabs>
        <w:tab w:val="right" w:leader="dot" w:pos="8640"/>
      </w:tabs>
      <w:spacing w:before="120"/>
      <w:ind w:left="482" w:right="720" w:hanging="482"/>
    </w:pPr>
    <w:rPr>
      <w:caps/>
    </w:rPr>
  </w:style>
  <w:style w:type="paragraph" w:styleId="TOC2">
    <w:name w:val="toc 2"/>
    <w:basedOn w:val="Normal"/>
    <w:next w:val="Normal"/>
    <w:uiPriority w:val="39"/>
    <w:qFormat/>
    <w:rsid w:val="009B4998"/>
    <w:pPr>
      <w:tabs>
        <w:tab w:val="right" w:leader="dot" w:pos="8640"/>
      </w:tabs>
      <w:spacing w:before="60" w:after="60"/>
      <w:ind w:left="1077" w:right="720" w:hanging="595"/>
    </w:pPr>
  </w:style>
  <w:style w:type="paragraph" w:styleId="TOC3">
    <w:name w:val="toc 3"/>
    <w:basedOn w:val="Normal"/>
    <w:next w:val="Normal"/>
    <w:uiPriority w:val="39"/>
    <w:qFormat/>
    <w:rsid w:val="009B4998"/>
    <w:pPr>
      <w:tabs>
        <w:tab w:val="right" w:leader="dot" w:pos="8640"/>
      </w:tabs>
      <w:spacing w:before="60" w:after="60"/>
      <w:ind w:left="1916" w:right="720" w:hanging="839"/>
    </w:pPr>
  </w:style>
  <w:style w:type="paragraph" w:styleId="TOC4">
    <w:name w:val="toc 4"/>
    <w:basedOn w:val="Normal"/>
    <w:next w:val="Normal"/>
    <w:uiPriority w:val="39"/>
    <w:rsid w:val="001A01E2"/>
    <w:pPr>
      <w:tabs>
        <w:tab w:val="left" w:pos="2410"/>
        <w:tab w:val="right" w:leader="dot" w:pos="8641"/>
      </w:tabs>
      <w:spacing w:before="60" w:after="60"/>
      <w:ind w:left="2410" w:right="720" w:hanging="567"/>
    </w:pPr>
  </w:style>
  <w:style w:type="paragraph" w:styleId="TOC5">
    <w:name w:val="toc 5"/>
    <w:basedOn w:val="Normal"/>
    <w:next w:val="Normal"/>
    <w:uiPriority w:val="39"/>
    <w:rsid w:val="00CC4444"/>
    <w:pPr>
      <w:tabs>
        <w:tab w:val="left" w:pos="482"/>
        <w:tab w:val="right" w:leader="dot" w:pos="8641"/>
      </w:tabs>
      <w:spacing w:after="60"/>
      <w:ind w:left="2268" w:right="720"/>
    </w:pPr>
  </w:style>
  <w:style w:type="paragraph" w:styleId="TOC6">
    <w:name w:val="toc 6"/>
    <w:basedOn w:val="Normal"/>
    <w:next w:val="Normal"/>
    <w:autoRedefine/>
    <w:uiPriority w:val="39"/>
    <w:rsid w:val="009B4998"/>
    <w:pPr>
      <w:ind w:left="1200"/>
    </w:pPr>
  </w:style>
  <w:style w:type="paragraph" w:styleId="TOC7">
    <w:name w:val="toc 7"/>
    <w:basedOn w:val="Normal"/>
    <w:next w:val="Normal"/>
    <w:autoRedefine/>
    <w:uiPriority w:val="39"/>
    <w:rsid w:val="009B4998"/>
    <w:pPr>
      <w:ind w:left="1440"/>
    </w:pPr>
  </w:style>
  <w:style w:type="paragraph" w:styleId="TOC8">
    <w:name w:val="toc 8"/>
    <w:basedOn w:val="Normal"/>
    <w:next w:val="Normal"/>
    <w:autoRedefine/>
    <w:uiPriority w:val="39"/>
    <w:rsid w:val="009B4998"/>
    <w:pPr>
      <w:ind w:left="1680"/>
    </w:pPr>
  </w:style>
  <w:style w:type="paragraph" w:styleId="TOC9">
    <w:name w:val="toc 9"/>
    <w:basedOn w:val="Normal"/>
    <w:next w:val="Normal"/>
    <w:autoRedefine/>
    <w:uiPriority w:val="39"/>
    <w:rsid w:val="009B4998"/>
    <w:pPr>
      <w:ind w:left="1920"/>
    </w:pPr>
  </w:style>
  <w:style w:type="paragraph" w:customStyle="1" w:styleId="YReferences">
    <w:name w:val="YReferences"/>
    <w:basedOn w:val="Normal"/>
    <w:next w:val="Normal"/>
    <w:uiPriority w:val="99"/>
    <w:rsid w:val="009B4998"/>
    <w:pPr>
      <w:spacing w:after="480"/>
      <w:ind w:left="1531" w:hanging="1531"/>
    </w:pPr>
  </w:style>
  <w:style w:type="paragraph" w:customStyle="1" w:styleId="ListBullet1">
    <w:name w:val="List Bullet 1"/>
    <w:basedOn w:val="Text1"/>
    <w:uiPriority w:val="99"/>
    <w:rsid w:val="009B4998"/>
    <w:pPr>
      <w:tabs>
        <w:tab w:val="num" w:pos="765"/>
      </w:tabs>
      <w:ind w:left="765" w:hanging="283"/>
    </w:pPr>
  </w:style>
  <w:style w:type="paragraph" w:customStyle="1" w:styleId="ListDash">
    <w:name w:val="List Dash"/>
    <w:basedOn w:val="Normal"/>
    <w:uiPriority w:val="99"/>
    <w:rsid w:val="009B4998"/>
    <w:pPr>
      <w:numPr>
        <w:numId w:val="18"/>
      </w:numPr>
    </w:pPr>
  </w:style>
  <w:style w:type="paragraph" w:customStyle="1" w:styleId="ListDash1">
    <w:name w:val="List Dash 1"/>
    <w:basedOn w:val="Text1"/>
    <w:uiPriority w:val="99"/>
    <w:rsid w:val="009B4998"/>
    <w:pPr>
      <w:numPr>
        <w:numId w:val="19"/>
      </w:numPr>
    </w:pPr>
  </w:style>
  <w:style w:type="paragraph" w:customStyle="1" w:styleId="ListDash2">
    <w:name w:val="List Dash 2"/>
    <w:basedOn w:val="Text2"/>
    <w:uiPriority w:val="99"/>
    <w:rsid w:val="009B4998"/>
    <w:pPr>
      <w:numPr>
        <w:numId w:val="20"/>
      </w:numPr>
      <w:tabs>
        <w:tab w:val="clear" w:pos="2160"/>
      </w:tabs>
    </w:pPr>
  </w:style>
  <w:style w:type="paragraph" w:customStyle="1" w:styleId="ListDash3">
    <w:name w:val="List Dash 3"/>
    <w:basedOn w:val="Text3"/>
    <w:uiPriority w:val="99"/>
    <w:rsid w:val="009B4998"/>
    <w:pPr>
      <w:numPr>
        <w:numId w:val="21"/>
      </w:numPr>
      <w:tabs>
        <w:tab w:val="clear" w:pos="2302"/>
      </w:tabs>
    </w:pPr>
  </w:style>
  <w:style w:type="paragraph" w:customStyle="1" w:styleId="ListDash4">
    <w:name w:val="List Dash 4"/>
    <w:basedOn w:val="Text4"/>
    <w:uiPriority w:val="99"/>
    <w:rsid w:val="009B4998"/>
    <w:pPr>
      <w:numPr>
        <w:numId w:val="22"/>
      </w:numPr>
    </w:pPr>
  </w:style>
  <w:style w:type="paragraph" w:customStyle="1" w:styleId="ListNumberLevel2">
    <w:name w:val="List Number (Level 2)"/>
    <w:basedOn w:val="Normal"/>
    <w:uiPriority w:val="99"/>
    <w:rsid w:val="009B4998"/>
    <w:pPr>
      <w:numPr>
        <w:ilvl w:val="1"/>
        <w:numId w:val="23"/>
      </w:numPr>
    </w:pPr>
  </w:style>
  <w:style w:type="paragraph" w:customStyle="1" w:styleId="ListNumberLevel3">
    <w:name w:val="List Number (Level 3)"/>
    <w:basedOn w:val="Normal"/>
    <w:uiPriority w:val="99"/>
    <w:rsid w:val="009B4998"/>
    <w:pPr>
      <w:numPr>
        <w:ilvl w:val="2"/>
        <w:numId w:val="23"/>
      </w:numPr>
    </w:pPr>
  </w:style>
  <w:style w:type="paragraph" w:customStyle="1" w:styleId="ListNumberLevel4">
    <w:name w:val="List Number (Level 4)"/>
    <w:basedOn w:val="Normal"/>
    <w:uiPriority w:val="99"/>
    <w:rsid w:val="009B4998"/>
    <w:pPr>
      <w:numPr>
        <w:ilvl w:val="3"/>
        <w:numId w:val="23"/>
      </w:numPr>
    </w:pPr>
  </w:style>
  <w:style w:type="paragraph" w:customStyle="1" w:styleId="ListNumber1">
    <w:name w:val="List Number 1"/>
    <w:basedOn w:val="Text1"/>
    <w:uiPriority w:val="99"/>
    <w:rsid w:val="009B4998"/>
    <w:pPr>
      <w:numPr>
        <w:numId w:val="24"/>
      </w:numPr>
    </w:pPr>
  </w:style>
  <w:style w:type="paragraph" w:customStyle="1" w:styleId="ListNumber1Level2">
    <w:name w:val="List Number 1 (Level 2)"/>
    <w:basedOn w:val="Text1"/>
    <w:uiPriority w:val="99"/>
    <w:rsid w:val="009B4998"/>
    <w:pPr>
      <w:numPr>
        <w:ilvl w:val="1"/>
        <w:numId w:val="24"/>
      </w:numPr>
    </w:pPr>
  </w:style>
  <w:style w:type="paragraph" w:customStyle="1" w:styleId="ListNumber1Level3">
    <w:name w:val="List Number 1 (Level 3)"/>
    <w:basedOn w:val="Text1"/>
    <w:uiPriority w:val="99"/>
    <w:rsid w:val="009B4998"/>
    <w:pPr>
      <w:numPr>
        <w:ilvl w:val="2"/>
        <w:numId w:val="24"/>
      </w:numPr>
    </w:pPr>
  </w:style>
  <w:style w:type="paragraph" w:customStyle="1" w:styleId="ListNumber1Level4">
    <w:name w:val="List Number 1 (Level 4)"/>
    <w:basedOn w:val="Text1"/>
    <w:uiPriority w:val="99"/>
    <w:rsid w:val="009B4998"/>
    <w:pPr>
      <w:numPr>
        <w:ilvl w:val="3"/>
        <w:numId w:val="24"/>
      </w:numPr>
    </w:pPr>
  </w:style>
  <w:style w:type="paragraph" w:customStyle="1" w:styleId="ListNumber2Level2">
    <w:name w:val="List Number 2 (Level 2)"/>
    <w:basedOn w:val="Text2"/>
    <w:uiPriority w:val="99"/>
    <w:rsid w:val="009B4998"/>
    <w:pPr>
      <w:numPr>
        <w:ilvl w:val="1"/>
        <w:numId w:val="25"/>
      </w:numPr>
      <w:tabs>
        <w:tab w:val="clear" w:pos="2160"/>
      </w:tabs>
    </w:pPr>
  </w:style>
  <w:style w:type="paragraph" w:customStyle="1" w:styleId="ListNumber2Level3">
    <w:name w:val="List Number 2 (Level 3)"/>
    <w:basedOn w:val="Text2"/>
    <w:uiPriority w:val="99"/>
    <w:rsid w:val="009B4998"/>
    <w:pPr>
      <w:numPr>
        <w:ilvl w:val="2"/>
        <w:numId w:val="25"/>
      </w:numPr>
      <w:tabs>
        <w:tab w:val="clear" w:pos="2160"/>
      </w:tabs>
    </w:pPr>
  </w:style>
  <w:style w:type="paragraph" w:customStyle="1" w:styleId="ListNumber2Level4">
    <w:name w:val="List Number 2 (Level 4)"/>
    <w:basedOn w:val="Text2"/>
    <w:uiPriority w:val="99"/>
    <w:rsid w:val="009B4998"/>
    <w:pPr>
      <w:numPr>
        <w:ilvl w:val="3"/>
        <w:numId w:val="25"/>
      </w:numPr>
      <w:tabs>
        <w:tab w:val="clear" w:pos="2160"/>
      </w:tabs>
      <w:ind w:left="3901" w:hanging="703"/>
    </w:pPr>
  </w:style>
  <w:style w:type="paragraph" w:customStyle="1" w:styleId="ListNumber3Level2">
    <w:name w:val="List Number 3 (Level 2)"/>
    <w:basedOn w:val="Text3"/>
    <w:uiPriority w:val="99"/>
    <w:rsid w:val="009B4998"/>
    <w:pPr>
      <w:numPr>
        <w:ilvl w:val="1"/>
        <w:numId w:val="26"/>
      </w:numPr>
      <w:tabs>
        <w:tab w:val="clear" w:pos="2302"/>
      </w:tabs>
    </w:pPr>
  </w:style>
  <w:style w:type="paragraph" w:customStyle="1" w:styleId="ListNumber3Level3">
    <w:name w:val="List Number 3 (Level 3)"/>
    <w:basedOn w:val="Text3"/>
    <w:uiPriority w:val="99"/>
    <w:rsid w:val="009B4998"/>
    <w:pPr>
      <w:numPr>
        <w:ilvl w:val="2"/>
        <w:numId w:val="26"/>
      </w:numPr>
      <w:tabs>
        <w:tab w:val="clear" w:pos="2302"/>
      </w:tabs>
    </w:pPr>
  </w:style>
  <w:style w:type="paragraph" w:customStyle="1" w:styleId="ListNumber3Level4">
    <w:name w:val="List Number 3 (Level 4)"/>
    <w:basedOn w:val="Text3"/>
    <w:uiPriority w:val="99"/>
    <w:rsid w:val="009B4998"/>
    <w:pPr>
      <w:numPr>
        <w:ilvl w:val="3"/>
        <w:numId w:val="26"/>
      </w:numPr>
      <w:tabs>
        <w:tab w:val="clear" w:pos="2302"/>
      </w:tabs>
    </w:pPr>
  </w:style>
  <w:style w:type="paragraph" w:customStyle="1" w:styleId="ListNumber4Level2">
    <w:name w:val="List Number 4 (Level 2)"/>
    <w:basedOn w:val="Text4"/>
    <w:uiPriority w:val="99"/>
    <w:rsid w:val="009B4998"/>
    <w:pPr>
      <w:numPr>
        <w:ilvl w:val="1"/>
        <w:numId w:val="27"/>
      </w:numPr>
    </w:pPr>
  </w:style>
  <w:style w:type="paragraph" w:customStyle="1" w:styleId="ListNumber4Level3">
    <w:name w:val="List Number 4 (Level 3)"/>
    <w:basedOn w:val="Text4"/>
    <w:uiPriority w:val="99"/>
    <w:rsid w:val="009B4998"/>
    <w:pPr>
      <w:numPr>
        <w:ilvl w:val="2"/>
        <w:numId w:val="27"/>
      </w:numPr>
    </w:pPr>
  </w:style>
  <w:style w:type="paragraph" w:customStyle="1" w:styleId="ListNumber4Level4">
    <w:name w:val="List Number 4 (Level 4)"/>
    <w:basedOn w:val="Text4"/>
    <w:uiPriority w:val="99"/>
    <w:rsid w:val="009B4998"/>
    <w:pPr>
      <w:numPr>
        <w:ilvl w:val="3"/>
        <w:numId w:val="27"/>
      </w:numPr>
    </w:pPr>
  </w:style>
  <w:style w:type="paragraph" w:styleId="TOCHeading">
    <w:name w:val="TOC Heading"/>
    <w:basedOn w:val="Normal"/>
    <w:next w:val="Normal"/>
    <w:uiPriority w:val="39"/>
    <w:qFormat/>
    <w:rsid w:val="009B4998"/>
    <w:pPr>
      <w:keepNext/>
      <w:spacing w:before="240"/>
      <w:jc w:val="center"/>
    </w:pPr>
    <w:rPr>
      <w:b/>
    </w:rPr>
  </w:style>
  <w:style w:type="paragraph" w:customStyle="1" w:styleId="Contact">
    <w:name w:val="Contact"/>
    <w:basedOn w:val="Normal"/>
    <w:next w:val="Enclosures"/>
    <w:uiPriority w:val="99"/>
    <w:rsid w:val="009B4998"/>
    <w:pPr>
      <w:spacing w:before="480" w:after="0"/>
      <w:ind w:left="567" w:hanging="567"/>
      <w:jc w:val="left"/>
    </w:pPr>
  </w:style>
  <w:style w:type="paragraph" w:customStyle="1" w:styleId="DisclaimerNotice">
    <w:name w:val="Disclaimer Notice"/>
    <w:basedOn w:val="Normal"/>
    <w:next w:val="AddressTR"/>
    <w:uiPriority w:val="99"/>
    <w:rsid w:val="009B4998"/>
    <w:pPr>
      <w:ind w:left="5103"/>
      <w:jc w:val="left"/>
    </w:pPr>
    <w:rPr>
      <w:i/>
      <w:sz w:val="20"/>
    </w:rPr>
  </w:style>
  <w:style w:type="paragraph" w:customStyle="1" w:styleId="Disclaimer">
    <w:name w:val="Disclaimer"/>
    <w:basedOn w:val="Normal"/>
    <w:uiPriority w:val="99"/>
    <w:rsid w:val="009B4998"/>
    <w:pPr>
      <w:keepLines/>
      <w:pBdr>
        <w:top w:val="single" w:sz="4" w:space="1" w:color="auto"/>
      </w:pBdr>
      <w:spacing w:before="480" w:after="0"/>
    </w:pPr>
    <w:rPr>
      <w:i/>
    </w:rPr>
  </w:style>
  <w:style w:type="character" w:styleId="FollowedHyperlink">
    <w:name w:val="FollowedHyperlink"/>
    <w:uiPriority w:val="99"/>
    <w:rsid w:val="009B4998"/>
    <w:rPr>
      <w:rFonts w:cs="Times New Roman"/>
      <w:color w:val="800080"/>
      <w:u w:val="single"/>
    </w:rPr>
  </w:style>
  <w:style w:type="paragraph" w:customStyle="1" w:styleId="DisclaimerSJ">
    <w:name w:val="Disclaimer_SJ"/>
    <w:basedOn w:val="Normal"/>
    <w:next w:val="Normal"/>
    <w:uiPriority w:val="99"/>
    <w:rsid w:val="009B4998"/>
    <w:pPr>
      <w:spacing w:after="0"/>
    </w:pPr>
    <w:rPr>
      <w:rFonts w:ascii="Arial" w:hAnsi="Arial"/>
      <w:b/>
      <w:sz w:val="16"/>
    </w:rPr>
  </w:style>
  <w:style w:type="paragraph" w:styleId="NormalWeb">
    <w:name w:val="Normal (Web)"/>
    <w:basedOn w:val="Normal"/>
    <w:uiPriority w:val="99"/>
    <w:rsid w:val="0066496A"/>
    <w:pPr>
      <w:suppressAutoHyphens/>
      <w:spacing w:before="100" w:after="100"/>
      <w:jc w:val="left"/>
    </w:pPr>
    <w:rPr>
      <w:szCs w:val="24"/>
      <w:lang w:eastAsia="ar-SA"/>
    </w:rPr>
  </w:style>
  <w:style w:type="paragraph" w:customStyle="1" w:styleId="Point1letter">
    <w:name w:val="Point 1 (letter)"/>
    <w:basedOn w:val="Normal"/>
    <w:uiPriority w:val="99"/>
    <w:rsid w:val="0066496A"/>
    <w:pPr>
      <w:numPr>
        <w:ilvl w:val="3"/>
        <w:numId w:val="13"/>
      </w:numPr>
      <w:tabs>
        <w:tab w:val="num" w:pos="1417"/>
      </w:tabs>
      <w:spacing w:before="120"/>
      <w:ind w:left="1417" w:hanging="567"/>
    </w:pPr>
    <w:rPr>
      <w:szCs w:val="24"/>
    </w:rPr>
  </w:style>
  <w:style w:type="character" w:customStyle="1" w:styleId="Text1Char">
    <w:name w:val="Text 1 Char"/>
    <w:link w:val="Text1"/>
    <w:uiPriority w:val="99"/>
    <w:locked/>
    <w:rsid w:val="0066496A"/>
    <w:rPr>
      <w:sz w:val="24"/>
      <w:lang w:val="en-GB" w:eastAsia="en-US"/>
    </w:rPr>
  </w:style>
  <w:style w:type="table" w:styleId="TableGrid">
    <w:name w:val="Table Grid"/>
    <w:basedOn w:val="TableNormal"/>
    <w:uiPriority w:val="99"/>
    <w:rsid w:val="00664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
    <w:name w:val="Manual NumPar 1"/>
    <w:basedOn w:val="Normal"/>
    <w:next w:val="Text1"/>
    <w:link w:val="ManualNumPar1Char"/>
    <w:uiPriority w:val="99"/>
    <w:rsid w:val="00531288"/>
    <w:pPr>
      <w:spacing w:before="120"/>
      <w:ind w:left="850" w:hanging="850"/>
    </w:pPr>
    <w:rPr>
      <w:noProof/>
    </w:rPr>
  </w:style>
  <w:style w:type="character" w:customStyle="1" w:styleId="ManualNumPar1Char">
    <w:name w:val="Manual NumPar 1 Char"/>
    <w:link w:val="ManualNumPar1"/>
    <w:uiPriority w:val="99"/>
    <w:locked/>
    <w:rsid w:val="00531288"/>
    <w:rPr>
      <w:noProof/>
      <w:sz w:val="24"/>
      <w:lang w:val="en-GB" w:eastAsia="en-US"/>
    </w:rPr>
  </w:style>
  <w:style w:type="character" w:styleId="PageNumber">
    <w:name w:val="page number"/>
    <w:uiPriority w:val="99"/>
    <w:rsid w:val="00371FD4"/>
    <w:rPr>
      <w:rFonts w:cs="Times New Roman"/>
    </w:rPr>
  </w:style>
  <w:style w:type="paragraph" w:customStyle="1" w:styleId="Point0number">
    <w:name w:val="Point 0 (number)"/>
    <w:basedOn w:val="Normal"/>
    <w:uiPriority w:val="99"/>
    <w:rsid w:val="00EB6657"/>
    <w:pPr>
      <w:tabs>
        <w:tab w:val="num" w:pos="765"/>
      </w:tabs>
      <w:spacing w:before="120"/>
      <w:ind w:left="765" w:hanging="283"/>
    </w:pPr>
    <w:rPr>
      <w:szCs w:val="24"/>
    </w:rPr>
  </w:style>
  <w:style w:type="paragraph" w:customStyle="1" w:styleId="Point1number">
    <w:name w:val="Point 1 (number)"/>
    <w:basedOn w:val="Normal"/>
    <w:uiPriority w:val="99"/>
    <w:rsid w:val="000F7A65"/>
    <w:pPr>
      <w:tabs>
        <w:tab w:val="num" w:pos="765"/>
      </w:tabs>
      <w:spacing w:before="120"/>
      <w:ind w:left="765" w:hanging="283"/>
    </w:pPr>
    <w:rPr>
      <w:szCs w:val="24"/>
    </w:rPr>
  </w:style>
  <w:style w:type="paragraph" w:customStyle="1" w:styleId="Point2number">
    <w:name w:val="Point 2 (number)"/>
    <w:basedOn w:val="Normal"/>
    <w:uiPriority w:val="99"/>
    <w:rsid w:val="00523D60"/>
    <w:pPr>
      <w:tabs>
        <w:tab w:val="num" w:pos="1984"/>
      </w:tabs>
      <w:spacing w:before="120"/>
      <w:ind w:left="1984" w:hanging="567"/>
    </w:pPr>
    <w:rPr>
      <w:szCs w:val="24"/>
    </w:rPr>
  </w:style>
  <w:style w:type="paragraph" w:customStyle="1" w:styleId="Point3number">
    <w:name w:val="Point 3 (number)"/>
    <w:basedOn w:val="Normal"/>
    <w:uiPriority w:val="99"/>
    <w:rsid w:val="00523D60"/>
    <w:pPr>
      <w:tabs>
        <w:tab w:val="num" w:pos="2551"/>
      </w:tabs>
      <w:spacing w:before="120"/>
      <w:ind w:left="2551" w:hanging="567"/>
    </w:pPr>
    <w:rPr>
      <w:szCs w:val="24"/>
    </w:rPr>
  </w:style>
  <w:style w:type="paragraph" w:customStyle="1" w:styleId="Point0letter">
    <w:name w:val="Point 0 (letter)"/>
    <w:basedOn w:val="Normal"/>
    <w:uiPriority w:val="99"/>
    <w:rsid w:val="000F7A65"/>
    <w:pPr>
      <w:tabs>
        <w:tab w:val="num" w:pos="765"/>
      </w:tabs>
      <w:spacing w:before="120"/>
      <w:ind w:left="765" w:hanging="283"/>
    </w:pPr>
    <w:rPr>
      <w:szCs w:val="24"/>
    </w:rPr>
  </w:style>
  <w:style w:type="paragraph" w:customStyle="1" w:styleId="Point2letter">
    <w:name w:val="Point 2 (letter)"/>
    <w:basedOn w:val="Normal"/>
    <w:uiPriority w:val="99"/>
    <w:rsid w:val="00523D60"/>
    <w:pPr>
      <w:tabs>
        <w:tab w:val="num" w:pos="1984"/>
      </w:tabs>
      <w:spacing w:before="120"/>
      <w:ind w:left="1984" w:hanging="567"/>
    </w:pPr>
    <w:rPr>
      <w:szCs w:val="24"/>
    </w:rPr>
  </w:style>
  <w:style w:type="paragraph" w:customStyle="1" w:styleId="Point3letter">
    <w:name w:val="Point 3 (letter)"/>
    <w:basedOn w:val="Normal"/>
    <w:uiPriority w:val="99"/>
    <w:rsid w:val="00523D60"/>
    <w:pPr>
      <w:tabs>
        <w:tab w:val="num" w:pos="2551"/>
      </w:tabs>
      <w:spacing w:before="120"/>
      <w:ind w:left="2551" w:hanging="567"/>
    </w:pPr>
    <w:rPr>
      <w:szCs w:val="24"/>
    </w:rPr>
  </w:style>
  <w:style w:type="paragraph" w:customStyle="1" w:styleId="Point4letter">
    <w:name w:val="Point 4 (letter)"/>
    <w:basedOn w:val="Normal"/>
    <w:uiPriority w:val="99"/>
    <w:rsid w:val="00523D60"/>
    <w:pPr>
      <w:tabs>
        <w:tab w:val="num" w:pos="3118"/>
      </w:tabs>
      <w:spacing w:before="120"/>
      <w:ind w:left="3118" w:hanging="567"/>
    </w:pPr>
    <w:rPr>
      <w:szCs w:val="24"/>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ftref"/>
    <w:uiPriority w:val="99"/>
    <w:rsid w:val="00ED1312"/>
    <w:rPr>
      <w:rFonts w:cs="Times New Roman"/>
      <w:vertAlign w:val="superscript"/>
    </w:rPr>
  </w:style>
  <w:style w:type="paragraph" w:customStyle="1" w:styleId="Point2">
    <w:name w:val="Point 2"/>
    <w:basedOn w:val="Normal"/>
    <w:uiPriority w:val="99"/>
    <w:rsid w:val="00810320"/>
    <w:pPr>
      <w:spacing w:before="120"/>
      <w:ind w:left="1984" w:hanging="567"/>
    </w:pPr>
    <w:rPr>
      <w:szCs w:val="24"/>
    </w:rPr>
  </w:style>
  <w:style w:type="paragraph" w:customStyle="1" w:styleId="StyleHeading3BoldNotItalic">
    <w:name w:val="Style Heading 3 + Bold Not Italic"/>
    <w:basedOn w:val="Heading3"/>
    <w:autoRedefine/>
    <w:uiPriority w:val="99"/>
    <w:rsid w:val="00DE6593"/>
    <w:rPr>
      <w:rFonts w:ascii="Times New Roman Bold" w:hAnsi="Times New Roman Bold"/>
      <w:b w:val="0"/>
      <w:bCs/>
    </w:rPr>
  </w:style>
  <w:style w:type="character" w:styleId="CommentReference">
    <w:name w:val="annotation reference"/>
    <w:uiPriority w:val="99"/>
    <w:rsid w:val="00A15D5E"/>
    <w:rPr>
      <w:rFonts w:cs="Times New Roman"/>
      <w:sz w:val="16"/>
    </w:rPr>
  </w:style>
  <w:style w:type="paragraph" w:styleId="CommentSubject">
    <w:name w:val="annotation subject"/>
    <w:basedOn w:val="CommentText"/>
    <w:next w:val="CommentText"/>
    <w:link w:val="CommentSubjectChar"/>
    <w:uiPriority w:val="99"/>
    <w:semiHidden/>
    <w:rsid w:val="00A15D5E"/>
    <w:rPr>
      <w:b/>
      <w:bCs/>
    </w:rPr>
  </w:style>
  <w:style w:type="character" w:customStyle="1" w:styleId="CommentSubjectChar">
    <w:name w:val="Comment Subject Char"/>
    <w:link w:val="CommentSubject"/>
    <w:uiPriority w:val="99"/>
    <w:semiHidden/>
    <w:locked/>
    <w:rsid w:val="00365F12"/>
    <w:rPr>
      <w:rFonts w:cs="Times New Roman"/>
      <w:b/>
      <w:bCs/>
      <w:sz w:val="20"/>
      <w:szCs w:val="20"/>
      <w:lang w:val="en-GB" w:eastAsia="en-US"/>
    </w:rPr>
  </w:style>
  <w:style w:type="paragraph" w:customStyle="1" w:styleId="Annextitle">
    <w:name w:val="Annex title"/>
    <w:basedOn w:val="Normal"/>
    <w:autoRedefine/>
    <w:uiPriority w:val="99"/>
    <w:rsid w:val="002444EF"/>
    <w:pPr>
      <w:spacing w:before="120"/>
      <w:jc w:val="left"/>
    </w:pPr>
    <w:rPr>
      <w:rFonts w:ascii="Times New Roman Bold" w:hAnsi="Times New Roman Bold"/>
      <w:iCs/>
      <w:smallCaps/>
      <w:szCs w:val="24"/>
      <w:lang w:eastAsia="en-GB"/>
    </w:rPr>
  </w:style>
  <w:style w:type="paragraph" w:styleId="Revision">
    <w:name w:val="Revision"/>
    <w:hidden/>
    <w:uiPriority w:val="99"/>
    <w:semiHidden/>
    <w:rsid w:val="005C16BB"/>
    <w:rPr>
      <w:sz w:val="24"/>
      <w:lang w:val="en-GB" w:eastAsia="en-US"/>
    </w:rPr>
  </w:style>
  <w:style w:type="character" w:styleId="EndnoteReference">
    <w:name w:val="endnote reference"/>
    <w:uiPriority w:val="99"/>
    <w:rsid w:val="00A97AF6"/>
    <w:rPr>
      <w:rFonts w:cs="Times New Roman"/>
      <w:vertAlign w:val="superscript"/>
    </w:rPr>
  </w:style>
  <w:style w:type="paragraph" w:styleId="ListParagraph">
    <w:name w:val="List Paragraph"/>
    <w:basedOn w:val="Normal"/>
    <w:link w:val="ListParagraphChar1"/>
    <w:uiPriority w:val="99"/>
    <w:qFormat/>
    <w:rsid w:val="006A44B2"/>
    <w:pPr>
      <w:ind w:left="720"/>
    </w:pPr>
    <w:rPr>
      <w:lang w:val="it-IT"/>
    </w:rPr>
  </w:style>
  <w:style w:type="paragraph" w:customStyle="1" w:styleId="StyleHeading1Hanging085cm">
    <w:name w:val="Style Heading 1 + Hanging:  0.85 cm"/>
    <w:basedOn w:val="Heading1"/>
    <w:autoRedefine/>
    <w:uiPriority w:val="99"/>
    <w:rsid w:val="00F67717"/>
    <w:pPr>
      <w:numPr>
        <w:numId w:val="31"/>
      </w:numPr>
      <w:tabs>
        <w:tab w:val="clear" w:pos="1134"/>
      </w:tabs>
      <w:ind w:left="1560" w:hanging="1560"/>
    </w:pPr>
    <w:rPr>
      <w:bCs w:val="0"/>
    </w:rPr>
  </w:style>
  <w:style w:type="paragraph" w:customStyle="1" w:styleId="StyleHeading1Left0cm">
    <w:name w:val="Style Heading 1 + Left:  0 cm"/>
    <w:basedOn w:val="Heading1"/>
    <w:autoRedefine/>
    <w:uiPriority w:val="99"/>
    <w:rsid w:val="00DE6593"/>
    <w:pPr>
      <w:numPr>
        <w:numId w:val="28"/>
      </w:numPr>
    </w:pPr>
    <w:rPr>
      <w:rFonts w:ascii="Times New Roman Bold" w:hAnsi="Times New Roman Bold"/>
      <w:bCs w:val="0"/>
    </w:rPr>
  </w:style>
  <w:style w:type="character" w:styleId="Hyperlink">
    <w:name w:val="Hyperlink"/>
    <w:uiPriority w:val="99"/>
    <w:rsid w:val="001F4FEF"/>
    <w:rPr>
      <w:rFonts w:cs="Times New Roman"/>
      <w:noProof/>
      <w:color w:val="0000FF"/>
      <w:u w:val="single"/>
    </w:rPr>
  </w:style>
  <w:style w:type="paragraph" w:customStyle="1" w:styleId="Default">
    <w:name w:val="Default"/>
    <w:uiPriority w:val="99"/>
    <w:rsid w:val="00FD2D78"/>
    <w:pPr>
      <w:autoSpaceDE w:val="0"/>
      <w:autoSpaceDN w:val="0"/>
      <w:adjustRightInd w:val="0"/>
    </w:pPr>
    <w:rPr>
      <w:rFonts w:ascii="Arial" w:hAnsi="Arial" w:cs="Arial"/>
      <w:color w:val="000000"/>
      <w:sz w:val="24"/>
      <w:szCs w:val="24"/>
      <w:lang w:val="en-GB" w:eastAsia="sv-SE"/>
    </w:rPr>
  </w:style>
  <w:style w:type="character" w:styleId="Strong">
    <w:name w:val="Strong"/>
    <w:qFormat/>
    <w:rsid w:val="00A94B42"/>
    <w:rPr>
      <w:rFonts w:cs="Times New Roman"/>
      <w:b/>
    </w:rPr>
  </w:style>
  <w:style w:type="paragraph" w:customStyle="1" w:styleId="Paragraphedeliste1">
    <w:name w:val="Paragraphe de liste1"/>
    <w:basedOn w:val="Normal"/>
    <w:uiPriority w:val="99"/>
    <w:rsid w:val="007D333F"/>
    <w:pPr>
      <w:spacing w:before="120" w:line="276" w:lineRule="auto"/>
      <w:ind w:left="720"/>
    </w:pPr>
    <w:rPr>
      <w:rFonts w:ascii="Arial" w:hAnsi="Arial"/>
      <w:sz w:val="20"/>
      <w:szCs w:val="22"/>
      <w:lang w:val="fr-FR"/>
    </w:rPr>
  </w:style>
  <w:style w:type="paragraph" w:customStyle="1" w:styleId="bodytext0">
    <w:name w:val="bodytext"/>
    <w:basedOn w:val="Normal"/>
    <w:uiPriority w:val="99"/>
    <w:rsid w:val="003C7ACE"/>
    <w:pPr>
      <w:spacing w:before="100" w:beforeAutospacing="1" w:after="100" w:afterAutospacing="1"/>
      <w:jc w:val="left"/>
    </w:pPr>
    <w:rPr>
      <w:szCs w:val="24"/>
      <w:lang w:eastAsia="en-GB"/>
    </w:rPr>
  </w:style>
  <w:style w:type="paragraph" w:customStyle="1" w:styleId="TableListBullet">
    <w:name w:val="Table List Bullet"/>
    <w:basedOn w:val="BodyText"/>
    <w:uiPriority w:val="99"/>
    <w:rsid w:val="00FA7F20"/>
    <w:pPr>
      <w:numPr>
        <w:numId w:val="36"/>
      </w:numPr>
      <w:spacing w:after="60"/>
      <w:jc w:val="left"/>
    </w:pPr>
    <w:rPr>
      <w:rFonts w:ascii="Georgia" w:hAnsi="Georgia"/>
      <w:sz w:val="16"/>
      <w:szCs w:val="24"/>
      <w:lang w:val="fr-FR"/>
    </w:rPr>
  </w:style>
  <w:style w:type="character" w:customStyle="1" w:styleId="CaptionChar">
    <w:name w:val="Caption Char"/>
    <w:aliases w:val="Studientitel Char,Legende Char,Car16 Char,Car Car Car Car Car Car Car Char,Car Car Car Car Car Char,Car Car Car Car Car Car Car Car Car Car Car Car Char,Car3 Char,legendes Char,légende Char,Car5 Char"/>
    <w:link w:val="Caption"/>
    <w:uiPriority w:val="99"/>
    <w:locked/>
    <w:rsid w:val="0093619D"/>
    <w:rPr>
      <w:b/>
      <w:sz w:val="24"/>
      <w:lang w:eastAsia="en-US"/>
    </w:rPr>
  </w:style>
  <w:style w:type="character" w:customStyle="1" w:styleId="ListParagraphChar1">
    <w:name w:val="List Paragraph Char1"/>
    <w:link w:val="ListParagraph"/>
    <w:uiPriority w:val="99"/>
    <w:locked/>
    <w:rsid w:val="0093619D"/>
    <w:rPr>
      <w:sz w:val="24"/>
      <w:lang w:eastAsia="en-US"/>
    </w:rPr>
  </w:style>
  <w:style w:type="paragraph" w:customStyle="1" w:styleId="maufzhlung">
    <w:name w:val="m_aufzählung"/>
    <w:uiPriority w:val="99"/>
    <w:rsid w:val="00030EC6"/>
    <w:pPr>
      <w:tabs>
        <w:tab w:val="left" w:pos="709"/>
      </w:tabs>
      <w:spacing w:before="60" w:line="360" w:lineRule="auto"/>
      <w:ind w:left="720" w:hanging="360"/>
      <w:jc w:val="both"/>
    </w:pPr>
    <w:rPr>
      <w:rFonts w:ascii="Arial" w:hAnsi="Arial"/>
      <w:lang w:val="en-GB" w:eastAsia="de-DE"/>
    </w:rPr>
  </w:style>
  <w:style w:type="paragraph" w:customStyle="1" w:styleId="maufzhlung2">
    <w:name w:val="m_aufzählung2"/>
    <w:basedOn w:val="maufzhlung"/>
    <w:next w:val="Normal"/>
    <w:uiPriority w:val="99"/>
    <w:rsid w:val="00030EC6"/>
    <w:pPr>
      <w:numPr>
        <w:ilvl w:val="1"/>
      </w:numPr>
      <w:spacing w:after="140"/>
      <w:ind w:left="1440" w:hanging="576"/>
    </w:pPr>
  </w:style>
  <w:style w:type="paragraph" w:customStyle="1" w:styleId="mStandard">
    <w:name w:val="m_Standard"/>
    <w:link w:val="mStandardZchn"/>
    <w:uiPriority w:val="99"/>
    <w:rsid w:val="00CE2F40"/>
    <w:pPr>
      <w:spacing w:before="60" w:after="140" w:line="360" w:lineRule="auto"/>
      <w:jc w:val="both"/>
    </w:pPr>
    <w:rPr>
      <w:rFonts w:ascii="Arial" w:hAnsi="Arial"/>
      <w:sz w:val="22"/>
      <w:szCs w:val="22"/>
      <w:lang w:eastAsia="de-AT"/>
    </w:rPr>
  </w:style>
  <w:style w:type="character" w:customStyle="1" w:styleId="mStandardZchn">
    <w:name w:val="m_Standard Zchn"/>
    <w:link w:val="mStandard"/>
    <w:uiPriority w:val="99"/>
    <w:locked/>
    <w:rsid w:val="00CE2F40"/>
    <w:rPr>
      <w:rFonts w:ascii="Arial" w:hAnsi="Arial"/>
      <w:sz w:val="22"/>
      <w:lang w:eastAsia="de-AT"/>
    </w:rPr>
  </w:style>
  <w:style w:type="character" w:customStyle="1" w:styleId="Titre2Car">
    <w:name w:val="Titre 2 Car"/>
    <w:uiPriority w:val="99"/>
    <w:rsid w:val="000B3890"/>
    <w:rPr>
      <w:rFonts w:eastAsia="Times New Roman"/>
      <w:b/>
      <w:sz w:val="24"/>
    </w:rPr>
  </w:style>
  <w:style w:type="paragraph" w:customStyle="1" w:styleId="Aufzhlung">
    <w:name w:val="Aufzählung"/>
    <w:basedOn w:val="ListBullet"/>
    <w:uiPriority w:val="99"/>
    <w:rsid w:val="00710FFC"/>
    <w:pPr>
      <w:numPr>
        <w:numId w:val="0"/>
      </w:numPr>
      <w:spacing w:after="240" w:line="280" w:lineRule="atLeast"/>
      <w:contextualSpacing/>
    </w:pPr>
    <w:rPr>
      <w:rFonts w:ascii="Arial" w:hAnsi="Arial"/>
      <w:sz w:val="20"/>
      <w:lang w:eastAsia="de-DE"/>
    </w:rPr>
  </w:style>
  <w:style w:type="paragraph" w:customStyle="1" w:styleId="Paragrafoelenco1">
    <w:name w:val="Paragrafo elenco1"/>
    <w:basedOn w:val="Normal"/>
    <w:link w:val="ListParagraphChar"/>
    <w:uiPriority w:val="99"/>
    <w:rsid w:val="00AB0F79"/>
    <w:pPr>
      <w:ind w:left="720"/>
    </w:pPr>
    <w:rPr>
      <w:sz w:val="20"/>
      <w:lang w:val="it-IT" w:eastAsia="it-IT"/>
    </w:rPr>
  </w:style>
  <w:style w:type="character" w:customStyle="1" w:styleId="ListParagraphChar">
    <w:name w:val="List Paragraph Char"/>
    <w:link w:val="Paragrafoelenco1"/>
    <w:uiPriority w:val="99"/>
    <w:locked/>
    <w:rsid w:val="00AB0F79"/>
    <w:rPr>
      <w:rFonts w:eastAsia="Times New Roman"/>
      <w:lang w:val="it-IT" w:eastAsia="it-IT"/>
    </w:rPr>
  </w:style>
  <w:style w:type="paragraph" w:customStyle="1" w:styleId="Tiret3">
    <w:name w:val="Tiret 3"/>
    <w:basedOn w:val="Normal"/>
    <w:uiPriority w:val="99"/>
    <w:rsid w:val="00243A23"/>
    <w:pPr>
      <w:numPr>
        <w:numId w:val="45"/>
      </w:numPr>
      <w:spacing w:before="120"/>
    </w:pPr>
    <w:rPr>
      <w:lang w:eastAsia="en-GB"/>
    </w:rPr>
  </w:style>
  <w:style w:type="paragraph" w:customStyle="1" w:styleId="Bullet0">
    <w:name w:val="Bullet 0"/>
    <w:basedOn w:val="Normal"/>
    <w:uiPriority w:val="99"/>
    <w:rsid w:val="00037A37"/>
    <w:pPr>
      <w:numPr>
        <w:numId w:val="46"/>
      </w:numPr>
      <w:spacing w:before="120"/>
    </w:pPr>
    <w:rPr>
      <w:lang w:eastAsia="en-GB"/>
    </w:rPr>
  </w:style>
  <w:style w:type="character" w:styleId="Emphasis">
    <w:name w:val="Emphasis"/>
    <w:uiPriority w:val="99"/>
    <w:qFormat/>
    <w:rsid w:val="007B7978"/>
    <w:rPr>
      <w:rFonts w:cs="Times New Roman"/>
      <w:i/>
    </w:rPr>
  </w:style>
  <w:style w:type="paragraph" w:customStyle="1" w:styleId="Tabelle">
    <w:name w:val="Tabelle"/>
    <w:basedOn w:val="Normal"/>
    <w:uiPriority w:val="99"/>
    <w:rsid w:val="007B7978"/>
    <w:pPr>
      <w:spacing w:before="40" w:after="40"/>
      <w:jc w:val="left"/>
    </w:pPr>
    <w:rPr>
      <w:rFonts w:ascii="Arial Narrow" w:hAnsi="Arial Narrow" w:cs="Arial"/>
      <w:sz w:val="18"/>
      <w:lang w:eastAsia="de-DE"/>
    </w:rPr>
  </w:style>
  <w:style w:type="paragraph" w:customStyle="1" w:styleId="CM1">
    <w:name w:val="CM1"/>
    <w:basedOn w:val="Default"/>
    <w:next w:val="Default"/>
    <w:uiPriority w:val="99"/>
    <w:rsid w:val="00E3049D"/>
    <w:rPr>
      <w:rFonts w:ascii="Helvetica Linotype" w:hAnsi="Helvetica Linotype" w:cs="Times New Roman"/>
      <w:color w:val="auto"/>
      <w:lang w:eastAsia="en-GB"/>
    </w:rPr>
  </w:style>
  <w:style w:type="paragraph" w:customStyle="1" w:styleId="CM3">
    <w:name w:val="CM3"/>
    <w:basedOn w:val="Default"/>
    <w:next w:val="Default"/>
    <w:uiPriority w:val="99"/>
    <w:rsid w:val="00E3049D"/>
    <w:rPr>
      <w:rFonts w:ascii="Helvetica Linotype" w:hAnsi="Helvetica Linotype" w:cs="Times New Roman"/>
      <w:color w:val="auto"/>
      <w:lang w:eastAsia="en-GB"/>
    </w:rPr>
  </w:style>
  <w:style w:type="paragraph" w:customStyle="1" w:styleId="Prrafodelista1">
    <w:name w:val="Párrafo de lista1"/>
    <w:basedOn w:val="Normal"/>
    <w:uiPriority w:val="99"/>
    <w:rsid w:val="00A36D19"/>
    <w:pPr>
      <w:spacing w:after="0" w:line="300" w:lineRule="exact"/>
      <w:ind w:left="720"/>
      <w:contextualSpacing/>
    </w:pPr>
    <w:rPr>
      <w:rFonts w:ascii="Arial" w:hAnsi="Arial"/>
      <w:sz w:val="22"/>
      <w:szCs w:val="22"/>
      <w:lang w:val="el-GR" w:eastAsia="el-GR"/>
    </w:rPr>
  </w:style>
  <w:style w:type="paragraph" w:customStyle="1" w:styleId="tablelinks">
    <w:name w:val="table_links"/>
    <w:uiPriority w:val="99"/>
    <w:rsid w:val="004A1A99"/>
    <w:pPr>
      <w:suppressAutoHyphens/>
      <w:spacing w:before="40" w:after="40" w:line="276" w:lineRule="auto"/>
      <w:jc w:val="both"/>
    </w:pPr>
    <w:rPr>
      <w:rFonts w:ascii="Arial" w:hAnsi="Arial" w:cs="Arial"/>
      <w:color w:val="808080"/>
      <w:sz w:val="18"/>
      <w:lang w:val="en-GB" w:eastAsia="de-DE"/>
    </w:rPr>
  </w:style>
  <w:style w:type="paragraph" w:customStyle="1" w:styleId="tablezentriertfett">
    <w:name w:val="table_zentriert_fett"/>
    <w:basedOn w:val="Normal"/>
    <w:uiPriority w:val="99"/>
    <w:rsid w:val="00E3730F"/>
    <w:pPr>
      <w:suppressAutoHyphens/>
      <w:spacing w:before="40" w:after="40"/>
      <w:jc w:val="center"/>
    </w:pPr>
    <w:rPr>
      <w:rFonts w:ascii="Arial" w:hAnsi="Arial"/>
      <w:b/>
      <w:color w:val="808080"/>
      <w:sz w:val="18"/>
      <w:lang w:val="de-AT" w:eastAsia="de-DE"/>
    </w:rPr>
  </w:style>
  <w:style w:type="character" w:customStyle="1" w:styleId="st1">
    <w:name w:val="st1"/>
    <w:uiPriority w:val="99"/>
    <w:rsid w:val="00652BED"/>
  </w:style>
  <w:style w:type="character" w:customStyle="1" w:styleId="apple-converted-space">
    <w:name w:val="apple-converted-space"/>
    <w:uiPriority w:val="99"/>
    <w:rsid w:val="00E4736A"/>
  </w:style>
  <w:style w:type="table" w:styleId="MediumShading1-Accent5">
    <w:name w:val="Medium Shading 1 Accent 5"/>
    <w:basedOn w:val="TableNormal"/>
    <w:uiPriority w:val="99"/>
    <w:rsid w:val="00997A9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2-Accent5">
    <w:name w:val="Medium Shading 2 Accent 5"/>
    <w:basedOn w:val="TableNormal"/>
    <w:uiPriority w:val="99"/>
    <w:rsid w:val="00997A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99"/>
    <w:rsid w:val="00997A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clara-nfasis11">
    <w:name w:val="Lista clara - Énfasis 11"/>
    <w:uiPriority w:val="99"/>
    <w:rsid w:val="00E10A1E"/>
    <w:rPr>
      <w:rFonts w:ascii="Calibri" w:hAnsi="Calibri"/>
      <w:lang w:val="de-AT"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HTMLCite">
    <w:name w:val="HTML Cite"/>
    <w:uiPriority w:val="99"/>
    <w:semiHidden/>
    <w:rsid w:val="00DB0A13"/>
    <w:rPr>
      <w:rFonts w:cs="Times New Roman"/>
      <w:i/>
    </w:rPr>
  </w:style>
  <w:style w:type="character" w:customStyle="1" w:styleId="f1">
    <w:name w:val="f1"/>
    <w:uiPriority w:val="99"/>
    <w:rsid w:val="00DB0A13"/>
    <w:rPr>
      <w:color w:val="666666"/>
    </w:rPr>
  </w:style>
  <w:style w:type="paragraph" w:customStyle="1" w:styleId="Normal1">
    <w:name w:val="Normal1"/>
    <w:basedOn w:val="Normal"/>
    <w:uiPriority w:val="99"/>
    <w:rsid w:val="00D41DB0"/>
    <w:pPr>
      <w:spacing w:before="100" w:beforeAutospacing="1" w:after="100" w:afterAutospacing="1"/>
      <w:jc w:val="left"/>
    </w:pPr>
    <w:rPr>
      <w:szCs w:val="24"/>
      <w:lang w:val="es-ES" w:eastAsia="es-ES"/>
    </w:rPr>
  </w:style>
  <w:style w:type="paragraph" w:customStyle="1" w:styleId="CM4">
    <w:name w:val="CM4"/>
    <w:basedOn w:val="Default"/>
    <w:next w:val="Default"/>
    <w:uiPriority w:val="99"/>
    <w:rsid w:val="0020057D"/>
    <w:rPr>
      <w:rFonts w:ascii="EUAlbertina" w:hAnsi="EUAlbertina" w:cs="Times New Roman"/>
      <w:color w:val="auto"/>
      <w:lang w:val="it-IT" w:eastAsia="it-IT"/>
    </w:rPr>
  </w:style>
  <w:style w:type="paragraph" w:customStyle="1" w:styleId="Contenutotabella">
    <w:name w:val="Contenuto tabella"/>
    <w:basedOn w:val="Normal"/>
    <w:rsid w:val="006D2D5E"/>
    <w:pPr>
      <w:widowControl w:val="0"/>
      <w:suppressLineNumbers/>
      <w:suppressAutoHyphens/>
      <w:spacing w:after="0"/>
      <w:jc w:val="left"/>
    </w:pPr>
    <w:rPr>
      <w:rFonts w:eastAsia="Arial Unicode MS" w:cs="Mangal"/>
      <w:kern w:val="1"/>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1D7CF8"/>
    <w:pPr>
      <w:spacing w:after="120"/>
      <w:jc w:val="both"/>
    </w:pPr>
    <w:rPr>
      <w:sz w:val="24"/>
      <w:lang w:val="en-GB" w:eastAsia="en-US"/>
    </w:rPr>
  </w:style>
  <w:style w:type="paragraph" w:styleId="Titolo1">
    <w:name w:val="heading 1"/>
    <w:basedOn w:val="Normale"/>
    <w:next w:val="Text1"/>
    <w:link w:val="Titolo1Carattere"/>
    <w:autoRedefine/>
    <w:uiPriority w:val="99"/>
    <w:qFormat/>
    <w:rsid w:val="0000707A"/>
    <w:pPr>
      <w:keepNext/>
      <w:tabs>
        <w:tab w:val="left" w:pos="1134"/>
      </w:tabs>
      <w:autoSpaceDE w:val="0"/>
      <w:autoSpaceDN w:val="0"/>
      <w:adjustRightInd w:val="0"/>
      <w:outlineLvl w:val="0"/>
    </w:pPr>
    <w:rPr>
      <w:rFonts w:ascii="Arial" w:hAnsi="Arial"/>
      <w:b/>
      <w:bCs/>
      <w:smallCaps/>
      <w:color w:val="002060"/>
      <w:sz w:val="22"/>
      <w:szCs w:val="22"/>
      <w:lang w:eastAsia="sv-SE"/>
    </w:rPr>
  </w:style>
  <w:style w:type="paragraph" w:styleId="Titolo2">
    <w:name w:val="heading 2"/>
    <w:aliases w:val="2,(cntl 2),(SubSection),h2,Para Nos,Para,Main Heading,Main Headi,Numbered - 2,(Main Heading),Paragraph,Sub Heading,ignorer2,Oscar Faber 2,Headline 2,headi,heading2,h21,h22,21,H2,l2,kopregel 2,Dossier Head 2,ASAPHeading 2,2H,2H1,2H2,heading"/>
    <w:basedOn w:val="Normale"/>
    <w:next w:val="Text2"/>
    <w:link w:val="Titolo2Carattere"/>
    <w:autoRedefine/>
    <w:uiPriority w:val="99"/>
    <w:qFormat/>
    <w:rsid w:val="00523BE5"/>
    <w:pPr>
      <w:keepNext/>
      <w:autoSpaceDE w:val="0"/>
      <w:autoSpaceDN w:val="0"/>
      <w:adjustRightInd w:val="0"/>
      <w:spacing w:after="0"/>
      <w:outlineLvl w:val="1"/>
    </w:pPr>
    <w:rPr>
      <w:rFonts w:ascii="Arial" w:hAnsi="Arial" w:cs="Arial"/>
      <w:b/>
      <w:bCs/>
      <w:i/>
      <w:color w:val="002060"/>
      <w:sz w:val="22"/>
      <w:szCs w:val="22"/>
      <w:lang w:eastAsia="sv-SE"/>
    </w:rPr>
  </w:style>
  <w:style w:type="paragraph" w:styleId="Titolo3">
    <w:name w:val="heading 3"/>
    <w:aliases w:val="T3,Kop 3,Titre3,Titre 3 Car Car"/>
    <w:basedOn w:val="Normale"/>
    <w:next w:val="Text3"/>
    <w:link w:val="Titolo3Carattere"/>
    <w:uiPriority w:val="99"/>
    <w:qFormat/>
    <w:rsid w:val="008E5887"/>
    <w:pPr>
      <w:spacing w:before="240" w:after="240"/>
      <w:ind w:left="425"/>
      <w:outlineLvl w:val="2"/>
    </w:pPr>
    <w:rPr>
      <w:b/>
      <w:i/>
      <w:noProof/>
      <w:color w:val="365F91"/>
      <w:lang w:eastAsia="fr-BE"/>
    </w:rPr>
  </w:style>
  <w:style w:type="paragraph" w:styleId="Titolo4">
    <w:name w:val="heading 4"/>
    <w:basedOn w:val="Titolo2"/>
    <w:next w:val="Text4"/>
    <w:link w:val="Titolo4Carattere"/>
    <w:uiPriority w:val="99"/>
    <w:qFormat/>
    <w:rsid w:val="001D6BDB"/>
    <w:pPr>
      <w:spacing w:after="240"/>
      <w:ind w:left="1287" w:hanging="720"/>
      <w:outlineLvl w:val="3"/>
    </w:pPr>
    <w:rPr>
      <w:rFonts w:cs="Times New Roman"/>
    </w:rPr>
  </w:style>
  <w:style w:type="paragraph" w:styleId="Titolo5">
    <w:name w:val="heading 5"/>
    <w:basedOn w:val="Titolo4"/>
    <w:next w:val="Normale"/>
    <w:link w:val="Titolo5Carattere"/>
    <w:uiPriority w:val="99"/>
    <w:qFormat/>
    <w:rsid w:val="00BE0AC1"/>
    <w:pPr>
      <w:numPr>
        <w:numId w:val="9"/>
      </w:numPr>
      <w:tabs>
        <w:tab w:val="clear" w:pos="1209"/>
      </w:tabs>
      <w:ind w:left="814"/>
      <w:outlineLvl w:val="4"/>
    </w:pPr>
  </w:style>
  <w:style w:type="paragraph" w:styleId="Titolo6">
    <w:name w:val="heading 6"/>
    <w:basedOn w:val="Normale"/>
    <w:next w:val="Normale"/>
    <w:link w:val="Titolo6Carattere"/>
    <w:uiPriority w:val="99"/>
    <w:qFormat/>
    <w:rsid w:val="009B4998"/>
    <w:pPr>
      <w:numPr>
        <w:ilvl w:val="5"/>
        <w:numId w:val="29"/>
      </w:numPr>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9B4998"/>
    <w:pPr>
      <w:numPr>
        <w:ilvl w:val="6"/>
        <w:numId w:val="29"/>
      </w:numPr>
      <w:spacing w:before="240" w:after="60"/>
      <w:outlineLvl w:val="6"/>
    </w:pPr>
    <w:rPr>
      <w:rFonts w:ascii="Arial" w:hAnsi="Arial"/>
      <w:sz w:val="20"/>
    </w:rPr>
  </w:style>
  <w:style w:type="paragraph" w:styleId="Titolo8">
    <w:name w:val="heading 8"/>
    <w:basedOn w:val="Normale"/>
    <w:next w:val="Normale"/>
    <w:link w:val="Titolo8Carattere"/>
    <w:uiPriority w:val="99"/>
    <w:qFormat/>
    <w:rsid w:val="009B4998"/>
    <w:pPr>
      <w:numPr>
        <w:ilvl w:val="7"/>
        <w:numId w:val="29"/>
      </w:numPr>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9B4998"/>
    <w:pPr>
      <w:numPr>
        <w:ilvl w:val="8"/>
        <w:numId w:val="29"/>
      </w:numPr>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0707A"/>
    <w:rPr>
      <w:rFonts w:ascii="Arial" w:hAnsi="Arial"/>
      <w:b/>
      <w:bCs/>
      <w:smallCaps/>
      <w:color w:val="002060"/>
      <w:sz w:val="22"/>
      <w:szCs w:val="22"/>
      <w:lang w:val="en-GB" w:eastAsia="sv-SE"/>
    </w:rPr>
  </w:style>
  <w:style w:type="character" w:customStyle="1" w:styleId="Titolo2Carattere">
    <w:name w:val="Titolo 2 Carattere"/>
    <w:aliases w:val="2 Carattere,(cntl 2) Carattere,(SubSection) Carattere,h2 Carattere,Para Nos Carattere,Para Carattere,Main Heading Carattere,Main Headi Carattere,Numbered - 2 Carattere,(Main Heading) Carattere,Paragraph Carattere,Sub Heading Carattere"/>
    <w:link w:val="Titolo2"/>
    <w:uiPriority w:val="99"/>
    <w:locked/>
    <w:rsid w:val="00523BE5"/>
    <w:rPr>
      <w:rFonts w:ascii="Arial" w:hAnsi="Arial" w:cs="Arial"/>
      <w:b/>
      <w:bCs/>
      <w:i/>
      <w:color w:val="002060"/>
      <w:sz w:val="22"/>
      <w:szCs w:val="22"/>
      <w:lang w:val="en-GB" w:eastAsia="sv-SE"/>
    </w:rPr>
  </w:style>
  <w:style w:type="character" w:customStyle="1" w:styleId="Titolo3Carattere">
    <w:name w:val="Titolo 3 Carattere"/>
    <w:aliases w:val="T3 Carattere,Kop 3 Carattere,Titre3 Carattere,Titre 3 Car Car Carattere"/>
    <w:link w:val="Titolo3"/>
    <w:uiPriority w:val="99"/>
    <w:locked/>
    <w:rsid w:val="00B734FA"/>
    <w:rPr>
      <w:rFonts w:cs="Times New Roman"/>
      <w:b/>
      <w:i/>
      <w:noProof/>
      <w:color w:val="365F91"/>
      <w:sz w:val="24"/>
      <w:lang w:val="en-GB" w:eastAsia="fr-BE"/>
    </w:rPr>
  </w:style>
  <w:style w:type="character" w:customStyle="1" w:styleId="Titolo4Carattere">
    <w:name w:val="Titolo 4 Carattere"/>
    <w:link w:val="Titolo4"/>
    <w:uiPriority w:val="99"/>
    <w:locked/>
    <w:rsid w:val="00730DF7"/>
    <w:rPr>
      <w:rFonts w:ascii="Arial" w:hAnsi="Arial" w:cs="Times New Roman"/>
      <w:b/>
      <w:i/>
      <w:color w:val="002060"/>
      <w:sz w:val="22"/>
      <w:lang w:val="en-GB" w:eastAsia="sv-SE"/>
    </w:rPr>
  </w:style>
  <w:style w:type="character" w:customStyle="1" w:styleId="Titolo5Carattere">
    <w:name w:val="Titolo 5 Carattere"/>
    <w:link w:val="Titolo5"/>
    <w:uiPriority w:val="99"/>
    <w:semiHidden/>
    <w:locked/>
    <w:rPr>
      <w:rFonts w:ascii="Arial" w:hAnsi="Arial" w:cs="Times New Roman"/>
      <w:b/>
      <w:bCs/>
      <w:i/>
      <w:color w:val="002060"/>
      <w:sz w:val="22"/>
      <w:szCs w:val="22"/>
      <w:lang w:val="en-GB" w:eastAsia="sv-SE" w:bidi="ar-SA"/>
    </w:rPr>
  </w:style>
  <w:style w:type="character" w:customStyle="1" w:styleId="Titolo6Carattere">
    <w:name w:val="Titolo 6 Carattere"/>
    <w:link w:val="Titolo6"/>
    <w:uiPriority w:val="99"/>
    <w:locked/>
    <w:rPr>
      <w:rFonts w:ascii="Arial" w:hAnsi="Arial"/>
      <w:i/>
      <w:szCs w:val="20"/>
      <w:lang w:val="en-GB" w:eastAsia="en-US"/>
    </w:rPr>
  </w:style>
  <w:style w:type="character" w:customStyle="1" w:styleId="Titolo7Carattere">
    <w:name w:val="Titolo 7 Carattere"/>
    <w:link w:val="Titolo7"/>
    <w:uiPriority w:val="99"/>
    <w:locked/>
    <w:rPr>
      <w:rFonts w:ascii="Arial" w:hAnsi="Arial"/>
      <w:sz w:val="20"/>
      <w:szCs w:val="20"/>
      <w:lang w:val="en-GB" w:eastAsia="en-US"/>
    </w:rPr>
  </w:style>
  <w:style w:type="character" w:customStyle="1" w:styleId="Titolo8Carattere">
    <w:name w:val="Titolo 8 Carattere"/>
    <w:link w:val="Titolo8"/>
    <w:uiPriority w:val="99"/>
    <w:locked/>
    <w:rPr>
      <w:rFonts w:ascii="Arial" w:hAnsi="Arial"/>
      <w:i/>
      <w:sz w:val="20"/>
      <w:szCs w:val="20"/>
      <w:lang w:val="en-GB" w:eastAsia="en-US"/>
    </w:rPr>
  </w:style>
  <w:style w:type="character" w:customStyle="1" w:styleId="Titolo9Carattere">
    <w:name w:val="Titolo 9 Carattere"/>
    <w:link w:val="Titolo9"/>
    <w:uiPriority w:val="99"/>
    <w:locked/>
    <w:rPr>
      <w:rFonts w:ascii="Arial" w:hAnsi="Arial"/>
      <w:i/>
      <w:sz w:val="18"/>
      <w:szCs w:val="20"/>
      <w:lang w:val="en-GB" w:eastAsia="en-US"/>
    </w:rPr>
  </w:style>
  <w:style w:type="paragraph" w:styleId="Testofumetto">
    <w:name w:val="Balloon Text"/>
    <w:basedOn w:val="Normale"/>
    <w:link w:val="TestofumettoCarattere"/>
    <w:uiPriority w:val="99"/>
    <w:semiHidden/>
    <w:rsid w:val="000E060D"/>
    <w:rPr>
      <w:rFonts w:ascii="Tahoma" w:hAnsi="Tahoma" w:cs="Tahoma"/>
      <w:sz w:val="16"/>
      <w:szCs w:val="16"/>
    </w:rPr>
  </w:style>
  <w:style w:type="character" w:customStyle="1" w:styleId="TestofumettoCarattere">
    <w:name w:val="Testo fumetto Carattere"/>
    <w:link w:val="Testofumetto"/>
    <w:uiPriority w:val="99"/>
    <w:semiHidden/>
    <w:locked/>
    <w:rPr>
      <w:rFonts w:cs="Times New Roman"/>
      <w:sz w:val="2"/>
      <w:lang w:val="en-GB" w:eastAsia="en-US"/>
    </w:rPr>
  </w:style>
  <w:style w:type="paragraph" w:customStyle="1" w:styleId="Text1">
    <w:name w:val="Text 1"/>
    <w:basedOn w:val="Normale"/>
    <w:link w:val="Text1Char"/>
    <w:uiPriority w:val="99"/>
    <w:rsid w:val="009B4998"/>
    <w:pPr>
      <w:ind w:left="482"/>
    </w:pPr>
  </w:style>
  <w:style w:type="paragraph" w:customStyle="1" w:styleId="Text2">
    <w:name w:val="Text 2"/>
    <w:basedOn w:val="Normale"/>
    <w:uiPriority w:val="99"/>
    <w:rsid w:val="009B4998"/>
    <w:pPr>
      <w:tabs>
        <w:tab w:val="left" w:pos="2160"/>
      </w:tabs>
      <w:ind w:left="1077"/>
    </w:pPr>
  </w:style>
  <w:style w:type="paragraph" w:customStyle="1" w:styleId="Text3">
    <w:name w:val="Text 3"/>
    <w:basedOn w:val="Normale"/>
    <w:uiPriority w:val="99"/>
    <w:rsid w:val="009B4998"/>
    <w:pPr>
      <w:tabs>
        <w:tab w:val="left" w:pos="2302"/>
      </w:tabs>
      <w:ind w:left="1916"/>
    </w:pPr>
  </w:style>
  <w:style w:type="paragraph" w:customStyle="1" w:styleId="Text4">
    <w:name w:val="Text 4"/>
    <w:basedOn w:val="Normale"/>
    <w:uiPriority w:val="99"/>
    <w:rsid w:val="009B4998"/>
    <w:pPr>
      <w:ind w:left="2880"/>
    </w:pPr>
  </w:style>
  <w:style w:type="paragraph" w:customStyle="1" w:styleId="Address">
    <w:name w:val="Address"/>
    <w:basedOn w:val="Normale"/>
    <w:uiPriority w:val="99"/>
    <w:rsid w:val="009B4998"/>
    <w:pPr>
      <w:spacing w:after="0"/>
      <w:jc w:val="left"/>
    </w:pPr>
  </w:style>
  <w:style w:type="paragraph" w:customStyle="1" w:styleId="AddressTL">
    <w:name w:val="AddressTL"/>
    <w:basedOn w:val="Normale"/>
    <w:next w:val="Normale"/>
    <w:uiPriority w:val="99"/>
    <w:rsid w:val="009B4998"/>
    <w:pPr>
      <w:spacing w:after="720"/>
      <w:jc w:val="left"/>
    </w:pPr>
  </w:style>
  <w:style w:type="paragraph" w:customStyle="1" w:styleId="AddressTR">
    <w:name w:val="AddressTR"/>
    <w:basedOn w:val="Normale"/>
    <w:next w:val="Normale"/>
    <w:uiPriority w:val="99"/>
    <w:rsid w:val="009B4998"/>
    <w:pPr>
      <w:spacing w:after="720"/>
      <w:ind w:left="5103"/>
      <w:jc w:val="left"/>
    </w:pPr>
  </w:style>
  <w:style w:type="paragraph" w:styleId="Testodelblocco">
    <w:name w:val="Block Text"/>
    <w:basedOn w:val="Normale"/>
    <w:uiPriority w:val="99"/>
    <w:rsid w:val="009B4998"/>
    <w:pPr>
      <w:ind w:left="1440" w:right="1440"/>
    </w:pPr>
  </w:style>
  <w:style w:type="paragraph" w:styleId="Corpotesto">
    <w:name w:val="Body Text"/>
    <w:basedOn w:val="Normale"/>
    <w:link w:val="CorpotestoCarattere"/>
    <w:uiPriority w:val="99"/>
    <w:rsid w:val="009B4998"/>
  </w:style>
  <w:style w:type="character" w:customStyle="1" w:styleId="CorpotestoCarattere">
    <w:name w:val="Corpo testo Carattere"/>
    <w:link w:val="Corpotesto"/>
    <w:uiPriority w:val="99"/>
    <w:semiHidden/>
    <w:locked/>
    <w:rPr>
      <w:rFonts w:cs="Times New Roman"/>
      <w:sz w:val="20"/>
      <w:szCs w:val="20"/>
      <w:lang w:val="en-GB" w:eastAsia="en-US"/>
    </w:rPr>
  </w:style>
  <w:style w:type="paragraph" w:styleId="Corpodeltesto2">
    <w:name w:val="Body Text 2"/>
    <w:basedOn w:val="Normale"/>
    <w:link w:val="Corpodeltesto2Carattere"/>
    <w:uiPriority w:val="99"/>
    <w:rsid w:val="009B4998"/>
    <w:pPr>
      <w:spacing w:line="480" w:lineRule="auto"/>
    </w:pPr>
  </w:style>
  <w:style w:type="character" w:customStyle="1" w:styleId="Corpodeltesto2Carattere">
    <w:name w:val="Corpo del testo 2 Carattere"/>
    <w:link w:val="Corpodeltesto2"/>
    <w:uiPriority w:val="99"/>
    <w:semiHidden/>
    <w:locked/>
    <w:rPr>
      <w:rFonts w:cs="Times New Roman"/>
      <w:sz w:val="20"/>
      <w:szCs w:val="20"/>
      <w:lang w:val="en-GB" w:eastAsia="en-US"/>
    </w:rPr>
  </w:style>
  <w:style w:type="paragraph" w:styleId="Corpodeltesto3">
    <w:name w:val="Body Text 3"/>
    <w:basedOn w:val="Normale"/>
    <w:link w:val="Corpodeltesto3Carattere"/>
    <w:uiPriority w:val="99"/>
    <w:rsid w:val="009B4998"/>
    <w:rPr>
      <w:sz w:val="16"/>
    </w:rPr>
  </w:style>
  <w:style w:type="character" w:customStyle="1" w:styleId="Corpodeltesto3Carattere">
    <w:name w:val="Corpo del testo 3 Carattere"/>
    <w:link w:val="Corpodeltesto3"/>
    <w:uiPriority w:val="99"/>
    <w:semiHidden/>
    <w:locked/>
    <w:rPr>
      <w:rFonts w:cs="Times New Roman"/>
      <w:sz w:val="16"/>
      <w:szCs w:val="16"/>
      <w:lang w:val="en-GB" w:eastAsia="en-US"/>
    </w:rPr>
  </w:style>
  <w:style w:type="paragraph" w:styleId="Primorientrocorpodeltesto">
    <w:name w:val="Body Text First Indent"/>
    <w:basedOn w:val="Corpotesto"/>
    <w:link w:val="PrimorientrocorpodeltestoCarattere"/>
    <w:uiPriority w:val="99"/>
    <w:rsid w:val="009B4998"/>
    <w:pPr>
      <w:ind w:firstLine="210"/>
    </w:pPr>
  </w:style>
  <w:style w:type="character" w:customStyle="1" w:styleId="PrimorientrocorpodeltestoCarattere">
    <w:name w:val="Primo rientro corpo del testo Carattere"/>
    <w:link w:val="Primorientrocorpodeltesto"/>
    <w:uiPriority w:val="99"/>
    <w:semiHidden/>
    <w:locked/>
    <w:rPr>
      <w:rFonts w:cs="Times New Roman"/>
      <w:sz w:val="20"/>
      <w:szCs w:val="20"/>
      <w:lang w:val="en-GB" w:eastAsia="en-US"/>
    </w:rPr>
  </w:style>
  <w:style w:type="paragraph" w:styleId="Rientrocorpodeltesto">
    <w:name w:val="Body Text Indent"/>
    <w:basedOn w:val="Normale"/>
    <w:link w:val="RientrocorpodeltestoCarattere"/>
    <w:uiPriority w:val="99"/>
    <w:rsid w:val="009B4998"/>
    <w:pPr>
      <w:ind w:left="283"/>
    </w:pPr>
  </w:style>
  <w:style w:type="character" w:customStyle="1" w:styleId="RientrocorpodeltestoCarattere">
    <w:name w:val="Rientro corpo del testo Carattere"/>
    <w:link w:val="Rientrocorpodeltesto"/>
    <w:uiPriority w:val="99"/>
    <w:semiHidden/>
    <w:locked/>
    <w:rPr>
      <w:rFonts w:cs="Times New Roman"/>
      <w:sz w:val="20"/>
      <w:szCs w:val="20"/>
      <w:lang w:val="en-GB" w:eastAsia="en-US"/>
    </w:rPr>
  </w:style>
  <w:style w:type="paragraph" w:styleId="Primorientrocorpodeltesto2">
    <w:name w:val="Body Text First Indent 2"/>
    <w:basedOn w:val="Rientrocorpodeltesto"/>
    <w:link w:val="Primorientrocorpodeltesto2Carattere"/>
    <w:uiPriority w:val="99"/>
    <w:rsid w:val="009B4998"/>
    <w:pPr>
      <w:ind w:firstLine="210"/>
    </w:pPr>
  </w:style>
  <w:style w:type="character" w:customStyle="1" w:styleId="Primorientrocorpodeltesto2Carattere">
    <w:name w:val="Primo rientro corpo del testo 2 Carattere"/>
    <w:link w:val="Primorientrocorpodeltesto2"/>
    <w:uiPriority w:val="99"/>
    <w:semiHidden/>
    <w:locked/>
    <w:rPr>
      <w:rFonts w:cs="Times New Roman"/>
      <w:sz w:val="20"/>
      <w:szCs w:val="20"/>
      <w:lang w:val="en-GB" w:eastAsia="en-US"/>
    </w:rPr>
  </w:style>
  <w:style w:type="paragraph" w:styleId="Rientrocorpodeltesto2">
    <w:name w:val="Body Text Indent 2"/>
    <w:basedOn w:val="Normale"/>
    <w:link w:val="Rientrocorpodeltesto2Carattere"/>
    <w:uiPriority w:val="99"/>
    <w:rsid w:val="009B4998"/>
    <w:pPr>
      <w:spacing w:line="480" w:lineRule="auto"/>
      <w:ind w:left="283"/>
    </w:pPr>
  </w:style>
  <w:style w:type="character" w:customStyle="1" w:styleId="Rientrocorpodeltesto2Carattere">
    <w:name w:val="Rientro corpo del testo 2 Carattere"/>
    <w:link w:val="Rientrocorpodeltesto2"/>
    <w:uiPriority w:val="99"/>
    <w:semiHidden/>
    <w:locked/>
    <w:rPr>
      <w:rFonts w:cs="Times New Roman"/>
      <w:sz w:val="20"/>
      <w:szCs w:val="20"/>
      <w:lang w:val="en-GB" w:eastAsia="en-US"/>
    </w:rPr>
  </w:style>
  <w:style w:type="paragraph" w:styleId="Rientrocorpodeltesto3">
    <w:name w:val="Body Text Indent 3"/>
    <w:basedOn w:val="Normale"/>
    <w:link w:val="Rientrocorpodeltesto3Carattere"/>
    <w:uiPriority w:val="99"/>
    <w:rsid w:val="009B4998"/>
    <w:pPr>
      <w:ind w:left="283"/>
    </w:pPr>
    <w:rPr>
      <w:sz w:val="16"/>
    </w:rPr>
  </w:style>
  <w:style w:type="character" w:customStyle="1" w:styleId="Rientrocorpodeltesto3Carattere">
    <w:name w:val="Rientro corpo del testo 3 Carattere"/>
    <w:link w:val="Rientrocorpodeltesto3"/>
    <w:uiPriority w:val="99"/>
    <w:semiHidden/>
    <w:locked/>
    <w:rPr>
      <w:rFonts w:cs="Times New Roman"/>
      <w:sz w:val="16"/>
      <w:szCs w:val="16"/>
      <w:lang w:val="en-GB" w:eastAsia="en-US"/>
    </w:rPr>
  </w:style>
  <w:style w:type="paragraph" w:styleId="Didascalia">
    <w:name w:val="caption"/>
    <w:aliases w:val="Studientitel,Legende,Car16,Car Car Car Car Car Car Car,Car Car Car Car Car,Car Car Car Car Car Car Car Car Car Car Car Car,Car3,legendes,légende,Car5"/>
    <w:basedOn w:val="Normale"/>
    <w:next w:val="Normale"/>
    <w:link w:val="DidascaliaCarattere"/>
    <w:uiPriority w:val="99"/>
    <w:qFormat/>
    <w:rsid w:val="009B4998"/>
    <w:pPr>
      <w:spacing w:before="120"/>
    </w:pPr>
    <w:rPr>
      <w:b/>
      <w:lang w:val="it-IT"/>
    </w:rPr>
  </w:style>
  <w:style w:type="paragraph" w:styleId="Formuladichiusura">
    <w:name w:val="Closing"/>
    <w:basedOn w:val="Normale"/>
    <w:next w:val="Firma"/>
    <w:link w:val="FormuladichiusuraCarattere"/>
    <w:uiPriority w:val="99"/>
    <w:rsid w:val="009B4998"/>
    <w:pPr>
      <w:tabs>
        <w:tab w:val="left" w:pos="5103"/>
      </w:tabs>
      <w:spacing w:before="240"/>
      <w:ind w:left="5103"/>
      <w:jc w:val="left"/>
    </w:pPr>
  </w:style>
  <w:style w:type="character" w:customStyle="1" w:styleId="FormuladichiusuraCarattere">
    <w:name w:val="Formula di chiusura Carattere"/>
    <w:link w:val="Formuladichiusura"/>
    <w:uiPriority w:val="99"/>
    <w:semiHidden/>
    <w:locked/>
    <w:rPr>
      <w:rFonts w:cs="Times New Roman"/>
      <w:sz w:val="20"/>
      <w:szCs w:val="20"/>
      <w:lang w:val="en-GB" w:eastAsia="en-US"/>
    </w:rPr>
  </w:style>
  <w:style w:type="paragraph" w:styleId="Firma">
    <w:name w:val="Signature"/>
    <w:basedOn w:val="Normale"/>
    <w:next w:val="Contact"/>
    <w:link w:val="FirmaCarattere"/>
    <w:uiPriority w:val="99"/>
    <w:rsid w:val="009B4998"/>
    <w:pPr>
      <w:tabs>
        <w:tab w:val="left" w:pos="5103"/>
      </w:tabs>
      <w:spacing w:before="1200" w:after="0"/>
      <w:ind w:left="5103"/>
      <w:jc w:val="center"/>
    </w:pPr>
  </w:style>
  <w:style w:type="character" w:customStyle="1" w:styleId="FirmaCarattere">
    <w:name w:val="Firma Carattere"/>
    <w:link w:val="Firma"/>
    <w:uiPriority w:val="99"/>
    <w:locked/>
    <w:rsid w:val="005911BB"/>
    <w:rPr>
      <w:rFonts w:cs="Times New Roman"/>
      <w:sz w:val="24"/>
      <w:lang w:val="en-GB" w:eastAsia="en-US"/>
    </w:rPr>
  </w:style>
  <w:style w:type="paragraph" w:customStyle="1" w:styleId="Enclosures">
    <w:name w:val="Enclosures"/>
    <w:basedOn w:val="Normale"/>
    <w:next w:val="Participants"/>
    <w:uiPriority w:val="99"/>
    <w:rsid w:val="009B4998"/>
    <w:pPr>
      <w:keepNext/>
      <w:keepLines/>
      <w:tabs>
        <w:tab w:val="left" w:pos="5670"/>
      </w:tabs>
      <w:spacing w:before="480" w:after="0"/>
      <w:ind w:left="1985" w:hanging="1985"/>
      <w:jc w:val="left"/>
    </w:pPr>
  </w:style>
  <w:style w:type="paragraph" w:customStyle="1" w:styleId="Participants">
    <w:name w:val="Participants"/>
    <w:basedOn w:val="Normale"/>
    <w:next w:val="Copies"/>
    <w:uiPriority w:val="99"/>
    <w:rsid w:val="009B4998"/>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uiPriority w:val="99"/>
    <w:rsid w:val="009B4998"/>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uiPriority w:val="99"/>
    <w:rsid w:val="009B4998"/>
    <w:rPr>
      <w:sz w:val="20"/>
      <w:lang w:val="it-IT"/>
    </w:rPr>
  </w:style>
  <w:style w:type="character" w:customStyle="1" w:styleId="TestocommentoCarattere">
    <w:name w:val="Testo commento Carattere"/>
    <w:link w:val="Testocommento"/>
    <w:uiPriority w:val="99"/>
    <w:locked/>
    <w:rsid w:val="00F77697"/>
    <w:rPr>
      <w:rFonts w:cs="Times New Roman"/>
      <w:lang w:eastAsia="en-US"/>
    </w:rPr>
  </w:style>
  <w:style w:type="paragraph" w:styleId="Data">
    <w:name w:val="Date"/>
    <w:basedOn w:val="Normale"/>
    <w:next w:val="References"/>
    <w:link w:val="DataCarattere"/>
    <w:uiPriority w:val="99"/>
    <w:rsid w:val="009B4998"/>
    <w:pPr>
      <w:spacing w:after="0"/>
      <w:ind w:left="5103" w:right="-567"/>
      <w:jc w:val="left"/>
    </w:pPr>
  </w:style>
  <w:style w:type="character" w:customStyle="1" w:styleId="DataCarattere">
    <w:name w:val="Data Carattere"/>
    <w:link w:val="Data"/>
    <w:uiPriority w:val="99"/>
    <w:semiHidden/>
    <w:locked/>
    <w:rPr>
      <w:rFonts w:cs="Times New Roman"/>
      <w:sz w:val="20"/>
      <w:szCs w:val="20"/>
      <w:lang w:val="en-GB" w:eastAsia="en-US"/>
    </w:rPr>
  </w:style>
  <w:style w:type="paragraph" w:customStyle="1" w:styleId="References">
    <w:name w:val="References"/>
    <w:basedOn w:val="Normale"/>
    <w:next w:val="AddressTR"/>
    <w:uiPriority w:val="99"/>
    <w:rsid w:val="009B4998"/>
    <w:pPr>
      <w:ind w:left="5103"/>
      <w:jc w:val="left"/>
    </w:pPr>
    <w:rPr>
      <w:sz w:val="20"/>
    </w:rPr>
  </w:style>
  <w:style w:type="paragraph" w:styleId="Mappadocumento">
    <w:name w:val="Document Map"/>
    <w:basedOn w:val="Normale"/>
    <w:link w:val="MappadocumentoCarattere"/>
    <w:uiPriority w:val="99"/>
    <w:semiHidden/>
    <w:rsid w:val="009B4998"/>
    <w:pPr>
      <w:shd w:val="clear" w:color="auto" w:fill="000080"/>
    </w:pPr>
    <w:rPr>
      <w:rFonts w:ascii="Tahoma" w:hAnsi="Tahoma"/>
    </w:rPr>
  </w:style>
  <w:style w:type="character" w:customStyle="1" w:styleId="MappadocumentoCarattere">
    <w:name w:val="Mappa documento Carattere"/>
    <w:link w:val="Mappadocumento"/>
    <w:uiPriority w:val="99"/>
    <w:semiHidden/>
    <w:locked/>
    <w:rPr>
      <w:rFonts w:cs="Times New Roman"/>
      <w:sz w:val="2"/>
      <w:lang w:val="en-GB" w:eastAsia="en-US"/>
    </w:rPr>
  </w:style>
  <w:style w:type="paragraph" w:customStyle="1" w:styleId="DoubSign">
    <w:name w:val="DoubSign"/>
    <w:basedOn w:val="Normale"/>
    <w:next w:val="Contact"/>
    <w:uiPriority w:val="99"/>
    <w:rsid w:val="009B4998"/>
    <w:pPr>
      <w:tabs>
        <w:tab w:val="left" w:pos="5103"/>
      </w:tabs>
      <w:spacing w:before="1200" w:after="0"/>
      <w:jc w:val="left"/>
    </w:pPr>
  </w:style>
  <w:style w:type="paragraph" w:styleId="Testonotadichiusura">
    <w:name w:val="endnote text"/>
    <w:basedOn w:val="Normale"/>
    <w:link w:val="TestonotadichiusuraCarattere"/>
    <w:uiPriority w:val="99"/>
    <w:semiHidden/>
    <w:rsid w:val="009B4998"/>
    <w:rPr>
      <w:sz w:val="20"/>
      <w:lang w:val="it-IT"/>
    </w:rPr>
  </w:style>
  <w:style w:type="character" w:customStyle="1" w:styleId="TestonotadichiusuraCarattere">
    <w:name w:val="Testo nota di chiusura Carattere"/>
    <w:link w:val="Testonotadichiusura"/>
    <w:uiPriority w:val="99"/>
    <w:semiHidden/>
    <w:locked/>
    <w:rsid w:val="003C4699"/>
    <w:rPr>
      <w:rFonts w:cs="Times New Roman"/>
      <w:lang w:eastAsia="en-US"/>
    </w:rPr>
  </w:style>
  <w:style w:type="paragraph" w:styleId="Indirizzodestinatario">
    <w:name w:val="envelope address"/>
    <w:basedOn w:val="Normale"/>
    <w:uiPriority w:val="99"/>
    <w:rsid w:val="009B4998"/>
    <w:pPr>
      <w:framePr w:w="7920" w:h="1980" w:hRule="exact" w:hSpace="180" w:wrap="auto" w:hAnchor="page" w:xAlign="center" w:yAlign="bottom"/>
      <w:spacing w:after="0"/>
    </w:pPr>
  </w:style>
  <w:style w:type="paragraph" w:styleId="Indirizzomittente">
    <w:name w:val="envelope return"/>
    <w:basedOn w:val="Normale"/>
    <w:uiPriority w:val="99"/>
    <w:rsid w:val="009B4998"/>
    <w:pPr>
      <w:spacing w:after="0"/>
    </w:pPr>
    <w:rPr>
      <w:sz w:val="20"/>
    </w:rPr>
  </w:style>
  <w:style w:type="paragraph" w:styleId="Pidipagina">
    <w:name w:val="footer"/>
    <w:basedOn w:val="Normale"/>
    <w:link w:val="PidipaginaCarattere"/>
    <w:uiPriority w:val="99"/>
    <w:rsid w:val="009B4998"/>
    <w:pPr>
      <w:spacing w:after="0"/>
      <w:ind w:right="-567"/>
      <w:jc w:val="left"/>
    </w:pPr>
    <w:rPr>
      <w:rFonts w:ascii="Arial" w:hAnsi="Arial"/>
      <w:sz w:val="16"/>
    </w:rPr>
  </w:style>
  <w:style w:type="character" w:customStyle="1" w:styleId="PidipaginaCarattere">
    <w:name w:val="Piè di pagina Carattere"/>
    <w:link w:val="Pidipagina"/>
    <w:uiPriority w:val="99"/>
    <w:locked/>
    <w:rsid w:val="00FC74BC"/>
    <w:rPr>
      <w:rFonts w:ascii="Arial" w:hAnsi="Arial" w:cs="Times New Roman"/>
      <w:sz w:val="16"/>
      <w:lang w:val="en-GB" w:eastAsia="en-US"/>
    </w:rPr>
  </w:style>
  <w:style w:type="paragraph" w:styleId="Testonotaapidipagina">
    <w:name w:val="footnote text"/>
    <w:aliases w:val="Footnote,Schriftart: 9 pt,Schriftart: 10 pt,Schriftart: 8 pt,WB-Fußnotentext,Footnote Text Char2,Footnote Text Char1 Char,Footnote Text Char2 Char Char,Footnote Text Char1 Char Char Char,Footnote Text Char2 Char Char Char Char"/>
    <w:basedOn w:val="Normale"/>
    <w:link w:val="TestonotaapidipaginaCarattere"/>
    <w:uiPriority w:val="99"/>
    <w:rsid w:val="004A7676"/>
    <w:pPr>
      <w:spacing w:after="60"/>
    </w:pPr>
    <w:rPr>
      <w:sz w:val="20"/>
      <w:lang w:val="it-IT"/>
    </w:rPr>
  </w:style>
  <w:style w:type="character" w:customStyle="1" w:styleId="TestonotaapidipaginaCarattere">
    <w:name w:val="Testo nota a piè di pagina Carattere"/>
    <w:aliases w:val="Footnote Carattere,Schriftart: 9 pt Carattere,Schriftart: 10 pt Carattere,Schriftart: 8 pt Carattere,WB-Fußnotentext Carattere,Footnote Text Char2 Carattere,Footnote Text Char1 Char Carattere"/>
    <w:link w:val="Testonotaapidipagina"/>
    <w:uiPriority w:val="99"/>
    <w:locked/>
    <w:rsid w:val="004A7676"/>
    <w:rPr>
      <w:rFonts w:cs="Times New Roman"/>
      <w:lang w:eastAsia="en-US"/>
    </w:rPr>
  </w:style>
  <w:style w:type="paragraph" w:styleId="Intestazione">
    <w:name w:val="header"/>
    <w:basedOn w:val="Normale"/>
    <w:link w:val="IntestazioneCarattere"/>
    <w:uiPriority w:val="99"/>
    <w:rsid w:val="009B4998"/>
    <w:pPr>
      <w:tabs>
        <w:tab w:val="center" w:pos="4153"/>
        <w:tab w:val="right" w:pos="8306"/>
      </w:tabs>
    </w:pPr>
  </w:style>
  <w:style w:type="character" w:customStyle="1" w:styleId="IntestazioneCarattere">
    <w:name w:val="Intestazione Carattere"/>
    <w:link w:val="Intestazione"/>
    <w:uiPriority w:val="99"/>
    <w:locked/>
    <w:rsid w:val="00FC74BC"/>
    <w:rPr>
      <w:rFonts w:cs="Times New Roman"/>
      <w:sz w:val="24"/>
      <w:lang w:val="en-GB" w:eastAsia="en-US"/>
    </w:rPr>
  </w:style>
  <w:style w:type="paragraph" w:styleId="Indice1">
    <w:name w:val="index 1"/>
    <w:basedOn w:val="Normale"/>
    <w:next w:val="Normale"/>
    <w:autoRedefine/>
    <w:uiPriority w:val="99"/>
    <w:semiHidden/>
    <w:rsid w:val="009B4998"/>
    <w:pPr>
      <w:ind w:left="240" w:hanging="240"/>
    </w:pPr>
  </w:style>
  <w:style w:type="paragraph" w:styleId="Indice2">
    <w:name w:val="index 2"/>
    <w:basedOn w:val="Normale"/>
    <w:next w:val="Normale"/>
    <w:autoRedefine/>
    <w:uiPriority w:val="99"/>
    <w:semiHidden/>
    <w:rsid w:val="009B4998"/>
    <w:pPr>
      <w:ind w:left="480" w:hanging="240"/>
    </w:pPr>
  </w:style>
  <w:style w:type="paragraph" w:styleId="Indice3">
    <w:name w:val="index 3"/>
    <w:basedOn w:val="Normale"/>
    <w:next w:val="Normale"/>
    <w:autoRedefine/>
    <w:uiPriority w:val="99"/>
    <w:semiHidden/>
    <w:rsid w:val="009B4998"/>
    <w:pPr>
      <w:ind w:left="720" w:hanging="240"/>
    </w:pPr>
  </w:style>
  <w:style w:type="paragraph" w:styleId="Indice4">
    <w:name w:val="index 4"/>
    <w:basedOn w:val="Normale"/>
    <w:next w:val="Normale"/>
    <w:autoRedefine/>
    <w:uiPriority w:val="99"/>
    <w:semiHidden/>
    <w:rsid w:val="009B4998"/>
    <w:pPr>
      <w:ind w:left="960" w:hanging="240"/>
    </w:pPr>
  </w:style>
  <w:style w:type="paragraph" w:styleId="Indice5">
    <w:name w:val="index 5"/>
    <w:basedOn w:val="Normale"/>
    <w:next w:val="Normale"/>
    <w:autoRedefine/>
    <w:uiPriority w:val="99"/>
    <w:semiHidden/>
    <w:rsid w:val="009B4998"/>
    <w:pPr>
      <w:ind w:left="1200" w:hanging="240"/>
    </w:pPr>
  </w:style>
  <w:style w:type="paragraph" w:styleId="Indice6">
    <w:name w:val="index 6"/>
    <w:basedOn w:val="Normale"/>
    <w:next w:val="Normale"/>
    <w:autoRedefine/>
    <w:uiPriority w:val="99"/>
    <w:semiHidden/>
    <w:rsid w:val="009B4998"/>
    <w:pPr>
      <w:ind w:left="1440" w:hanging="240"/>
    </w:pPr>
  </w:style>
  <w:style w:type="paragraph" w:styleId="Indice7">
    <w:name w:val="index 7"/>
    <w:basedOn w:val="Normale"/>
    <w:next w:val="Normale"/>
    <w:autoRedefine/>
    <w:uiPriority w:val="99"/>
    <w:semiHidden/>
    <w:rsid w:val="009B4998"/>
    <w:pPr>
      <w:ind w:left="1680" w:hanging="240"/>
    </w:pPr>
  </w:style>
  <w:style w:type="paragraph" w:styleId="Indice8">
    <w:name w:val="index 8"/>
    <w:basedOn w:val="Normale"/>
    <w:next w:val="Normale"/>
    <w:autoRedefine/>
    <w:uiPriority w:val="99"/>
    <w:semiHidden/>
    <w:rsid w:val="009B4998"/>
    <w:pPr>
      <w:ind w:left="1920" w:hanging="240"/>
    </w:pPr>
  </w:style>
  <w:style w:type="paragraph" w:styleId="Indice9">
    <w:name w:val="index 9"/>
    <w:basedOn w:val="Normale"/>
    <w:next w:val="Normale"/>
    <w:autoRedefine/>
    <w:uiPriority w:val="99"/>
    <w:semiHidden/>
    <w:rsid w:val="009B4998"/>
    <w:pPr>
      <w:ind w:left="2160" w:hanging="240"/>
    </w:pPr>
  </w:style>
  <w:style w:type="paragraph" w:styleId="Titoloindice">
    <w:name w:val="index heading"/>
    <w:basedOn w:val="Normale"/>
    <w:next w:val="Indice1"/>
    <w:uiPriority w:val="99"/>
    <w:semiHidden/>
    <w:rsid w:val="009B4998"/>
    <w:rPr>
      <w:rFonts w:ascii="Arial" w:hAnsi="Arial"/>
      <w:b/>
    </w:rPr>
  </w:style>
  <w:style w:type="paragraph" w:styleId="Elenco">
    <w:name w:val="List"/>
    <w:basedOn w:val="Normale"/>
    <w:uiPriority w:val="99"/>
    <w:rsid w:val="009B4998"/>
    <w:pPr>
      <w:ind w:left="283" w:hanging="283"/>
    </w:pPr>
  </w:style>
  <w:style w:type="paragraph" w:styleId="Elenco2">
    <w:name w:val="List 2"/>
    <w:basedOn w:val="Normale"/>
    <w:uiPriority w:val="99"/>
    <w:rsid w:val="009B4998"/>
    <w:pPr>
      <w:ind w:left="566" w:hanging="283"/>
    </w:pPr>
  </w:style>
  <w:style w:type="paragraph" w:styleId="Elenco3">
    <w:name w:val="List 3"/>
    <w:basedOn w:val="Normale"/>
    <w:uiPriority w:val="99"/>
    <w:rsid w:val="009B4998"/>
    <w:pPr>
      <w:ind w:left="849" w:hanging="283"/>
    </w:pPr>
  </w:style>
  <w:style w:type="paragraph" w:styleId="Elenco4">
    <w:name w:val="List 4"/>
    <w:basedOn w:val="Normale"/>
    <w:uiPriority w:val="99"/>
    <w:rsid w:val="009B4998"/>
    <w:pPr>
      <w:ind w:left="1132" w:hanging="283"/>
    </w:pPr>
  </w:style>
  <w:style w:type="paragraph" w:styleId="Elenco5">
    <w:name w:val="List 5"/>
    <w:basedOn w:val="Normale"/>
    <w:uiPriority w:val="99"/>
    <w:rsid w:val="009B4998"/>
    <w:pPr>
      <w:ind w:left="1415" w:hanging="283"/>
    </w:pPr>
  </w:style>
  <w:style w:type="paragraph" w:styleId="Puntoelenco">
    <w:name w:val="List Bullet"/>
    <w:basedOn w:val="Normale"/>
    <w:uiPriority w:val="99"/>
    <w:rsid w:val="009B4998"/>
    <w:pPr>
      <w:numPr>
        <w:numId w:val="14"/>
      </w:numPr>
    </w:pPr>
  </w:style>
  <w:style w:type="paragraph" w:styleId="Puntoelenco2">
    <w:name w:val="List Bullet 2"/>
    <w:basedOn w:val="Text2"/>
    <w:uiPriority w:val="99"/>
    <w:rsid w:val="009B4998"/>
    <w:pPr>
      <w:numPr>
        <w:numId w:val="15"/>
      </w:numPr>
      <w:tabs>
        <w:tab w:val="clear" w:pos="2160"/>
      </w:tabs>
    </w:pPr>
  </w:style>
  <w:style w:type="paragraph" w:styleId="Puntoelenco3">
    <w:name w:val="List Bullet 3"/>
    <w:basedOn w:val="Text3"/>
    <w:uiPriority w:val="99"/>
    <w:rsid w:val="009B4998"/>
    <w:pPr>
      <w:numPr>
        <w:numId w:val="16"/>
      </w:numPr>
      <w:tabs>
        <w:tab w:val="clear" w:pos="2302"/>
      </w:tabs>
    </w:pPr>
  </w:style>
  <w:style w:type="paragraph" w:styleId="Puntoelenco4">
    <w:name w:val="List Bullet 4"/>
    <w:basedOn w:val="Text4"/>
    <w:uiPriority w:val="99"/>
    <w:rsid w:val="009B4998"/>
    <w:pPr>
      <w:numPr>
        <w:numId w:val="17"/>
      </w:numPr>
    </w:pPr>
  </w:style>
  <w:style w:type="paragraph" w:styleId="Puntoelenco5">
    <w:name w:val="List Bullet 5"/>
    <w:basedOn w:val="Normale"/>
    <w:autoRedefine/>
    <w:uiPriority w:val="99"/>
    <w:rsid w:val="009B4998"/>
    <w:pPr>
      <w:numPr>
        <w:numId w:val="1"/>
      </w:numPr>
      <w:tabs>
        <w:tab w:val="clear" w:pos="360"/>
        <w:tab w:val="num" w:pos="1492"/>
      </w:tabs>
      <w:ind w:left="1492"/>
    </w:pPr>
  </w:style>
  <w:style w:type="paragraph" w:styleId="Elencocontinua">
    <w:name w:val="List Continue"/>
    <w:basedOn w:val="Normale"/>
    <w:uiPriority w:val="99"/>
    <w:rsid w:val="009B4998"/>
    <w:pPr>
      <w:ind w:left="283"/>
    </w:pPr>
  </w:style>
  <w:style w:type="paragraph" w:styleId="Elencocontinua2">
    <w:name w:val="List Continue 2"/>
    <w:basedOn w:val="Normale"/>
    <w:uiPriority w:val="99"/>
    <w:rsid w:val="009B4998"/>
    <w:pPr>
      <w:ind w:left="566"/>
    </w:pPr>
  </w:style>
  <w:style w:type="paragraph" w:styleId="Elencocontinua3">
    <w:name w:val="List Continue 3"/>
    <w:basedOn w:val="Normale"/>
    <w:uiPriority w:val="99"/>
    <w:rsid w:val="009B4998"/>
    <w:pPr>
      <w:ind w:left="849"/>
    </w:pPr>
  </w:style>
  <w:style w:type="paragraph" w:styleId="Elencocontinua4">
    <w:name w:val="List Continue 4"/>
    <w:basedOn w:val="Normale"/>
    <w:uiPriority w:val="99"/>
    <w:rsid w:val="009B4998"/>
    <w:pPr>
      <w:ind w:left="1132"/>
    </w:pPr>
  </w:style>
  <w:style w:type="paragraph" w:styleId="Elencocontinua5">
    <w:name w:val="List Continue 5"/>
    <w:basedOn w:val="Normale"/>
    <w:uiPriority w:val="99"/>
    <w:rsid w:val="009B4998"/>
    <w:pPr>
      <w:ind w:left="1415"/>
    </w:pPr>
  </w:style>
  <w:style w:type="paragraph" w:styleId="Numeroelenco">
    <w:name w:val="List Number"/>
    <w:basedOn w:val="Normale"/>
    <w:uiPriority w:val="99"/>
    <w:rsid w:val="009B4998"/>
    <w:pPr>
      <w:numPr>
        <w:numId w:val="23"/>
      </w:numPr>
    </w:pPr>
  </w:style>
  <w:style w:type="paragraph" w:styleId="Numeroelenco2">
    <w:name w:val="List Number 2"/>
    <w:basedOn w:val="Text2"/>
    <w:uiPriority w:val="99"/>
    <w:rsid w:val="009B4998"/>
    <w:pPr>
      <w:numPr>
        <w:numId w:val="25"/>
      </w:numPr>
      <w:tabs>
        <w:tab w:val="clear" w:pos="1786"/>
        <w:tab w:val="clear" w:pos="2160"/>
      </w:tabs>
      <w:ind w:left="720" w:hanging="360"/>
    </w:pPr>
  </w:style>
  <w:style w:type="paragraph" w:styleId="Numeroelenco3">
    <w:name w:val="List Number 3"/>
    <w:basedOn w:val="Text3"/>
    <w:uiPriority w:val="99"/>
    <w:rsid w:val="009B4998"/>
    <w:pPr>
      <w:numPr>
        <w:numId w:val="26"/>
      </w:numPr>
      <w:tabs>
        <w:tab w:val="clear" w:pos="2302"/>
      </w:tabs>
    </w:pPr>
  </w:style>
  <w:style w:type="paragraph" w:styleId="Numeroelenco4">
    <w:name w:val="List Number 4"/>
    <w:basedOn w:val="Text4"/>
    <w:uiPriority w:val="99"/>
    <w:rsid w:val="009B4998"/>
    <w:pPr>
      <w:numPr>
        <w:numId w:val="27"/>
      </w:numPr>
    </w:pPr>
  </w:style>
  <w:style w:type="paragraph" w:styleId="Numeroelenco5">
    <w:name w:val="List Number 5"/>
    <w:basedOn w:val="Normale"/>
    <w:uiPriority w:val="99"/>
    <w:rsid w:val="009B4998"/>
    <w:pPr>
      <w:numPr>
        <w:numId w:val="2"/>
      </w:numPr>
      <w:tabs>
        <w:tab w:val="clear" w:pos="643"/>
        <w:tab w:val="num" w:pos="1492"/>
      </w:tabs>
      <w:ind w:left="1492"/>
    </w:pPr>
  </w:style>
  <w:style w:type="paragraph" w:styleId="Testomacro">
    <w:name w:val="macro"/>
    <w:link w:val="TestomacroCarattere"/>
    <w:uiPriority w:val="99"/>
    <w:semiHidden/>
    <w:rsid w:val="009B49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9B49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Pr>
      <w:rFonts w:ascii="Cambria" w:hAnsi="Cambria" w:cs="Times New Roman"/>
      <w:sz w:val="24"/>
      <w:szCs w:val="24"/>
      <w:shd w:val="pct20" w:color="auto" w:fill="auto"/>
      <w:lang w:val="en-GB" w:eastAsia="en-US"/>
    </w:rPr>
  </w:style>
  <w:style w:type="paragraph" w:styleId="Rientronormale">
    <w:name w:val="Normal Indent"/>
    <w:basedOn w:val="Normale"/>
    <w:uiPriority w:val="99"/>
    <w:rsid w:val="009B4998"/>
    <w:pPr>
      <w:ind w:left="720"/>
    </w:pPr>
  </w:style>
  <w:style w:type="paragraph" w:styleId="Intestazionenota">
    <w:name w:val="Note Heading"/>
    <w:basedOn w:val="Normale"/>
    <w:next w:val="Normale"/>
    <w:link w:val="IntestazionenotaCarattere"/>
    <w:uiPriority w:val="99"/>
    <w:rsid w:val="009B4998"/>
  </w:style>
  <w:style w:type="character" w:customStyle="1" w:styleId="IntestazionenotaCarattere">
    <w:name w:val="Intestazione nota Carattere"/>
    <w:link w:val="Intestazionenota"/>
    <w:uiPriority w:val="99"/>
    <w:semiHidden/>
    <w:locked/>
    <w:rPr>
      <w:rFonts w:cs="Times New Roman"/>
      <w:sz w:val="20"/>
      <w:szCs w:val="20"/>
      <w:lang w:val="en-GB" w:eastAsia="en-US"/>
    </w:rPr>
  </w:style>
  <w:style w:type="paragraph" w:customStyle="1" w:styleId="NoteHead">
    <w:name w:val="NoteHead"/>
    <w:basedOn w:val="Normale"/>
    <w:next w:val="Subject"/>
    <w:uiPriority w:val="99"/>
    <w:rsid w:val="009B4998"/>
    <w:pPr>
      <w:spacing w:before="720" w:after="720"/>
      <w:jc w:val="center"/>
    </w:pPr>
    <w:rPr>
      <w:b/>
      <w:smallCaps/>
    </w:rPr>
  </w:style>
  <w:style w:type="paragraph" w:customStyle="1" w:styleId="Subject">
    <w:name w:val="Subject"/>
    <w:basedOn w:val="Normale"/>
    <w:next w:val="Normale"/>
    <w:uiPriority w:val="99"/>
    <w:rsid w:val="009B4998"/>
    <w:pPr>
      <w:spacing w:after="480"/>
      <w:ind w:left="1531" w:hanging="1531"/>
      <w:jc w:val="left"/>
    </w:pPr>
    <w:rPr>
      <w:b/>
    </w:rPr>
  </w:style>
  <w:style w:type="paragraph" w:customStyle="1" w:styleId="NoteList">
    <w:name w:val="NoteList"/>
    <w:basedOn w:val="Normale"/>
    <w:next w:val="Subject"/>
    <w:uiPriority w:val="99"/>
    <w:rsid w:val="009B4998"/>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9B4998"/>
    <w:pPr>
      <w:keepNext w:val="0"/>
      <w:outlineLvl w:val="9"/>
    </w:pPr>
    <w:rPr>
      <w:b w:val="0"/>
      <w:smallCaps w:val="0"/>
    </w:rPr>
  </w:style>
  <w:style w:type="paragraph" w:customStyle="1" w:styleId="NumPar2">
    <w:name w:val="NumPar 2"/>
    <w:basedOn w:val="Titolo2"/>
    <w:next w:val="Text2"/>
    <w:uiPriority w:val="99"/>
    <w:rsid w:val="009B4998"/>
    <w:pPr>
      <w:outlineLvl w:val="9"/>
    </w:pPr>
    <w:rPr>
      <w:b w:val="0"/>
    </w:rPr>
  </w:style>
  <w:style w:type="paragraph" w:customStyle="1" w:styleId="NumPar3">
    <w:name w:val="NumPar 3"/>
    <w:basedOn w:val="Titolo3"/>
    <w:next w:val="Text3"/>
    <w:uiPriority w:val="99"/>
    <w:rsid w:val="009B4998"/>
    <w:pPr>
      <w:outlineLvl w:val="9"/>
    </w:pPr>
    <w:rPr>
      <w:i w:val="0"/>
    </w:rPr>
  </w:style>
  <w:style w:type="paragraph" w:customStyle="1" w:styleId="NumPar4">
    <w:name w:val="NumPar 4"/>
    <w:basedOn w:val="Titolo4"/>
    <w:next w:val="Text4"/>
    <w:uiPriority w:val="99"/>
    <w:rsid w:val="009B4998"/>
    <w:pPr>
      <w:outlineLvl w:val="9"/>
    </w:pPr>
  </w:style>
  <w:style w:type="paragraph" w:styleId="Testonormale">
    <w:name w:val="Plain Text"/>
    <w:basedOn w:val="Normale"/>
    <w:link w:val="TestonormaleCarattere"/>
    <w:uiPriority w:val="99"/>
    <w:rsid w:val="009B4998"/>
    <w:rPr>
      <w:rFonts w:ascii="Courier New" w:hAnsi="Courier New"/>
      <w:sz w:val="20"/>
    </w:rPr>
  </w:style>
  <w:style w:type="character" w:customStyle="1" w:styleId="TestonormaleCarattere">
    <w:name w:val="Testo normale Carattere"/>
    <w:link w:val="Testonormale"/>
    <w:uiPriority w:val="99"/>
    <w:semiHidden/>
    <w:locked/>
    <w:rPr>
      <w:rFonts w:ascii="Courier New" w:hAnsi="Courier New" w:cs="Courier New"/>
      <w:sz w:val="20"/>
      <w:szCs w:val="20"/>
      <w:lang w:val="en-GB" w:eastAsia="en-US"/>
    </w:rPr>
  </w:style>
  <w:style w:type="paragraph" w:styleId="Formuladiapertura">
    <w:name w:val="Salutation"/>
    <w:basedOn w:val="Normale"/>
    <w:next w:val="Normale"/>
    <w:link w:val="FormuladiaperturaCarattere"/>
    <w:uiPriority w:val="99"/>
    <w:rsid w:val="009B4998"/>
  </w:style>
  <w:style w:type="character" w:customStyle="1" w:styleId="FormuladiaperturaCarattere">
    <w:name w:val="Formula di apertura Carattere"/>
    <w:link w:val="Formuladiapertura"/>
    <w:uiPriority w:val="99"/>
    <w:semiHidden/>
    <w:locked/>
    <w:rPr>
      <w:rFonts w:cs="Times New Roman"/>
      <w:sz w:val="20"/>
      <w:szCs w:val="20"/>
      <w:lang w:val="en-GB" w:eastAsia="en-US"/>
    </w:rPr>
  </w:style>
  <w:style w:type="paragraph" w:styleId="Sottotitolo">
    <w:name w:val="Subtitle"/>
    <w:basedOn w:val="Normale"/>
    <w:link w:val="SottotitoloCarattere"/>
    <w:uiPriority w:val="99"/>
    <w:qFormat/>
    <w:rsid w:val="009B4998"/>
    <w:pPr>
      <w:spacing w:after="60"/>
      <w:jc w:val="center"/>
      <w:outlineLvl w:val="1"/>
    </w:pPr>
    <w:rPr>
      <w:rFonts w:ascii="Arial" w:hAnsi="Arial"/>
    </w:rPr>
  </w:style>
  <w:style w:type="character" w:customStyle="1" w:styleId="SottotitoloCarattere">
    <w:name w:val="Sottotitolo Carattere"/>
    <w:link w:val="Sottotitolo"/>
    <w:uiPriority w:val="99"/>
    <w:locked/>
    <w:rPr>
      <w:rFonts w:ascii="Cambria" w:hAnsi="Cambria" w:cs="Times New Roman"/>
      <w:sz w:val="24"/>
      <w:szCs w:val="24"/>
      <w:lang w:val="en-GB" w:eastAsia="en-US"/>
    </w:rPr>
  </w:style>
  <w:style w:type="paragraph" w:styleId="Indicefonti">
    <w:name w:val="table of authorities"/>
    <w:basedOn w:val="Normale"/>
    <w:next w:val="Normale"/>
    <w:uiPriority w:val="99"/>
    <w:semiHidden/>
    <w:rsid w:val="009B4998"/>
    <w:pPr>
      <w:ind w:left="240" w:hanging="240"/>
    </w:pPr>
  </w:style>
  <w:style w:type="paragraph" w:styleId="Indicedellefigure">
    <w:name w:val="table of figures"/>
    <w:basedOn w:val="Normale"/>
    <w:next w:val="Normale"/>
    <w:uiPriority w:val="99"/>
    <w:semiHidden/>
    <w:rsid w:val="009B4998"/>
    <w:pPr>
      <w:ind w:left="480" w:hanging="480"/>
    </w:pPr>
  </w:style>
  <w:style w:type="paragraph" w:styleId="Titolo">
    <w:name w:val="Title"/>
    <w:basedOn w:val="Normale"/>
    <w:link w:val="TitoloCarattere"/>
    <w:uiPriority w:val="99"/>
    <w:qFormat/>
    <w:rsid w:val="009B4998"/>
    <w:pPr>
      <w:spacing w:before="240" w:after="60"/>
      <w:jc w:val="center"/>
      <w:outlineLvl w:val="0"/>
    </w:pPr>
    <w:rPr>
      <w:rFonts w:ascii="Arial" w:hAnsi="Arial"/>
      <w:b/>
      <w:kern w:val="28"/>
      <w:sz w:val="32"/>
    </w:rPr>
  </w:style>
  <w:style w:type="character" w:customStyle="1" w:styleId="TitoloCarattere">
    <w:name w:val="Titolo Carattere"/>
    <w:link w:val="Titolo"/>
    <w:uiPriority w:val="99"/>
    <w:locked/>
    <w:rPr>
      <w:rFonts w:ascii="Cambria" w:hAnsi="Cambria" w:cs="Times New Roman"/>
      <w:b/>
      <w:bCs/>
      <w:kern w:val="28"/>
      <w:sz w:val="32"/>
      <w:szCs w:val="32"/>
      <w:lang w:val="en-GB" w:eastAsia="en-US"/>
    </w:rPr>
  </w:style>
  <w:style w:type="paragraph" w:styleId="Titoloindicefonti">
    <w:name w:val="toa heading"/>
    <w:basedOn w:val="Normale"/>
    <w:next w:val="Normale"/>
    <w:uiPriority w:val="99"/>
    <w:semiHidden/>
    <w:rsid w:val="009B4998"/>
    <w:pPr>
      <w:spacing w:before="120"/>
    </w:pPr>
    <w:rPr>
      <w:rFonts w:ascii="Arial" w:hAnsi="Arial"/>
      <w:b/>
    </w:rPr>
  </w:style>
  <w:style w:type="paragraph" w:styleId="Sommario1">
    <w:name w:val="toc 1"/>
    <w:basedOn w:val="Normale"/>
    <w:next w:val="Normale"/>
    <w:uiPriority w:val="39"/>
    <w:qFormat/>
    <w:rsid w:val="009B4998"/>
    <w:pPr>
      <w:tabs>
        <w:tab w:val="right" w:leader="dot" w:pos="8640"/>
      </w:tabs>
      <w:spacing w:before="120"/>
      <w:ind w:left="482" w:right="720" w:hanging="482"/>
    </w:pPr>
    <w:rPr>
      <w:caps/>
    </w:rPr>
  </w:style>
  <w:style w:type="paragraph" w:styleId="Sommario2">
    <w:name w:val="toc 2"/>
    <w:basedOn w:val="Normale"/>
    <w:next w:val="Normale"/>
    <w:uiPriority w:val="39"/>
    <w:qFormat/>
    <w:rsid w:val="009B4998"/>
    <w:pPr>
      <w:tabs>
        <w:tab w:val="right" w:leader="dot" w:pos="8640"/>
      </w:tabs>
      <w:spacing w:before="60" w:after="60"/>
      <w:ind w:left="1077" w:right="720" w:hanging="595"/>
    </w:pPr>
  </w:style>
  <w:style w:type="paragraph" w:styleId="Sommario3">
    <w:name w:val="toc 3"/>
    <w:basedOn w:val="Normale"/>
    <w:next w:val="Normale"/>
    <w:uiPriority w:val="39"/>
    <w:qFormat/>
    <w:rsid w:val="009B4998"/>
    <w:pPr>
      <w:tabs>
        <w:tab w:val="right" w:leader="dot" w:pos="8640"/>
      </w:tabs>
      <w:spacing w:before="60" w:after="60"/>
      <w:ind w:left="1916" w:right="720" w:hanging="839"/>
    </w:pPr>
  </w:style>
  <w:style w:type="paragraph" w:styleId="Sommario4">
    <w:name w:val="toc 4"/>
    <w:basedOn w:val="Normale"/>
    <w:next w:val="Normale"/>
    <w:uiPriority w:val="39"/>
    <w:rsid w:val="001A01E2"/>
    <w:pPr>
      <w:tabs>
        <w:tab w:val="left" w:pos="2410"/>
        <w:tab w:val="right" w:leader="dot" w:pos="8641"/>
      </w:tabs>
      <w:spacing w:before="60" w:after="60"/>
      <w:ind w:left="2410" w:right="720" w:hanging="567"/>
    </w:pPr>
  </w:style>
  <w:style w:type="paragraph" w:styleId="Sommario5">
    <w:name w:val="toc 5"/>
    <w:basedOn w:val="Normale"/>
    <w:next w:val="Normale"/>
    <w:uiPriority w:val="39"/>
    <w:rsid w:val="00CC4444"/>
    <w:pPr>
      <w:tabs>
        <w:tab w:val="left" w:pos="482"/>
        <w:tab w:val="right" w:leader="dot" w:pos="8641"/>
      </w:tabs>
      <w:spacing w:after="60"/>
      <w:ind w:left="2268" w:right="720"/>
    </w:pPr>
  </w:style>
  <w:style w:type="paragraph" w:styleId="Sommario6">
    <w:name w:val="toc 6"/>
    <w:basedOn w:val="Normale"/>
    <w:next w:val="Normale"/>
    <w:autoRedefine/>
    <w:uiPriority w:val="39"/>
    <w:rsid w:val="009B4998"/>
    <w:pPr>
      <w:ind w:left="1200"/>
    </w:pPr>
  </w:style>
  <w:style w:type="paragraph" w:styleId="Sommario7">
    <w:name w:val="toc 7"/>
    <w:basedOn w:val="Normale"/>
    <w:next w:val="Normale"/>
    <w:autoRedefine/>
    <w:uiPriority w:val="39"/>
    <w:rsid w:val="009B4998"/>
    <w:pPr>
      <w:ind w:left="1440"/>
    </w:pPr>
  </w:style>
  <w:style w:type="paragraph" w:styleId="Sommario8">
    <w:name w:val="toc 8"/>
    <w:basedOn w:val="Normale"/>
    <w:next w:val="Normale"/>
    <w:autoRedefine/>
    <w:uiPriority w:val="39"/>
    <w:rsid w:val="009B4998"/>
    <w:pPr>
      <w:ind w:left="1680"/>
    </w:pPr>
  </w:style>
  <w:style w:type="paragraph" w:styleId="Sommario9">
    <w:name w:val="toc 9"/>
    <w:basedOn w:val="Normale"/>
    <w:next w:val="Normale"/>
    <w:autoRedefine/>
    <w:uiPriority w:val="39"/>
    <w:rsid w:val="009B4998"/>
    <w:pPr>
      <w:ind w:left="1920"/>
    </w:pPr>
  </w:style>
  <w:style w:type="paragraph" w:customStyle="1" w:styleId="YReferences">
    <w:name w:val="YReferences"/>
    <w:basedOn w:val="Normale"/>
    <w:next w:val="Normale"/>
    <w:uiPriority w:val="99"/>
    <w:rsid w:val="009B4998"/>
    <w:pPr>
      <w:spacing w:after="480"/>
      <w:ind w:left="1531" w:hanging="1531"/>
    </w:pPr>
  </w:style>
  <w:style w:type="paragraph" w:customStyle="1" w:styleId="ListBullet1">
    <w:name w:val="List Bullet 1"/>
    <w:basedOn w:val="Text1"/>
    <w:uiPriority w:val="99"/>
    <w:rsid w:val="009B4998"/>
    <w:pPr>
      <w:tabs>
        <w:tab w:val="num" w:pos="765"/>
      </w:tabs>
      <w:ind w:left="765" w:hanging="283"/>
    </w:pPr>
  </w:style>
  <w:style w:type="paragraph" w:customStyle="1" w:styleId="ListDash">
    <w:name w:val="List Dash"/>
    <w:basedOn w:val="Normale"/>
    <w:uiPriority w:val="99"/>
    <w:rsid w:val="009B4998"/>
    <w:pPr>
      <w:numPr>
        <w:numId w:val="18"/>
      </w:numPr>
    </w:pPr>
  </w:style>
  <w:style w:type="paragraph" w:customStyle="1" w:styleId="ListDash1">
    <w:name w:val="List Dash 1"/>
    <w:basedOn w:val="Text1"/>
    <w:uiPriority w:val="99"/>
    <w:rsid w:val="009B4998"/>
    <w:pPr>
      <w:numPr>
        <w:numId w:val="19"/>
      </w:numPr>
    </w:pPr>
  </w:style>
  <w:style w:type="paragraph" w:customStyle="1" w:styleId="ListDash2">
    <w:name w:val="List Dash 2"/>
    <w:basedOn w:val="Text2"/>
    <w:uiPriority w:val="99"/>
    <w:rsid w:val="009B4998"/>
    <w:pPr>
      <w:numPr>
        <w:numId w:val="20"/>
      </w:numPr>
      <w:tabs>
        <w:tab w:val="clear" w:pos="2160"/>
      </w:tabs>
    </w:pPr>
  </w:style>
  <w:style w:type="paragraph" w:customStyle="1" w:styleId="ListDash3">
    <w:name w:val="List Dash 3"/>
    <w:basedOn w:val="Text3"/>
    <w:uiPriority w:val="99"/>
    <w:rsid w:val="009B4998"/>
    <w:pPr>
      <w:numPr>
        <w:numId w:val="21"/>
      </w:numPr>
      <w:tabs>
        <w:tab w:val="clear" w:pos="2302"/>
      </w:tabs>
    </w:pPr>
  </w:style>
  <w:style w:type="paragraph" w:customStyle="1" w:styleId="ListDash4">
    <w:name w:val="List Dash 4"/>
    <w:basedOn w:val="Text4"/>
    <w:uiPriority w:val="99"/>
    <w:rsid w:val="009B4998"/>
    <w:pPr>
      <w:numPr>
        <w:numId w:val="22"/>
      </w:numPr>
    </w:pPr>
  </w:style>
  <w:style w:type="paragraph" w:customStyle="1" w:styleId="ListNumberLevel2">
    <w:name w:val="List Number (Level 2)"/>
    <w:basedOn w:val="Normale"/>
    <w:uiPriority w:val="99"/>
    <w:rsid w:val="009B4998"/>
    <w:pPr>
      <w:numPr>
        <w:ilvl w:val="1"/>
        <w:numId w:val="23"/>
      </w:numPr>
    </w:pPr>
  </w:style>
  <w:style w:type="paragraph" w:customStyle="1" w:styleId="ListNumberLevel3">
    <w:name w:val="List Number (Level 3)"/>
    <w:basedOn w:val="Normale"/>
    <w:uiPriority w:val="99"/>
    <w:rsid w:val="009B4998"/>
    <w:pPr>
      <w:numPr>
        <w:ilvl w:val="2"/>
        <w:numId w:val="23"/>
      </w:numPr>
    </w:pPr>
  </w:style>
  <w:style w:type="paragraph" w:customStyle="1" w:styleId="ListNumberLevel4">
    <w:name w:val="List Number (Level 4)"/>
    <w:basedOn w:val="Normale"/>
    <w:uiPriority w:val="99"/>
    <w:rsid w:val="009B4998"/>
    <w:pPr>
      <w:numPr>
        <w:ilvl w:val="3"/>
        <w:numId w:val="23"/>
      </w:numPr>
    </w:pPr>
  </w:style>
  <w:style w:type="paragraph" w:customStyle="1" w:styleId="ListNumber1">
    <w:name w:val="List Number 1"/>
    <w:basedOn w:val="Text1"/>
    <w:uiPriority w:val="99"/>
    <w:rsid w:val="009B4998"/>
    <w:pPr>
      <w:numPr>
        <w:numId w:val="24"/>
      </w:numPr>
    </w:pPr>
  </w:style>
  <w:style w:type="paragraph" w:customStyle="1" w:styleId="ListNumber1Level2">
    <w:name w:val="List Number 1 (Level 2)"/>
    <w:basedOn w:val="Text1"/>
    <w:uiPriority w:val="99"/>
    <w:rsid w:val="009B4998"/>
    <w:pPr>
      <w:numPr>
        <w:ilvl w:val="1"/>
        <w:numId w:val="24"/>
      </w:numPr>
    </w:pPr>
  </w:style>
  <w:style w:type="paragraph" w:customStyle="1" w:styleId="ListNumber1Level3">
    <w:name w:val="List Number 1 (Level 3)"/>
    <w:basedOn w:val="Text1"/>
    <w:uiPriority w:val="99"/>
    <w:rsid w:val="009B4998"/>
    <w:pPr>
      <w:numPr>
        <w:ilvl w:val="2"/>
        <w:numId w:val="24"/>
      </w:numPr>
    </w:pPr>
  </w:style>
  <w:style w:type="paragraph" w:customStyle="1" w:styleId="ListNumber1Level4">
    <w:name w:val="List Number 1 (Level 4)"/>
    <w:basedOn w:val="Text1"/>
    <w:uiPriority w:val="99"/>
    <w:rsid w:val="009B4998"/>
    <w:pPr>
      <w:numPr>
        <w:ilvl w:val="3"/>
        <w:numId w:val="24"/>
      </w:numPr>
    </w:pPr>
  </w:style>
  <w:style w:type="paragraph" w:customStyle="1" w:styleId="ListNumber2Level2">
    <w:name w:val="List Number 2 (Level 2)"/>
    <w:basedOn w:val="Text2"/>
    <w:uiPriority w:val="99"/>
    <w:rsid w:val="009B4998"/>
    <w:pPr>
      <w:numPr>
        <w:ilvl w:val="1"/>
        <w:numId w:val="25"/>
      </w:numPr>
      <w:tabs>
        <w:tab w:val="clear" w:pos="2160"/>
      </w:tabs>
    </w:pPr>
  </w:style>
  <w:style w:type="paragraph" w:customStyle="1" w:styleId="ListNumber2Level3">
    <w:name w:val="List Number 2 (Level 3)"/>
    <w:basedOn w:val="Text2"/>
    <w:uiPriority w:val="99"/>
    <w:rsid w:val="009B4998"/>
    <w:pPr>
      <w:numPr>
        <w:ilvl w:val="2"/>
        <w:numId w:val="25"/>
      </w:numPr>
      <w:tabs>
        <w:tab w:val="clear" w:pos="2160"/>
      </w:tabs>
    </w:pPr>
  </w:style>
  <w:style w:type="paragraph" w:customStyle="1" w:styleId="ListNumber2Level4">
    <w:name w:val="List Number 2 (Level 4)"/>
    <w:basedOn w:val="Text2"/>
    <w:uiPriority w:val="99"/>
    <w:rsid w:val="009B4998"/>
    <w:pPr>
      <w:numPr>
        <w:ilvl w:val="3"/>
        <w:numId w:val="25"/>
      </w:numPr>
      <w:tabs>
        <w:tab w:val="clear" w:pos="2160"/>
      </w:tabs>
      <w:ind w:left="3901" w:hanging="703"/>
    </w:pPr>
  </w:style>
  <w:style w:type="paragraph" w:customStyle="1" w:styleId="ListNumber3Level2">
    <w:name w:val="List Number 3 (Level 2)"/>
    <w:basedOn w:val="Text3"/>
    <w:uiPriority w:val="99"/>
    <w:rsid w:val="009B4998"/>
    <w:pPr>
      <w:numPr>
        <w:ilvl w:val="1"/>
        <w:numId w:val="26"/>
      </w:numPr>
      <w:tabs>
        <w:tab w:val="clear" w:pos="2302"/>
      </w:tabs>
    </w:pPr>
  </w:style>
  <w:style w:type="paragraph" w:customStyle="1" w:styleId="ListNumber3Level3">
    <w:name w:val="List Number 3 (Level 3)"/>
    <w:basedOn w:val="Text3"/>
    <w:uiPriority w:val="99"/>
    <w:rsid w:val="009B4998"/>
    <w:pPr>
      <w:numPr>
        <w:ilvl w:val="2"/>
        <w:numId w:val="26"/>
      </w:numPr>
      <w:tabs>
        <w:tab w:val="clear" w:pos="2302"/>
      </w:tabs>
    </w:pPr>
  </w:style>
  <w:style w:type="paragraph" w:customStyle="1" w:styleId="ListNumber3Level4">
    <w:name w:val="List Number 3 (Level 4)"/>
    <w:basedOn w:val="Text3"/>
    <w:uiPriority w:val="99"/>
    <w:rsid w:val="009B4998"/>
    <w:pPr>
      <w:numPr>
        <w:ilvl w:val="3"/>
        <w:numId w:val="26"/>
      </w:numPr>
      <w:tabs>
        <w:tab w:val="clear" w:pos="2302"/>
      </w:tabs>
    </w:pPr>
  </w:style>
  <w:style w:type="paragraph" w:customStyle="1" w:styleId="ListNumber4Level2">
    <w:name w:val="List Number 4 (Level 2)"/>
    <w:basedOn w:val="Text4"/>
    <w:uiPriority w:val="99"/>
    <w:rsid w:val="009B4998"/>
    <w:pPr>
      <w:numPr>
        <w:ilvl w:val="1"/>
        <w:numId w:val="27"/>
      </w:numPr>
    </w:pPr>
  </w:style>
  <w:style w:type="paragraph" w:customStyle="1" w:styleId="ListNumber4Level3">
    <w:name w:val="List Number 4 (Level 3)"/>
    <w:basedOn w:val="Text4"/>
    <w:uiPriority w:val="99"/>
    <w:rsid w:val="009B4998"/>
    <w:pPr>
      <w:numPr>
        <w:ilvl w:val="2"/>
        <w:numId w:val="27"/>
      </w:numPr>
    </w:pPr>
  </w:style>
  <w:style w:type="paragraph" w:customStyle="1" w:styleId="ListNumber4Level4">
    <w:name w:val="List Number 4 (Level 4)"/>
    <w:basedOn w:val="Text4"/>
    <w:uiPriority w:val="99"/>
    <w:rsid w:val="009B4998"/>
    <w:pPr>
      <w:numPr>
        <w:ilvl w:val="3"/>
        <w:numId w:val="27"/>
      </w:numPr>
    </w:pPr>
  </w:style>
  <w:style w:type="paragraph" w:styleId="Titolosommario">
    <w:name w:val="TOC Heading"/>
    <w:basedOn w:val="Normale"/>
    <w:next w:val="Normale"/>
    <w:uiPriority w:val="39"/>
    <w:qFormat/>
    <w:rsid w:val="009B4998"/>
    <w:pPr>
      <w:keepNext/>
      <w:spacing w:before="240"/>
      <w:jc w:val="center"/>
    </w:pPr>
    <w:rPr>
      <w:b/>
    </w:rPr>
  </w:style>
  <w:style w:type="paragraph" w:customStyle="1" w:styleId="Contact">
    <w:name w:val="Contact"/>
    <w:basedOn w:val="Normale"/>
    <w:next w:val="Enclosures"/>
    <w:uiPriority w:val="99"/>
    <w:rsid w:val="009B4998"/>
    <w:pPr>
      <w:spacing w:before="480" w:after="0"/>
      <w:ind w:left="567" w:hanging="567"/>
      <w:jc w:val="left"/>
    </w:pPr>
  </w:style>
  <w:style w:type="paragraph" w:customStyle="1" w:styleId="DisclaimerNotice">
    <w:name w:val="Disclaimer Notice"/>
    <w:basedOn w:val="Normale"/>
    <w:next w:val="AddressTR"/>
    <w:uiPriority w:val="99"/>
    <w:rsid w:val="009B4998"/>
    <w:pPr>
      <w:ind w:left="5103"/>
      <w:jc w:val="left"/>
    </w:pPr>
    <w:rPr>
      <w:i/>
      <w:sz w:val="20"/>
    </w:rPr>
  </w:style>
  <w:style w:type="paragraph" w:customStyle="1" w:styleId="Disclaimer">
    <w:name w:val="Disclaimer"/>
    <w:basedOn w:val="Normale"/>
    <w:uiPriority w:val="99"/>
    <w:rsid w:val="009B4998"/>
    <w:pPr>
      <w:keepLines/>
      <w:pBdr>
        <w:top w:val="single" w:sz="4" w:space="1" w:color="auto"/>
      </w:pBdr>
      <w:spacing w:before="480" w:after="0"/>
    </w:pPr>
    <w:rPr>
      <w:i/>
    </w:rPr>
  </w:style>
  <w:style w:type="character" w:styleId="Collegamentovisitato">
    <w:name w:val="FollowedHyperlink"/>
    <w:uiPriority w:val="99"/>
    <w:rsid w:val="009B4998"/>
    <w:rPr>
      <w:rFonts w:cs="Times New Roman"/>
      <w:color w:val="800080"/>
      <w:u w:val="single"/>
    </w:rPr>
  </w:style>
  <w:style w:type="paragraph" w:customStyle="1" w:styleId="DisclaimerSJ">
    <w:name w:val="Disclaimer_SJ"/>
    <w:basedOn w:val="Normale"/>
    <w:next w:val="Normale"/>
    <w:uiPriority w:val="99"/>
    <w:rsid w:val="009B4998"/>
    <w:pPr>
      <w:spacing w:after="0"/>
    </w:pPr>
    <w:rPr>
      <w:rFonts w:ascii="Arial" w:hAnsi="Arial"/>
      <w:b/>
      <w:sz w:val="16"/>
    </w:rPr>
  </w:style>
  <w:style w:type="paragraph" w:styleId="NormaleWeb">
    <w:name w:val="Normal (Web)"/>
    <w:basedOn w:val="Normale"/>
    <w:uiPriority w:val="99"/>
    <w:rsid w:val="0066496A"/>
    <w:pPr>
      <w:suppressAutoHyphens/>
      <w:spacing w:before="100" w:after="100"/>
      <w:jc w:val="left"/>
    </w:pPr>
    <w:rPr>
      <w:szCs w:val="24"/>
      <w:lang w:eastAsia="ar-SA"/>
    </w:rPr>
  </w:style>
  <w:style w:type="paragraph" w:customStyle="1" w:styleId="Point1letter">
    <w:name w:val="Point 1 (letter)"/>
    <w:basedOn w:val="Normale"/>
    <w:uiPriority w:val="99"/>
    <w:rsid w:val="0066496A"/>
    <w:pPr>
      <w:numPr>
        <w:ilvl w:val="3"/>
        <w:numId w:val="13"/>
      </w:numPr>
      <w:tabs>
        <w:tab w:val="num" w:pos="1417"/>
      </w:tabs>
      <w:spacing w:before="120"/>
      <w:ind w:left="1417" w:hanging="567"/>
    </w:pPr>
    <w:rPr>
      <w:szCs w:val="24"/>
    </w:rPr>
  </w:style>
  <w:style w:type="character" w:customStyle="1" w:styleId="Text1Char">
    <w:name w:val="Text 1 Char"/>
    <w:link w:val="Text1"/>
    <w:uiPriority w:val="99"/>
    <w:locked/>
    <w:rsid w:val="0066496A"/>
    <w:rPr>
      <w:sz w:val="24"/>
      <w:lang w:val="en-GB" w:eastAsia="en-US"/>
    </w:rPr>
  </w:style>
  <w:style w:type="table" w:styleId="Grigliatabella">
    <w:name w:val="Table Grid"/>
    <w:basedOn w:val="Tabellanormale"/>
    <w:uiPriority w:val="99"/>
    <w:rsid w:val="0066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e"/>
    <w:next w:val="Text1"/>
    <w:link w:val="ManualNumPar1Char"/>
    <w:uiPriority w:val="99"/>
    <w:rsid w:val="00531288"/>
    <w:pPr>
      <w:spacing w:before="120"/>
      <w:ind w:left="850" w:hanging="850"/>
    </w:pPr>
    <w:rPr>
      <w:noProof/>
    </w:rPr>
  </w:style>
  <w:style w:type="character" w:customStyle="1" w:styleId="ManualNumPar1Char">
    <w:name w:val="Manual NumPar 1 Char"/>
    <w:link w:val="ManualNumPar1"/>
    <w:uiPriority w:val="99"/>
    <w:locked/>
    <w:rsid w:val="00531288"/>
    <w:rPr>
      <w:noProof/>
      <w:sz w:val="24"/>
      <w:lang w:val="en-GB" w:eastAsia="en-US"/>
    </w:rPr>
  </w:style>
  <w:style w:type="character" w:styleId="Numeropagina">
    <w:name w:val="page number"/>
    <w:uiPriority w:val="99"/>
    <w:rsid w:val="00371FD4"/>
    <w:rPr>
      <w:rFonts w:cs="Times New Roman"/>
    </w:rPr>
  </w:style>
  <w:style w:type="paragraph" w:customStyle="1" w:styleId="Point0number">
    <w:name w:val="Point 0 (number)"/>
    <w:basedOn w:val="Normale"/>
    <w:uiPriority w:val="99"/>
    <w:rsid w:val="00EB6657"/>
    <w:pPr>
      <w:tabs>
        <w:tab w:val="num" w:pos="765"/>
      </w:tabs>
      <w:spacing w:before="120"/>
      <w:ind w:left="765" w:hanging="283"/>
    </w:pPr>
    <w:rPr>
      <w:szCs w:val="24"/>
    </w:rPr>
  </w:style>
  <w:style w:type="paragraph" w:customStyle="1" w:styleId="Point1number">
    <w:name w:val="Point 1 (number)"/>
    <w:basedOn w:val="Normale"/>
    <w:uiPriority w:val="99"/>
    <w:rsid w:val="000F7A65"/>
    <w:pPr>
      <w:tabs>
        <w:tab w:val="num" w:pos="765"/>
      </w:tabs>
      <w:spacing w:before="120"/>
      <w:ind w:left="765" w:hanging="283"/>
    </w:pPr>
    <w:rPr>
      <w:szCs w:val="24"/>
    </w:rPr>
  </w:style>
  <w:style w:type="paragraph" w:customStyle="1" w:styleId="Point2number">
    <w:name w:val="Point 2 (number)"/>
    <w:basedOn w:val="Normale"/>
    <w:uiPriority w:val="99"/>
    <w:rsid w:val="00523D60"/>
    <w:pPr>
      <w:tabs>
        <w:tab w:val="num" w:pos="1984"/>
      </w:tabs>
      <w:spacing w:before="120"/>
      <w:ind w:left="1984" w:hanging="567"/>
    </w:pPr>
    <w:rPr>
      <w:szCs w:val="24"/>
    </w:rPr>
  </w:style>
  <w:style w:type="paragraph" w:customStyle="1" w:styleId="Point3number">
    <w:name w:val="Point 3 (number)"/>
    <w:basedOn w:val="Normale"/>
    <w:uiPriority w:val="99"/>
    <w:rsid w:val="00523D60"/>
    <w:pPr>
      <w:tabs>
        <w:tab w:val="num" w:pos="2551"/>
      </w:tabs>
      <w:spacing w:before="120"/>
      <w:ind w:left="2551" w:hanging="567"/>
    </w:pPr>
    <w:rPr>
      <w:szCs w:val="24"/>
    </w:rPr>
  </w:style>
  <w:style w:type="paragraph" w:customStyle="1" w:styleId="Point0letter">
    <w:name w:val="Point 0 (letter)"/>
    <w:basedOn w:val="Normale"/>
    <w:uiPriority w:val="99"/>
    <w:rsid w:val="000F7A65"/>
    <w:pPr>
      <w:tabs>
        <w:tab w:val="num" w:pos="765"/>
      </w:tabs>
      <w:spacing w:before="120"/>
      <w:ind w:left="765" w:hanging="283"/>
    </w:pPr>
    <w:rPr>
      <w:szCs w:val="24"/>
    </w:rPr>
  </w:style>
  <w:style w:type="paragraph" w:customStyle="1" w:styleId="Point2letter">
    <w:name w:val="Point 2 (letter)"/>
    <w:basedOn w:val="Normale"/>
    <w:uiPriority w:val="99"/>
    <w:rsid w:val="00523D60"/>
    <w:pPr>
      <w:tabs>
        <w:tab w:val="num" w:pos="1984"/>
      </w:tabs>
      <w:spacing w:before="120"/>
      <w:ind w:left="1984" w:hanging="567"/>
    </w:pPr>
    <w:rPr>
      <w:szCs w:val="24"/>
    </w:rPr>
  </w:style>
  <w:style w:type="paragraph" w:customStyle="1" w:styleId="Point3letter">
    <w:name w:val="Point 3 (letter)"/>
    <w:basedOn w:val="Normale"/>
    <w:uiPriority w:val="99"/>
    <w:rsid w:val="00523D60"/>
    <w:pPr>
      <w:tabs>
        <w:tab w:val="num" w:pos="2551"/>
      </w:tabs>
      <w:spacing w:before="120"/>
      <w:ind w:left="2551" w:hanging="567"/>
    </w:pPr>
    <w:rPr>
      <w:szCs w:val="24"/>
    </w:rPr>
  </w:style>
  <w:style w:type="paragraph" w:customStyle="1" w:styleId="Point4letter">
    <w:name w:val="Point 4 (letter)"/>
    <w:basedOn w:val="Normale"/>
    <w:uiPriority w:val="99"/>
    <w:rsid w:val="00523D60"/>
    <w:pPr>
      <w:tabs>
        <w:tab w:val="num" w:pos="3118"/>
      </w:tabs>
      <w:spacing w:before="120"/>
      <w:ind w:left="3118" w:hanging="567"/>
    </w:pPr>
    <w:rPr>
      <w:szCs w:val="24"/>
    </w:rPr>
  </w:style>
  <w:style w:type="character" w:styleId="Rimandonotaapidipagina">
    <w:name w:val="footnote reference"/>
    <w:aliases w:val="Footnote call,Footnote Reference Superscript,Footnote Refernece,BVI fnr,Fußnotenzeichen_Raxen,callout,Footnote Reference Number,SUPERS,Footnote symbol,Footnote reference number,Times 10 Point,Exposant 3 Point,ftref"/>
    <w:uiPriority w:val="99"/>
    <w:rsid w:val="00ED1312"/>
    <w:rPr>
      <w:rFonts w:cs="Times New Roman"/>
      <w:vertAlign w:val="superscript"/>
    </w:rPr>
  </w:style>
  <w:style w:type="paragraph" w:customStyle="1" w:styleId="Point2">
    <w:name w:val="Point 2"/>
    <w:basedOn w:val="Normale"/>
    <w:uiPriority w:val="99"/>
    <w:rsid w:val="00810320"/>
    <w:pPr>
      <w:spacing w:before="120"/>
      <w:ind w:left="1984" w:hanging="567"/>
    </w:pPr>
    <w:rPr>
      <w:szCs w:val="24"/>
    </w:rPr>
  </w:style>
  <w:style w:type="paragraph" w:customStyle="1" w:styleId="StyleHeading3BoldNotItalic">
    <w:name w:val="Style Heading 3 + Bold Not Italic"/>
    <w:basedOn w:val="Titolo3"/>
    <w:autoRedefine/>
    <w:uiPriority w:val="99"/>
    <w:rsid w:val="00DE6593"/>
    <w:rPr>
      <w:rFonts w:ascii="Times New Roman Bold" w:hAnsi="Times New Roman Bold"/>
      <w:b w:val="0"/>
      <w:bCs/>
    </w:rPr>
  </w:style>
  <w:style w:type="character" w:styleId="Rimandocommento">
    <w:name w:val="annotation reference"/>
    <w:uiPriority w:val="99"/>
    <w:rsid w:val="00A15D5E"/>
    <w:rPr>
      <w:rFonts w:cs="Times New Roman"/>
      <w:sz w:val="16"/>
    </w:rPr>
  </w:style>
  <w:style w:type="paragraph" w:styleId="Soggettocommento">
    <w:name w:val="annotation subject"/>
    <w:basedOn w:val="Testocommento"/>
    <w:next w:val="Testocommento"/>
    <w:link w:val="SoggettocommentoCarattere"/>
    <w:uiPriority w:val="99"/>
    <w:semiHidden/>
    <w:rsid w:val="00A15D5E"/>
    <w:rPr>
      <w:b/>
      <w:bCs/>
    </w:rPr>
  </w:style>
  <w:style w:type="character" w:customStyle="1" w:styleId="SoggettocommentoCarattere">
    <w:name w:val="Soggetto commento Carattere"/>
    <w:link w:val="Soggettocommento"/>
    <w:uiPriority w:val="99"/>
    <w:semiHidden/>
    <w:locked/>
    <w:rPr>
      <w:rFonts w:cs="Times New Roman"/>
      <w:b/>
      <w:bCs/>
      <w:sz w:val="20"/>
      <w:szCs w:val="20"/>
      <w:lang w:val="en-GB" w:eastAsia="en-US"/>
    </w:rPr>
  </w:style>
  <w:style w:type="paragraph" w:customStyle="1" w:styleId="Annextitle">
    <w:name w:val="Annex title"/>
    <w:basedOn w:val="Normale"/>
    <w:autoRedefine/>
    <w:uiPriority w:val="99"/>
    <w:rsid w:val="002444EF"/>
    <w:pPr>
      <w:spacing w:before="120"/>
      <w:jc w:val="left"/>
    </w:pPr>
    <w:rPr>
      <w:rFonts w:ascii="Times New Roman Bold" w:hAnsi="Times New Roman Bold"/>
      <w:iCs/>
      <w:smallCaps/>
      <w:szCs w:val="24"/>
      <w:lang w:eastAsia="en-GB"/>
    </w:rPr>
  </w:style>
  <w:style w:type="paragraph" w:styleId="Revisione">
    <w:name w:val="Revision"/>
    <w:hidden/>
    <w:uiPriority w:val="99"/>
    <w:semiHidden/>
    <w:rsid w:val="005C16BB"/>
    <w:rPr>
      <w:sz w:val="24"/>
      <w:lang w:val="en-GB" w:eastAsia="en-US"/>
    </w:rPr>
  </w:style>
  <w:style w:type="character" w:styleId="Rimandonotadichiusura">
    <w:name w:val="endnote reference"/>
    <w:uiPriority w:val="99"/>
    <w:rsid w:val="00A97AF6"/>
    <w:rPr>
      <w:rFonts w:cs="Times New Roman"/>
      <w:vertAlign w:val="superscript"/>
    </w:rPr>
  </w:style>
  <w:style w:type="paragraph" w:styleId="Paragrafoelenco">
    <w:name w:val="List Paragraph"/>
    <w:basedOn w:val="Normale"/>
    <w:link w:val="ParagrafoelencoCarattere"/>
    <w:uiPriority w:val="99"/>
    <w:qFormat/>
    <w:rsid w:val="006A44B2"/>
    <w:pPr>
      <w:ind w:left="720"/>
    </w:pPr>
    <w:rPr>
      <w:lang w:val="it-IT"/>
    </w:rPr>
  </w:style>
  <w:style w:type="paragraph" w:customStyle="1" w:styleId="StyleHeading1Hanging085cm">
    <w:name w:val="Style Heading 1 + Hanging:  0.85 cm"/>
    <w:basedOn w:val="Titolo1"/>
    <w:autoRedefine/>
    <w:uiPriority w:val="99"/>
    <w:rsid w:val="00F67717"/>
    <w:pPr>
      <w:numPr>
        <w:numId w:val="31"/>
      </w:numPr>
      <w:tabs>
        <w:tab w:val="clear" w:pos="1134"/>
      </w:tabs>
      <w:ind w:left="1560" w:hanging="1560"/>
    </w:pPr>
    <w:rPr>
      <w:bCs w:val="0"/>
    </w:rPr>
  </w:style>
  <w:style w:type="paragraph" w:customStyle="1" w:styleId="StyleHeading1Left0cm">
    <w:name w:val="Style Heading 1 + Left:  0 cm"/>
    <w:basedOn w:val="Titolo1"/>
    <w:autoRedefine/>
    <w:uiPriority w:val="99"/>
    <w:rsid w:val="00DE6593"/>
    <w:pPr>
      <w:numPr>
        <w:numId w:val="28"/>
      </w:numPr>
    </w:pPr>
    <w:rPr>
      <w:rFonts w:ascii="Times New Roman Bold" w:hAnsi="Times New Roman Bold"/>
      <w:bCs w:val="0"/>
    </w:rPr>
  </w:style>
  <w:style w:type="character" w:styleId="Collegamentoipertestuale">
    <w:name w:val="Hyperlink"/>
    <w:uiPriority w:val="99"/>
    <w:rsid w:val="001F4FEF"/>
    <w:rPr>
      <w:rFonts w:cs="Times New Roman"/>
      <w:noProof/>
      <w:color w:val="0000FF"/>
      <w:u w:val="single"/>
    </w:rPr>
  </w:style>
  <w:style w:type="paragraph" w:customStyle="1" w:styleId="Default">
    <w:name w:val="Default"/>
    <w:uiPriority w:val="99"/>
    <w:rsid w:val="00FD2D78"/>
    <w:pPr>
      <w:autoSpaceDE w:val="0"/>
      <w:autoSpaceDN w:val="0"/>
      <w:adjustRightInd w:val="0"/>
    </w:pPr>
    <w:rPr>
      <w:rFonts w:ascii="Arial" w:hAnsi="Arial" w:cs="Arial"/>
      <w:color w:val="000000"/>
      <w:sz w:val="24"/>
      <w:szCs w:val="24"/>
      <w:lang w:val="en-GB" w:eastAsia="sv-SE"/>
    </w:rPr>
  </w:style>
  <w:style w:type="character" w:styleId="Enfasigrassetto">
    <w:name w:val="Strong"/>
    <w:qFormat/>
    <w:rsid w:val="00A94B42"/>
    <w:rPr>
      <w:rFonts w:cs="Times New Roman"/>
      <w:b/>
    </w:rPr>
  </w:style>
  <w:style w:type="paragraph" w:customStyle="1" w:styleId="Paragraphedeliste1">
    <w:name w:val="Paragraphe de liste1"/>
    <w:basedOn w:val="Normale"/>
    <w:uiPriority w:val="99"/>
    <w:rsid w:val="007D333F"/>
    <w:pPr>
      <w:spacing w:before="120" w:line="276" w:lineRule="auto"/>
      <w:ind w:left="720"/>
    </w:pPr>
    <w:rPr>
      <w:rFonts w:ascii="Arial" w:hAnsi="Arial"/>
      <w:sz w:val="20"/>
      <w:szCs w:val="22"/>
      <w:lang w:val="fr-FR"/>
    </w:rPr>
  </w:style>
  <w:style w:type="paragraph" w:customStyle="1" w:styleId="bodytext">
    <w:name w:val="bodytext"/>
    <w:basedOn w:val="Normale"/>
    <w:uiPriority w:val="99"/>
    <w:rsid w:val="003C7ACE"/>
    <w:pPr>
      <w:spacing w:before="100" w:beforeAutospacing="1" w:after="100" w:afterAutospacing="1"/>
      <w:jc w:val="left"/>
    </w:pPr>
    <w:rPr>
      <w:szCs w:val="24"/>
      <w:lang w:eastAsia="en-GB"/>
    </w:rPr>
  </w:style>
  <w:style w:type="paragraph" w:customStyle="1" w:styleId="TableListBullet">
    <w:name w:val="Table List Bullet"/>
    <w:basedOn w:val="Corpotesto"/>
    <w:uiPriority w:val="99"/>
    <w:rsid w:val="00FA7F20"/>
    <w:pPr>
      <w:numPr>
        <w:numId w:val="36"/>
      </w:numPr>
      <w:spacing w:after="60"/>
      <w:jc w:val="left"/>
    </w:pPr>
    <w:rPr>
      <w:rFonts w:ascii="Georgia" w:hAnsi="Georgia"/>
      <w:sz w:val="16"/>
      <w:szCs w:val="24"/>
      <w:lang w:val="fr-FR"/>
    </w:rPr>
  </w:style>
  <w:style w:type="character" w:customStyle="1" w:styleId="DidascaliaCarattere">
    <w:name w:val="Didascalia Carattere"/>
    <w:aliases w:val="Studientitel Carattere,Legende Carattere,Car16 Carattere,Car Car Car Car Car Car Car Carattere,Car Car Car Car Car Carattere,Car Car Car Car Car Car Car Car Car Car Car Car Carattere,Car3 Carattere,legendes Carattere,Car5 Carattere"/>
    <w:link w:val="Didascalia"/>
    <w:uiPriority w:val="99"/>
    <w:locked/>
    <w:rsid w:val="0093619D"/>
    <w:rPr>
      <w:b/>
      <w:sz w:val="24"/>
      <w:lang w:eastAsia="en-US"/>
    </w:rPr>
  </w:style>
  <w:style w:type="character" w:customStyle="1" w:styleId="ParagrafoelencoCarattere">
    <w:name w:val="Paragrafo elenco Carattere"/>
    <w:link w:val="Paragrafoelenco"/>
    <w:uiPriority w:val="99"/>
    <w:locked/>
    <w:rsid w:val="0093619D"/>
    <w:rPr>
      <w:sz w:val="24"/>
      <w:lang w:eastAsia="en-US"/>
    </w:rPr>
  </w:style>
  <w:style w:type="paragraph" w:customStyle="1" w:styleId="maufzhlung">
    <w:name w:val="m_aufzählung"/>
    <w:uiPriority w:val="99"/>
    <w:rsid w:val="00030EC6"/>
    <w:pPr>
      <w:tabs>
        <w:tab w:val="left" w:pos="709"/>
      </w:tabs>
      <w:spacing w:before="60" w:line="360" w:lineRule="auto"/>
      <w:ind w:left="720" w:hanging="360"/>
      <w:jc w:val="both"/>
    </w:pPr>
    <w:rPr>
      <w:rFonts w:ascii="Arial" w:hAnsi="Arial"/>
      <w:lang w:val="en-GB" w:eastAsia="de-DE"/>
    </w:rPr>
  </w:style>
  <w:style w:type="paragraph" w:customStyle="1" w:styleId="maufzhlung2">
    <w:name w:val="m_aufzählung2"/>
    <w:basedOn w:val="maufzhlung"/>
    <w:next w:val="Normale"/>
    <w:uiPriority w:val="99"/>
    <w:rsid w:val="00030EC6"/>
    <w:pPr>
      <w:numPr>
        <w:ilvl w:val="1"/>
      </w:numPr>
      <w:spacing w:after="140"/>
      <w:ind w:left="1440" w:hanging="576"/>
    </w:pPr>
  </w:style>
  <w:style w:type="paragraph" w:customStyle="1" w:styleId="mStandard">
    <w:name w:val="m_Standard"/>
    <w:link w:val="mStandardZchn"/>
    <w:uiPriority w:val="99"/>
    <w:rsid w:val="00CE2F40"/>
    <w:pPr>
      <w:spacing w:before="60" w:after="140" w:line="360" w:lineRule="auto"/>
      <w:jc w:val="both"/>
    </w:pPr>
    <w:rPr>
      <w:rFonts w:ascii="Arial" w:hAnsi="Arial"/>
      <w:sz w:val="22"/>
      <w:szCs w:val="22"/>
      <w:lang w:eastAsia="de-AT"/>
    </w:rPr>
  </w:style>
  <w:style w:type="character" w:customStyle="1" w:styleId="mStandardZchn">
    <w:name w:val="m_Standard Zchn"/>
    <w:link w:val="mStandard"/>
    <w:uiPriority w:val="99"/>
    <w:locked/>
    <w:rsid w:val="00CE2F40"/>
    <w:rPr>
      <w:rFonts w:ascii="Arial" w:hAnsi="Arial"/>
      <w:sz w:val="22"/>
      <w:lang w:eastAsia="de-AT"/>
    </w:rPr>
  </w:style>
  <w:style w:type="character" w:customStyle="1" w:styleId="Titre2Car">
    <w:name w:val="Titre 2 Car"/>
    <w:uiPriority w:val="99"/>
    <w:rsid w:val="000B3890"/>
    <w:rPr>
      <w:rFonts w:eastAsia="Times New Roman"/>
      <w:b/>
      <w:sz w:val="24"/>
    </w:rPr>
  </w:style>
  <w:style w:type="paragraph" w:customStyle="1" w:styleId="Aufzhlung">
    <w:name w:val="Aufzählung"/>
    <w:basedOn w:val="Puntoelenco"/>
    <w:uiPriority w:val="99"/>
    <w:rsid w:val="00710FFC"/>
    <w:pPr>
      <w:numPr>
        <w:numId w:val="0"/>
      </w:numPr>
      <w:spacing w:after="240" w:line="280" w:lineRule="atLeast"/>
      <w:contextualSpacing/>
    </w:pPr>
    <w:rPr>
      <w:rFonts w:ascii="Arial" w:hAnsi="Arial"/>
      <w:sz w:val="20"/>
      <w:lang w:eastAsia="de-DE"/>
    </w:rPr>
  </w:style>
  <w:style w:type="paragraph" w:customStyle="1" w:styleId="Paragrafoelenco1">
    <w:name w:val="Paragrafo elenco1"/>
    <w:basedOn w:val="Normale"/>
    <w:link w:val="ListParagraphChar"/>
    <w:uiPriority w:val="99"/>
    <w:rsid w:val="00AB0F79"/>
    <w:pPr>
      <w:ind w:left="720"/>
    </w:pPr>
    <w:rPr>
      <w:sz w:val="20"/>
      <w:lang w:val="it-IT" w:eastAsia="it-IT"/>
    </w:rPr>
  </w:style>
  <w:style w:type="character" w:customStyle="1" w:styleId="ListParagraphChar">
    <w:name w:val="List Paragraph Char"/>
    <w:link w:val="Paragrafoelenco1"/>
    <w:uiPriority w:val="99"/>
    <w:locked/>
    <w:rsid w:val="00AB0F79"/>
    <w:rPr>
      <w:rFonts w:eastAsia="Times New Roman"/>
      <w:lang w:val="it-IT" w:eastAsia="it-IT"/>
    </w:rPr>
  </w:style>
  <w:style w:type="paragraph" w:customStyle="1" w:styleId="Tiret3">
    <w:name w:val="Tiret 3"/>
    <w:basedOn w:val="Normale"/>
    <w:uiPriority w:val="99"/>
    <w:rsid w:val="00243A23"/>
    <w:pPr>
      <w:numPr>
        <w:numId w:val="45"/>
      </w:numPr>
      <w:spacing w:before="120"/>
    </w:pPr>
    <w:rPr>
      <w:lang w:eastAsia="en-GB"/>
    </w:rPr>
  </w:style>
  <w:style w:type="paragraph" w:customStyle="1" w:styleId="Bullet0">
    <w:name w:val="Bullet 0"/>
    <w:basedOn w:val="Normale"/>
    <w:uiPriority w:val="99"/>
    <w:rsid w:val="00037A37"/>
    <w:pPr>
      <w:numPr>
        <w:numId w:val="46"/>
      </w:numPr>
      <w:spacing w:before="120"/>
    </w:pPr>
    <w:rPr>
      <w:lang w:eastAsia="en-GB"/>
    </w:rPr>
  </w:style>
  <w:style w:type="character" w:styleId="Enfasicorsivo">
    <w:name w:val="Emphasis"/>
    <w:uiPriority w:val="99"/>
    <w:qFormat/>
    <w:rsid w:val="007B7978"/>
    <w:rPr>
      <w:rFonts w:cs="Times New Roman"/>
      <w:i/>
    </w:rPr>
  </w:style>
  <w:style w:type="paragraph" w:customStyle="1" w:styleId="Tabelle">
    <w:name w:val="Tabelle"/>
    <w:basedOn w:val="Normale"/>
    <w:uiPriority w:val="99"/>
    <w:rsid w:val="007B7978"/>
    <w:pPr>
      <w:spacing w:before="40" w:after="40"/>
      <w:jc w:val="left"/>
    </w:pPr>
    <w:rPr>
      <w:rFonts w:ascii="Arial Narrow" w:hAnsi="Arial Narrow" w:cs="Arial"/>
      <w:sz w:val="18"/>
      <w:lang w:eastAsia="de-DE"/>
    </w:rPr>
  </w:style>
  <w:style w:type="paragraph" w:customStyle="1" w:styleId="CM1">
    <w:name w:val="CM1"/>
    <w:basedOn w:val="Default"/>
    <w:next w:val="Default"/>
    <w:uiPriority w:val="99"/>
    <w:rsid w:val="00E3049D"/>
    <w:rPr>
      <w:rFonts w:ascii="Helvetica Linotype" w:hAnsi="Helvetica Linotype" w:cs="Times New Roman"/>
      <w:color w:val="auto"/>
      <w:lang w:eastAsia="en-GB"/>
    </w:rPr>
  </w:style>
  <w:style w:type="paragraph" w:customStyle="1" w:styleId="CM3">
    <w:name w:val="CM3"/>
    <w:basedOn w:val="Default"/>
    <w:next w:val="Default"/>
    <w:uiPriority w:val="99"/>
    <w:rsid w:val="00E3049D"/>
    <w:rPr>
      <w:rFonts w:ascii="Helvetica Linotype" w:hAnsi="Helvetica Linotype" w:cs="Times New Roman"/>
      <w:color w:val="auto"/>
      <w:lang w:eastAsia="en-GB"/>
    </w:rPr>
  </w:style>
  <w:style w:type="paragraph" w:customStyle="1" w:styleId="Prrafodelista1">
    <w:name w:val="Párrafo de lista1"/>
    <w:basedOn w:val="Normale"/>
    <w:uiPriority w:val="99"/>
    <w:rsid w:val="00A36D19"/>
    <w:pPr>
      <w:spacing w:after="0" w:line="300" w:lineRule="exact"/>
      <w:ind w:left="720"/>
      <w:contextualSpacing/>
    </w:pPr>
    <w:rPr>
      <w:rFonts w:ascii="Arial" w:hAnsi="Arial"/>
      <w:sz w:val="22"/>
      <w:szCs w:val="22"/>
      <w:lang w:val="el-GR" w:eastAsia="el-GR"/>
    </w:rPr>
  </w:style>
  <w:style w:type="paragraph" w:customStyle="1" w:styleId="tablelinks">
    <w:name w:val="table_links"/>
    <w:uiPriority w:val="99"/>
    <w:rsid w:val="004A1A99"/>
    <w:pPr>
      <w:suppressAutoHyphens/>
      <w:spacing w:before="40" w:after="40" w:line="276" w:lineRule="auto"/>
      <w:jc w:val="both"/>
    </w:pPr>
    <w:rPr>
      <w:rFonts w:ascii="Arial" w:hAnsi="Arial" w:cs="Arial"/>
      <w:color w:val="808080"/>
      <w:sz w:val="18"/>
      <w:lang w:val="en-GB" w:eastAsia="de-DE"/>
    </w:rPr>
  </w:style>
  <w:style w:type="paragraph" w:customStyle="1" w:styleId="tablezentriertfett">
    <w:name w:val="table_zentriert_fett"/>
    <w:basedOn w:val="Normale"/>
    <w:uiPriority w:val="99"/>
    <w:rsid w:val="00E3730F"/>
    <w:pPr>
      <w:suppressAutoHyphens/>
      <w:spacing w:before="40" w:after="40"/>
      <w:jc w:val="center"/>
    </w:pPr>
    <w:rPr>
      <w:rFonts w:ascii="Arial" w:hAnsi="Arial"/>
      <w:b/>
      <w:color w:val="808080"/>
      <w:sz w:val="18"/>
      <w:lang w:val="de-AT" w:eastAsia="de-DE"/>
    </w:rPr>
  </w:style>
  <w:style w:type="character" w:customStyle="1" w:styleId="st1">
    <w:name w:val="st1"/>
    <w:uiPriority w:val="99"/>
    <w:rsid w:val="00652BED"/>
  </w:style>
  <w:style w:type="character" w:customStyle="1" w:styleId="apple-converted-space">
    <w:name w:val="apple-converted-space"/>
    <w:uiPriority w:val="99"/>
    <w:rsid w:val="00E4736A"/>
  </w:style>
  <w:style w:type="table" w:styleId="Sfondomedio1-Colore5">
    <w:name w:val="Medium Shading 1 Accent 5"/>
    <w:basedOn w:val="Tabellanormale"/>
    <w:uiPriority w:val="99"/>
    <w:rsid w:val="00997A9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Sfondomedio2-Colore5">
    <w:name w:val="Medium Shading 2 Accent 5"/>
    <w:basedOn w:val="Tabellanormale"/>
    <w:uiPriority w:val="99"/>
    <w:rsid w:val="00997A9A"/>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media3-Colore5">
    <w:name w:val="Medium Grid 3 Accent 5"/>
    <w:basedOn w:val="Tabellanormale"/>
    <w:uiPriority w:val="99"/>
    <w:rsid w:val="00997A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staclara-nfasis11">
    <w:name w:val="Lista clara - Énfasis 11"/>
    <w:uiPriority w:val="99"/>
    <w:rsid w:val="00E10A1E"/>
    <w:rPr>
      <w:rFonts w:ascii="Calibri" w:hAnsi="Calibri"/>
      <w:lang w:val="de-AT"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CitazioneHTML">
    <w:name w:val="HTML Cite"/>
    <w:uiPriority w:val="99"/>
    <w:semiHidden/>
    <w:rsid w:val="00DB0A13"/>
    <w:rPr>
      <w:rFonts w:cs="Times New Roman"/>
      <w:i/>
    </w:rPr>
  </w:style>
  <w:style w:type="character" w:customStyle="1" w:styleId="f1">
    <w:name w:val="f1"/>
    <w:uiPriority w:val="99"/>
    <w:rsid w:val="00DB0A13"/>
    <w:rPr>
      <w:color w:val="666666"/>
    </w:rPr>
  </w:style>
  <w:style w:type="paragraph" w:customStyle="1" w:styleId="Normal1">
    <w:name w:val="Normal1"/>
    <w:basedOn w:val="Normale"/>
    <w:uiPriority w:val="99"/>
    <w:rsid w:val="00D41DB0"/>
    <w:pPr>
      <w:spacing w:before="100" w:beforeAutospacing="1" w:after="100" w:afterAutospacing="1"/>
      <w:jc w:val="left"/>
    </w:pPr>
    <w:rPr>
      <w:szCs w:val="24"/>
      <w:lang w:val="es-ES" w:eastAsia="es-ES"/>
    </w:rPr>
  </w:style>
  <w:style w:type="paragraph" w:customStyle="1" w:styleId="CM4">
    <w:name w:val="CM4"/>
    <w:basedOn w:val="Default"/>
    <w:next w:val="Default"/>
    <w:uiPriority w:val="99"/>
    <w:rsid w:val="0020057D"/>
    <w:rPr>
      <w:rFonts w:ascii="EUAlbertina" w:hAnsi="EUAlbertina" w:cs="Times New Roman"/>
      <w:color w:val="auto"/>
      <w:lang w:val="it-IT" w:eastAsia="it-IT"/>
    </w:rPr>
  </w:style>
  <w:style w:type="paragraph" w:customStyle="1" w:styleId="Contenutotabella">
    <w:name w:val="Contenuto tabella"/>
    <w:basedOn w:val="Normale"/>
    <w:rsid w:val="006D2D5E"/>
    <w:pPr>
      <w:widowControl w:val="0"/>
      <w:suppressLineNumbers/>
      <w:suppressAutoHyphens/>
      <w:spacing w:after="0"/>
      <w:jc w:val="left"/>
    </w:pPr>
    <w:rPr>
      <w:rFonts w:eastAsia="Arial Unicode MS" w:cs="Mangal"/>
      <w:kern w:val="1"/>
      <w:szCs w:val="24"/>
      <w:lang w:eastAsia="hi-IN" w:bidi="hi-IN"/>
    </w:rPr>
  </w:style>
</w:styles>
</file>

<file path=word/webSettings.xml><?xml version="1.0" encoding="utf-8"?>
<w:webSettings xmlns:r="http://schemas.openxmlformats.org/officeDocument/2006/relationships" xmlns:w="http://schemas.openxmlformats.org/wordprocessingml/2006/main">
  <w:divs>
    <w:div w:id="37631279">
      <w:bodyDiv w:val="1"/>
      <w:marLeft w:val="0"/>
      <w:marRight w:val="0"/>
      <w:marTop w:val="0"/>
      <w:marBottom w:val="0"/>
      <w:divBdr>
        <w:top w:val="none" w:sz="0" w:space="0" w:color="auto"/>
        <w:left w:val="none" w:sz="0" w:space="0" w:color="auto"/>
        <w:bottom w:val="none" w:sz="0" w:space="0" w:color="auto"/>
        <w:right w:val="none" w:sz="0" w:space="0" w:color="auto"/>
      </w:divBdr>
    </w:div>
    <w:div w:id="63844273">
      <w:bodyDiv w:val="1"/>
      <w:marLeft w:val="0"/>
      <w:marRight w:val="0"/>
      <w:marTop w:val="0"/>
      <w:marBottom w:val="0"/>
      <w:divBdr>
        <w:top w:val="none" w:sz="0" w:space="0" w:color="auto"/>
        <w:left w:val="none" w:sz="0" w:space="0" w:color="auto"/>
        <w:bottom w:val="none" w:sz="0" w:space="0" w:color="auto"/>
        <w:right w:val="none" w:sz="0" w:space="0" w:color="auto"/>
      </w:divBdr>
    </w:div>
    <w:div w:id="147094747">
      <w:bodyDiv w:val="1"/>
      <w:marLeft w:val="0"/>
      <w:marRight w:val="0"/>
      <w:marTop w:val="0"/>
      <w:marBottom w:val="0"/>
      <w:divBdr>
        <w:top w:val="none" w:sz="0" w:space="0" w:color="auto"/>
        <w:left w:val="none" w:sz="0" w:space="0" w:color="auto"/>
        <w:bottom w:val="none" w:sz="0" w:space="0" w:color="auto"/>
        <w:right w:val="none" w:sz="0" w:space="0" w:color="auto"/>
      </w:divBdr>
    </w:div>
    <w:div w:id="182986779">
      <w:bodyDiv w:val="1"/>
      <w:marLeft w:val="0"/>
      <w:marRight w:val="0"/>
      <w:marTop w:val="0"/>
      <w:marBottom w:val="0"/>
      <w:divBdr>
        <w:top w:val="none" w:sz="0" w:space="0" w:color="auto"/>
        <w:left w:val="none" w:sz="0" w:space="0" w:color="auto"/>
        <w:bottom w:val="none" w:sz="0" w:space="0" w:color="auto"/>
        <w:right w:val="none" w:sz="0" w:space="0" w:color="auto"/>
      </w:divBdr>
    </w:div>
    <w:div w:id="225604742">
      <w:bodyDiv w:val="1"/>
      <w:marLeft w:val="0"/>
      <w:marRight w:val="0"/>
      <w:marTop w:val="0"/>
      <w:marBottom w:val="0"/>
      <w:divBdr>
        <w:top w:val="none" w:sz="0" w:space="0" w:color="auto"/>
        <w:left w:val="none" w:sz="0" w:space="0" w:color="auto"/>
        <w:bottom w:val="none" w:sz="0" w:space="0" w:color="auto"/>
        <w:right w:val="none" w:sz="0" w:space="0" w:color="auto"/>
      </w:divBdr>
    </w:div>
    <w:div w:id="234626962">
      <w:bodyDiv w:val="1"/>
      <w:marLeft w:val="0"/>
      <w:marRight w:val="0"/>
      <w:marTop w:val="0"/>
      <w:marBottom w:val="0"/>
      <w:divBdr>
        <w:top w:val="none" w:sz="0" w:space="0" w:color="auto"/>
        <w:left w:val="none" w:sz="0" w:space="0" w:color="auto"/>
        <w:bottom w:val="none" w:sz="0" w:space="0" w:color="auto"/>
        <w:right w:val="none" w:sz="0" w:space="0" w:color="auto"/>
      </w:divBdr>
    </w:div>
    <w:div w:id="286740700">
      <w:bodyDiv w:val="1"/>
      <w:marLeft w:val="0"/>
      <w:marRight w:val="0"/>
      <w:marTop w:val="0"/>
      <w:marBottom w:val="0"/>
      <w:divBdr>
        <w:top w:val="none" w:sz="0" w:space="0" w:color="auto"/>
        <w:left w:val="none" w:sz="0" w:space="0" w:color="auto"/>
        <w:bottom w:val="none" w:sz="0" w:space="0" w:color="auto"/>
        <w:right w:val="none" w:sz="0" w:space="0" w:color="auto"/>
      </w:divBdr>
    </w:div>
    <w:div w:id="414405125">
      <w:bodyDiv w:val="1"/>
      <w:marLeft w:val="0"/>
      <w:marRight w:val="0"/>
      <w:marTop w:val="0"/>
      <w:marBottom w:val="0"/>
      <w:divBdr>
        <w:top w:val="none" w:sz="0" w:space="0" w:color="auto"/>
        <w:left w:val="none" w:sz="0" w:space="0" w:color="auto"/>
        <w:bottom w:val="none" w:sz="0" w:space="0" w:color="auto"/>
        <w:right w:val="none" w:sz="0" w:space="0" w:color="auto"/>
      </w:divBdr>
    </w:div>
    <w:div w:id="450823648">
      <w:bodyDiv w:val="1"/>
      <w:marLeft w:val="0"/>
      <w:marRight w:val="0"/>
      <w:marTop w:val="0"/>
      <w:marBottom w:val="0"/>
      <w:divBdr>
        <w:top w:val="none" w:sz="0" w:space="0" w:color="auto"/>
        <w:left w:val="none" w:sz="0" w:space="0" w:color="auto"/>
        <w:bottom w:val="none" w:sz="0" w:space="0" w:color="auto"/>
        <w:right w:val="none" w:sz="0" w:space="0" w:color="auto"/>
      </w:divBdr>
    </w:div>
    <w:div w:id="581765061">
      <w:bodyDiv w:val="1"/>
      <w:marLeft w:val="0"/>
      <w:marRight w:val="0"/>
      <w:marTop w:val="0"/>
      <w:marBottom w:val="0"/>
      <w:divBdr>
        <w:top w:val="none" w:sz="0" w:space="0" w:color="auto"/>
        <w:left w:val="none" w:sz="0" w:space="0" w:color="auto"/>
        <w:bottom w:val="none" w:sz="0" w:space="0" w:color="auto"/>
        <w:right w:val="none" w:sz="0" w:space="0" w:color="auto"/>
      </w:divBdr>
    </w:div>
    <w:div w:id="680741856">
      <w:bodyDiv w:val="1"/>
      <w:marLeft w:val="0"/>
      <w:marRight w:val="0"/>
      <w:marTop w:val="0"/>
      <w:marBottom w:val="0"/>
      <w:divBdr>
        <w:top w:val="none" w:sz="0" w:space="0" w:color="auto"/>
        <w:left w:val="none" w:sz="0" w:space="0" w:color="auto"/>
        <w:bottom w:val="none" w:sz="0" w:space="0" w:color="auto"/>
        <w:right w:val="none" w:sz="0" w:space="0" w:color="auto"/>
      </w:divBdr>
    </w:div>
    <w:div w:id="742991016">
      <w:bodyDiv w:val="1"/>
      <w:marLeft w:val="0"/>
      <w:marRight w:val="0"/>
      <w:marTop w:val="0"/>
      <w:marBottom w:val="0"/>
      <w:divBdr>
        <w:top w:val="none" w:sz="0" w:space="0" w:color="auto"/>
        <w:left w:val="none" w:sz="0" w:space="0" w:color="auto"/>
        <w:bottom w:val="none" w:sz="0" w:space="0" w:color="auto"/>
        <w:right w:val="none" w:sz="0" w:space="0" w:color="auto"/>
      </w:divBdr>
    </w:div>
    <w:div w:id="774832698">
      <w:bodyDiv w:val="1"/>
      <w:marLeft w:val="0"/>
      <w:marRight w:val="0"/>
      <w:marTop w:val="0"/>
      <w:marBottom w:val="0"/>
      <w:divBdr>
        <w:top w:val="none" w:sz="0" w:space="0" w:color="auto"/>
        <w:left w:val="none" w:sz="0" w:space="0" w:color="auto"/>
        <w:bottom w:val="none" w:sz="0" w:space="0" w:color="auto"/>
        <w:right w:val="none" w:sz="0" w:space="0" w:color="auto"/>
      </w:divBdr>
    </w:div>
    <w:div w:id="900209304">
      <w:bodyDiv w:val="1"/>
      <w:marLeft w:val="0"/>
      <w:marRight w:val="0"/>
      <w:marTop w:val="0"/>
      <w:marBottom w:val="0"/>
      <w:divBdr>
        <w:top w:val="none" w:sz="0" w:space="0" w:color="auto"/>
        <w:left w:val="none" w:sz="0" w:space="0" w:color="auto"/>
        <w:bottom w:val="none" w:sz="0" w:space="0" w:color="auto"/>
        <w:right w:val="none" w:sz="0" w:space="0" w:color="auto"/>
      </w:divBdr>
    </w:div>
    <w:div w:id="1020425250">
      <w:bodyDiv w:val="1"/>
      <w:marLeft w:val="0"/>
      <w:marRight w:val="0"/>
      <w:marTop w:val="0"/>
      <w:marBottom w:val="0"/>
      <w:divBdr>
        <w:top w:val="none" w:sz="0" w:space="0" w:color="auto"/>
        <w:left w:val="none" w:sz="0" w:space="0" w:color="auto"/>
        <w:bottom w:val="none" w:sz="0" w:space="0" w:color="auto"/>
        <w:right w:val="none" w:sz="0" w:space="0" w:color="auto"/>
      </w:divBdr>
    </w:div>
    <w:div w:id="1041394813">
      <w:bodyDiv w:val="1"/>
      <w:marLeft w:val="0"/>
      <w:marRight w:val="0"/>
      <w:marTop w:val="0"/>
      <w:marBottom w:val="0"/>
      <w:divBdr>
        <w:top w:val="none" w:sz="0" w:space="0" w:color="auto"/>
        <w:left w:val="none" w:sz="0" w:space="0" w:color="auto"/>
        <w:bottom w:val="none" w:sz="0" w:space="0" w:color="auto"/>
        <w:right w:val="none" w:sz="0" w:space="0" w:color="auto"/>
      </w:divBdr>
    </w:div>
    <w:div w:id="1041636391">
      <w:bodyDiv w:val="1"/>
      <w:marLeft w:val="0"/>
      <w:marRight w:val="0"/>
      <w:marTop w:val="0"/>
      <w:marBottom w:val="0"/>
      <w:divBdr>
        <w:top w:val="none" w:sz="0" w:space="0" w:color="auto"/>
        <w:left w:val="none" w:sz="0" w:space="0" w:color="auto"/>
        <w:bottom w:val="none" w:sz="0" w:space="0" w:color="auto"/>
        <w:right w:val="none" w:sz="0" w:space="0" w:color="auto"/>
      </w:divBdr>
    </w:div>
    <w:div w:id="1059521517">
      <w:bodyDiv w:val="1"/>
      <w:marLeft w:val="0"/>
      <w:marRight w:val="0"/>
      <w:marTop w:val="0"/>
      <w:marBottom w:val="0"/>
      <w:divBdr>
        <w:top w:val="none" w:sz="0" w:space="0" w:color="auto"/>
        <w:left w:val="none" w:sz="0" w:space="0" w:color="auto"/>
        <w:bottom w:val="none" w:sz="0" w:space="0" w:color="auto"/>
        <w:right w:val="none" w:sz="0" w:space="0" w:color="auto"/>
      </w:divBdr>
    </w:div>
    <w:div w:id="1168716513">
      <w:bodyDiv w:val="1"/>
      <w:marLeft w:val="0"/>
      <w:marRight w:val="0"/>
      <w:marTop w:val="0"/>
      <w:marBottom w:val="0"/>
      <w:divBdr>
        <w:top w:val="none" w:sz="0" w:space="0" w:color="auto"/>
        <w:left w:val="none" w:sz="0" w:space="0" w:color="auto"/>
        <w:bottom w:val="none" w:sz="0" w:space="0" w:color="auto"/>
        <w:right w:val="none" w:sz="0" w:space="0" w:color="auto"/>
      </w:divBdr>
    </w:div>
    <w:div w:id="1238398408">
      <w:bodyDiv w:val="1"/>
      <w:marLeft w:val="0"/>
      <w:marRight w:val="0"/>
      <w:marTop w:val="0"/>
      <w:marBottom w:val="0"/>
      <w:divBdr>
        <w:top w:val="none" w:sz="0" w:space="0" w:color="auto"/>
        <w:left w:val="none" w:sz="0" w:space="0" w:color="auto"/>
        <w:bottom w:val="none" w:sz="0" w:space="0" w:color="auto"/>
        <w:right w:val="none" w:sz="0" w:space="0" w:color="auto"/>
      </w:divBdr>
    </w:div>
    <w:div w:id="1245989012">
      <w:bodyDiv w:val="1"/>
      <w:marLeft w:val="0"/>
      <w:marRight w:val="0"/>
      <w:marTop w:val="0"/>
      <w:marBottom w:val="0"/>
      <w:divBdr>
        <w:top w:val="none" w:sz="0" w:space="0" w:color="auto"/>
        <w:left w:val="none" w:sz="0" w:space="0" w:color="auto"/>
        <w:bottom w:val="none" w:sz="0" w:space="0" w:color="auto"/>
        <w:right w:val="none" w:sz="0" w:space="0" w:color="auto"/>
      </w:divBdr>
    </w:div>
    <w:div w:id="1288927550">
      <w:marLeft w:val="0"/>
      <w:marRight w:val="0"/>
      <w:marTop w:val="0"/>
      <w:marBottom w:val="0"/>
      <w:divBdr>
        <w:top w:val="none" w:sz="0" w:space="0" w:color="auto"/>
        <w:left w:val="none" w:sz="0" w:space="0" w:color="auto"/>
        <w:bottom w:val="none" w:sz="0" w:space="0" w:color="auto"/>
        <w:right w:val="none" w:sz="0" w:space="0" w:color="auto"/>
      </w:divBdr>
    </w:div>
    <w:div w:id="1288927551">
      <w:marLeft w:val="0"/>
      <w:marRight w:val="0"/>
      <w:marTop w:val="0"/>
      <w:marBottom w:val="0"/>
      <w:divBdr>
        <w:top w:val="none" w:sz="0" w:space="0" w:color="auto"/>
        <w:left w:val="none" w:sz="0" w:space="0" w:color="auto"/>
        <w:bottom w:val="none" w:sz="0" w:space="0" w:color="auto"/>
        <w:right w:val="none" w:sz="0" w:space="0" w:color="auto"/>
      </w:divBdr>
    </w:div>
    <w:div w:id="1288927553">
      <w:marLeft w:val="0"/>
      <w:marRight w:val="0"/>
      <w:marTop w:val="0"/>
      <w:marBottom w:val="0"/>
      <w:divBdr>
        <w:top w:val="none" w:sz="0" w:space="0" w:color="auto"/>
        <w:left w:val="none" w:sz="0" w:space="0" w:color="auto"/>
        <w:bottom w:val="none" w:sz="0" w:space="0" w:color="auto"/>
        <w:right w:val="none" w:sz="0" w:space="0" w:color="auto"/>
      </w:divBdr>
      <w:divsChild>
        <w:div w:id="1288927566">
          <w:marLeft w:val="0"/>
          <w:marRight w:val="0"/>
          <w:marTop w:val="0"/>
          <w:marBottom w:val="0"/>
          <w:divBdr>
            <w:top w:val="none" w:sz="0" w:space="0" w:color="auto"/>
            <w:left w:val="none" w:sz="0" w:space="0" w:color="auto"/>
            <w:bottom w:val="none" w:sz="0" w:space="0" w:color="auto"/>
            <w:right w:val="none" w:sz="0" w:space="0" w:color="auto"/>
          </w:divBdr>
          <w:divsChild>
            <w:div w:id="1288927788">
              <w:marLeft w:val="0"/>
              <w:marRight w:val="0"/>
              <w:marTop w:val="0"/>
              <w:marBottom w:val="0"/>
              <w:divBdr>
                <w:top w:val="none" w:sz="0" w:space="0" w:color="auto"/>
                <w:left w:val="none" w:sz="0" w:space="0" w:color="auto"/>
                <w:bottom w:val="none" w:sz="0" w:space="0" w:color="auto"/>
                <w:right w:val="none" w:sz="0" w:space="0" w:color="auto"/>
              </w:divBdr>
              <w:divsChild>
                <w:div w:id="1288927743">
                  <w:marLeft w:val="0"/>
                  <w:marRight w:val="0"/>
                  <w:marTop w:val="0"/>
                  <w:marBottom w:val="0"/>
                  <w:divBdr>
                    <w:top w:val="none" w:sz="0" w:space="0" w:color="auto"/>
                    <w:left w:val="none" w:sz="0" w:space="0" w:color="auto"/>
                    <w:bottom w:val="none" w:sz="0" w:space="0" w:color="auto"/>
                    <w:right w:val="none" w:sz="0" w:space="0" w:color="auto"/>
                  </w:divBdr>
                  <w:divsChild>
                    <w:div w:id="1288927893">
                      <w:marLeft w:val="0"/>
                      <w:marRight w:val="0"/>
                      <w:marTop w:val="0"/>
                      <w:marBottom w:val="0"/>
                      <w:divBdr>
                        <w:top w:val="none" w:sz="0" w:space="0" w:color="auto"/>
                        <w:left w:val="none" w:sz="0" w:space="0" w:color="auto"/>
                        <w:bottom w:val="none" w:sz="0" w:space="0" w:color="auto"/>
                        <w:right w:val="none" w:sz="0" w:space="0" w:color="auto"/>
                      </w:divBdr>
                      <w:divsChild>
                        <w:div w:id="1288927660">
                          <w:marLeft w:val="0"/>
                          <w:marRight w:val="0"/>
                          <w:marTop w:val="45"/>
                          <w:marBottom w:val="0"/>
                          <w:divBdr>
                            <w:top w:val="none" w:sz="0" w:space="0" w:color="auto"/>
                            <w:left w:val="none" w:sz="0" w:space="0" w:color="auto"/>
                            <w:bottom w:val="none" w:sz="0" w:space="0" w:color="auto"/>
                            <w:right w:val="none" w:sz="0" w:space="0" w:color="auto"/>
                          </w:divBdr>
                          <w:divsChild>
                            <w:div w:id="1288927621">
                              <w:marLeft w:val="0"/>
                              <w:marRight w:val="0"/>
                              <w:marTop w:val="0"/>
                              <w:marBottom w:val="0"/>
                              <w:divBdr>
                                <w:top w:val="none" w:sz="0" w:space="0" w:color="auto"/>
                                <w:left w:val="none" w:sz="0" w:space="0" w:color="auto"/>
                                <w:bottom w:val="none" w:sz="0" w:space="0" w:color="auto"/>
                                <w:right w:val="none" w:sz="0" w:space="0" w:color="auto"/>
                              </w:divBdr>
                              <w:divsChild>
                                <w:div w:id="1288927792">
                                  <w:marLeft w:val="2070"/>
                                  <w:marRight w:val="3810"/>
                                  <w:marTop w:val="0"/>
                                  <w:marBottom w:val="0"/>
                                  <w:divBdr>
                                    <w:top w:val="none" w:sz="0" w:space="0" w:color="auto"/>
                                    <w:left w:val="none" w:sz="0" w:space="0" w:color="auto"/>
                                    <w:bottom w:val="none" w:sz="0" w:space="0" w:color="auto"/>
                                    <w:right w:val="none" w:sz="0" w:space="0" w:color="auto"/>
                                  </w:divBdr>
                                  <w:divsChild>
                                    <w:div w:id="1288927755">
                                      <w:marLeft w:val="0"/>
                                      <w:marRight w:val="0"/>
                                      <w:marTop w:val="0"/>
                                      <w:marBottom w:val="0"/>
                                      <w:divBdr>
                                        <w:top w:val="none" w:sz="0" w:space="0" w:color="auto"/>
                                        <w:left w:val="none" w:sz="0" w:space="0" w:color="auto"/>
                                        <w:bottom w:val="none" w:sz="0" w:space="0" w:color="auto"/>
                                        <w:right w:val="none" w:sz="0" w:space="0" w:color="auto"/>
                                      </w:divBdr>
                                      <w:divsChild>
                                        <w:div w:id="1288927932">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0"/>
                                              <w:marRight w:val="0"/>
                                              <w:marTop w:val="0"/>
                                              <w:marBottom w:val="0"/>
                                              <w:divBdr>
                                                <w:top w:val="none" w:sz="0" w:space="0" w:color="auto"/>
                                                <w:left w:val="none" w:sz="0" w:space="0" w:color="auto"/>
                                                <w:bottom w:val="none" w:sz="0" w:space="0" w:color="auto"/>
                                                <w:right w:val="none" w:sz="0" w:space="0" w:color="auto"/>
                                              </w:divBdr>
                                              <w:divsChild>
                                                <w:div w:id="1288927943">
                                                  <w:marLeft w:val="0"/>
                                                  <w:marRight w:val="0"/>
                                                  <w:marTop w:val="0"/>
                                                  <w:marBottom w:val="0"/>
                                                  <w:divBdr>
                                                    <w:top w:val="none" w:sz="0" w:space="0" w:color="auto"/>
                                                    <w:left w:val="none" w:sz="0" w:space="0" w:color="auto"/>
                                                    <w:bottom w:val="none" w:sz="0" w:space="0" w:color="auto"/>
                                                    <w:right w:val="none" w:sz="0" w:space="0" w:color="auto"/>
                                                  </w:divBdr>
                                                  <w:divsChild>
                                                    <w:div w:id="1288927706">
                                                      <w:marLeft w:val="0"/>
                                                      <w:marRight w:val="0"/>
                                                      <w:marTop w:val="0"/>
                                                      <w:marBottom w:val="0"/>
                                                      <w:divBdr>
                                                        <w:top w:val="none" w:sz="0" w:space="0" w:color="auto"/>
                                                        <w:left w:val="none" w:sz="0" w:space="0" w:color="auto"/>
                                                        <w:bottom w:val="none" w:sz="0" w:space="0" w:color="auto"/>
                                                        <w:right w:val="none" w:sz="0" w:space="0" w:color="auto"/>
                                                      </w:divBdr>
                                                      <w:divsChild>
                                                        <w:div w:id="1288927686">
                                                          <w:marLeft w:val="0"/>
                                                          <w:marRight w:val="0"/>
                                                          <w:marTop w:val="0"/>
                                                          <w:marBottom w:val="0"/>
                                                          <w:divBdr>
                                                            <w:top w:val="none" w:sz="0" w:space="0" w:color="auto"/>
                                                            <w:left w:val="none" w:sz="0" w:space="0" w:color="auto"/>
                                                            <w:bottom w:val="none" w:sz="0" w:space="0" w:color="auto"/>
                                                            <w:right w:val="none" w:sz="0" w:space="0" w:color="auto"/>
                                                          </w:divBdr>
                                                          <w:divsChild>
                                                            <w:div w:id="1288927588">
                                                              <w:marLeft w:val="0"/>
                                                              <w:marRight w:val="0"/>
                                                              <w:marTop w:val="0"/>
                                                              <w:marBottom w:val="0"/>
                                                              <w:divBdr>
                                                                <w:top w:val="none" w:sz="0" w:space="0" w:color="auto"/>
                                                                <w:left w:val="none" w:sz="0" w:space="0" w:color="auto"/>
                                                                <w:bottom w:val="none" w:sz="0" w:space="0" w:color="auto"/>
                                                                <w:right w:val="none" w:sz="0" w:space="0" w:color="auto"/>
                                                              </w:divBdr>
                                                              <w:divsChild>
                                                                <w:div w:id="1288927876">
                                                                  <w:marLeft w:val="0"/>
                                                                  <w:marRight w:val="0"/>
                                                                  <w:marTop w:val="0"/>
                                                                  <w:marBottom w:val="0"/>
                                                                  <w:divBdr>
                                                                    <w:top w:val="none" w:sz="0" w:space="0" w:color="auto"/>
                                                                    <w:left w:val="none" w:sz="0" w:space="0" w:color="auto"/>
                                                                    <w:bottom w:val="none" w:sz="0" w:space="0" w:color="auto"/>
                                                                    <w:right w:val="none" w:sz="0" w:space="0" w:color="auto"/>
                                                                  </w:divBdr>
                                                                  <w:divsChild>
                                                                    <w:div w:id="1288927568">
                                                                      <w:marLeft w:val="0"/>
                                                                      <w:marRight w:val="0"/>
                                                                      <w:marTop w:val="0"/>
                                                                      <w:marBottom w:val="0"/>
                                                                      <w:divBdr>
                                                                        <w:top w:val="none" w:sz="0" w:space="0" w:color="auto"/>
                                                                        <w:left w:val="none" w:sz="0" w:space="0" w:color="auto"/>
                                                                        <w:bottom w:val="none" w:sz="0" w:space="0" w:color="auto"/>
                                                                        <w:right w:val="none" w:sz="0" w:space="0" w:color="auto"/>
                                                                      </w:divBdr>
                                                                      <w:divsChild>
                                                                        <w:div w:id="12889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27827">
                                                      <w:marLeft w:val="0"/>
                                                      <w:marRight w:val="0"/>
                                                      <w:marTop w:val="0"/>
                                                      <w:marBottom w:val="0"/>
                                                      <w:divBdr>
                                                        <w:top w:val="none" w:sz="0" w:space="0" w:color="auto"/>
                                                        <w:left w:val="none" w:sz="0" w:space="0" w:color="auto"/>
                                                        <w:bottom w:val="none" w:sz="0" w:space="0" w:color="auto"/>
                                                        <w:right w:val="none" w:sz="0" w:space="0" w:color="auto"/>
                                                      </w:divBdr>
                                                      <w:divsChild>
                                                        <w:div w:id="1288927691">
                                                          <w:marLeft w:val="0"/>
                                                          <w:marRight w:val="0"/>
                                                          <w:marTop w:val="0"/>
                                                          <w:marBottom w:val="0"/>
                                                          <w:divBdr>
                                                            <w:top w:val="none" w:sz="0" w:space="0" w:color="auto"/>
                                                            <w:left w:val="none" w:sz="0" w:space="0" w:color="auto"/>
                                                            <w:bottom w:val="none" w:sz="0" w:space="0" w:color="auto"/>
                                                            <w:right w:val="none" w:sz="0" w:space="0" w:color="auto"/>
                                                          </w:divBdr>
                                                          <w:divsChild>
                                                            <w:div w:id="12889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8927554">
      <w:marLeft w:val="0"/>
      <w:marRight w:val="0"/>
      <w:marTop w:val="0"/>
      <w:marBottom w:val="0"/>
      <w:divBdr>
        <w:top w:val="none" w:sz="0" w:space="0" w:color="auto"/>
        <w:left w:val="none" w:sz="0" w:space="0" w:color="auto"/>
        <w:bottom w:val="none" w:sz="0" w:space="0" w:color="auto"/>
        <w:right w:val="none" w:sz="0" w:space="0" w:color="auto"/>
      </w:divBdr>
    </w:div>
    <w:div w:id="1288927556">
      <w:marLeft w:val="0"/>
      <w:marRight w:val="0"/>
      <w:marTop w:val="0"/>
      <w:marBottom w:val="0"/>
      <w:divBdr>
        <w:top w:val="none" w:sz="0" w:space="0" w:color="auto"/>
        <w:left w:val="none" w:sz="0" w:space="0" w:color="auto"/>
        <w:bottom w:val="none" w:sz="0" w:space="0" w:color="auto"/>
        <w:right w:val="none" w:sz="0" w:space="0" w:color="auto"/>
      </w:divBdr>
    </w:div>
    <w:div w:id="1288927558">
      <w:marLeft w:val="0"/>
      <w:marRight w:val="0"/>
      <w:marTop w:val="0"/>
      <w:marBottom w:val="0"/>
      <w:divBdr>
        <w:top w:val="none" w:sz="0" w:space="0" w:color="auto"/>
        <w:left w:val="none" w:sz="0" w:space="0" w:color="auto"/>
        <w:bottom w:val="none" w:sz="0" w:space="0" w:color="auto"/>
        <w:right w:val="none" w:sz="0" w:space="0" w:color="auto"/>
      </w:divBdr>
    </w:div>
    <w:div w:id="1288927559">
      <w:marLeft w:val="0"/>
      <w:marRight w:val="0"/>
      <w:marTop w:val="0"/>
      <w:marBottom w:val="0"/>
      <w:divBdr>
        <w:top w:val="none" w:sz="0" w:space="0" w:color="auto"/>
        <w:left w:val="none" w:sz="0" w:space="0" w:color="auto"/>
        <w:bottom w:val="none" w:sz="0" w:space="0" w:color="auto"/>
        <w:right w:val="none" w:sz="0" w:space="0" w:color="auto"/>
      </w:divBdr>
    </w:div>
    <w:div w:id="1288927560">
      <w:marLeft w:val="0"/>
      <w:marRight w:val="0"/>
      <w:marTop w:val="0"/>
      <w:marBottom w:val="0"/>
      <w:divBdr>
        <w:top w:val="none" w:sz="0" w:space="0" w:color="auto"/>
        <w:left w:val="none" w:sz="0" w:space="0" w:color="auto"/>
        <w:bottom w:val="none" w:sz="0" w:space="0" w:color="auto"/>
        <w:right w:val="none" w:sz="0" w:space="0" w:color="auto"/>
      </w:divBdr>
    </w:div>
    <w:div w:id="1288927561">
      <w:marLeft w:val="0"/>
      <w:marRight w:val="0"/>
      <w:marTop w:val="0"/>
      <w:marBottom w:val="0"/>
      <w:divBdr>
        <w:top w:val="none" w:sz="0" w:space="0" w:color="auto"/>
        <w:left w:val="none" w:sz="0" w:space="0" w:color="auto"/>
        <w:bottom w:val="none" w:sz="0" w:space="0" w:color="auto"/>
        <w:right w:val="none" w:sz="0" w:space="0" w:color="auto"/>
      </w:divBdr>
    </w:div>
    <w:div w:id="1288927562">
      <w:marLeft w:val="0"/>
      <w:marRight w:val="0"/>
      <w:marTop w:val="0"/>
      <w:marBottom w:val="0"/>
      <w:divBdr>
        <w:top w:val="none" w:sz="0" w:space="0" w:color="auto"/>
        <w:left w:val="none" w:sz="0" w:space="0" w:color="auto"/>
        <w:bottom w:val="none" w:sz="0" w:space="0" w:color="auto"/>
        <w:right w:val="none" w:sz="0" w:space="0" w:color="auto"/>
      </w:divBdr>
    </w:div>
    <w:div w:id="1288927563">
      <w:marLeft w:val="0"/>
      <w:marRight w:val="0"/>
      <w:marTop w:val="0"/>
      <w:marBottom w:val="0"/>
      <w:divBdr>
        <w:top w:val="none" w:sz="0" w:space="0" w:color="auto"/>
        <w:left w:val="none" w:sz="0" w:space="0" w:color="auto"/>
        <w:bottom w:val="none" w:sz="0" w:space="0" w:color="auto"/>
        <w:right w:val="none" w:sz="0" w:space="0" w:color="auto"/>
      </w:divBdr>
    </w:div>
    <w:div w:id="1288927564">
      <w:marLeft w:val="0"/>
      <w:marRight w:val="0"/>
      <w:marTop w:val="0"/>
      <w:marBottom w:val="0"/>
      <w:divBdr>
        <w:top w:val="none" w:sz="0" w:space="0" w:color="auto"/>
        <w:left w:val="none" w:sz="0" w:space="0" w:color="auto"/>
        <w:bottom w:val="none" w:sz="0" w:space="0" w:color="auto"/>
        <w:right w:val="none" w:sz="0" w:space="0" w:color="auto"/>
      </w:divBdr>
    </w:div>
    <w:div w:id="1288927565">
      <w:marLeft w:val="0"/>
      <w:marRight w:val="0"/>
      <w:marTop w:val="0"/>
      <w:marBottom w:val="0"/>
      <w:divBdr>
        <w:top w:val="none" w:sz="0" w:space="0" w:color="auto"/>
        <w:left w:val="none" w:sz="0" w:space="0" w:color="auto"/>
        <w:bottom w:val="none" w:sz="0" w:space="0" w:color="auto"/>
        <w:right w:val="none" w:sz="0" w:space="0" w:color="auto"/>
      </w:divBdr>
    </w:div>
    <w:div w:id="1288927567">
      <w:marLeft w:val="0"/>
      <w:marRight w:val="0"/>
      <w:marTop w:val="0"/>
      <w:marBottom w:val="0"/>
      <w:divBdr>
        <w:top w:val="none" w:sz="0" w:space="0" w:color="auto"/>
        <w:left w:val="none" w:sz="0" w:space="0" w:color="auto"/>
        <w:bottom w:val="none" w:sz="0" w:space="0" w:color="auto"/>
        <w:right w:val="none" w:sz="0" w:space="0" w:color="auto"/>
      </w:divBdr>
    </w:div>
    <w:div w:id="1288927569">
      <w:marLeft w:val="0"/>
      <w:marRight w:val="0"/>
      <w:marTop w:val="0"/>
      <w:marBottom w:val="0"/>
      <w:divBdr>
        <w:top w:val="none" w:sz="0" w:space="0" w:color="auto"/>
        <w:left w:val="none" w:sz="0" w:space="0" w:color="auto"/>
        <w:bottom w:val="none" w:sz="0" w:space="0" w:color="auto"/>
        <w:right w:val="none" w:sz="0" w:space="0" w:color="auto"/>
      </w:divBdr>
    </w:div>
    <w:div w:id="1288927570">
      <w:marLeft w:val="0"/>
      <w:marRight w:val="0"/>
      <w:marTop w:val="0"/>
      <w:marBottom w:val="0"/>
      <w:divBdr>
        <w:top w:val="none" w:sz="0" w:space="0" w:color="auto"/>
        <w:left w:val="none" w:sz="0" w:space="0" w:color="auto"/>
        <w:bottom w:val="none" w:sz="0" w:space="0" w:color="auto"/>
        <w:right w:val="none" w:sz="0" w:space="0" w:color="auto"/>
      </w:divBdr>
    </w:div>
    <w:div w:id="1288927572">
      <w:marLeft w:val="0"/>
      <w:marRight w:val="0"/>
      <w:marTop w:val="0"/>
      <w:marBottom w:val="0"/>
      <w:divBdr>
        <w:top w:val="none" w:sz="0" w:space="0" w:color="auto"/>
        <w:left w:val="none" w:sz="0" w:space="0" w:color="auto"/>
        <w:bottom w:val="none" w:sz="0" w:space="0" w:color="auto"/>
        <w:right w:val="none" w:sz="0" w:space="0" w:color="auto"/>
      </w:divBdr>
    </w:div>
    <w:div w:id="1288927575">
      <w:marLeft w:val="0"/>
      <w:marRight w:val="0"/>
      <w:marTop w:val="0"/>
      <w:marBottom w:val="0"/>
      <w:divBdr>
        <w:top w:val="none" w:sz="0" w:space="0" w:color="auto"/>
        <w:left w:val="none" w:sz="0" w:space="0" w:color="auto"/>
        <w:bottom w:val="none" w:sz="0" w:space="0" w:color="auto"/>
        <w:right w:val="none" w:sz="0" w:space="0" w:color="auto"/>
      </w:divBdr>
    </w:div>
    <w:div w:id="1288927576">
      <w:marLeft w:val="0"/>
      <w:marRight w:val="0"/>
      <w:marTop w:val="0"/>
      <w:marBottom w:val="0"/>
      <w:divBdr>
        <w:top w:val="none" w:sz="0" w:space="0" w:color="auto"/>
        <w:left w:val="none" w:sz="0" w:space="0" w:color="auto"/>
        <w:bottom w:val="none" w:sz="0" w:space="0" w:color="auto"/>
        <w:right w:val="none" w:sz="0" w:space="0" w:color="auto"/>
      </w:divBdr>
    </w:div>
    <w:div w:id="1288927578">
      <w:marLeft w:val="0"/>
      <w:marRight w:val="0"/>
      <w:marTop w:val="0"/>
      <w:marBottom w:val="0"/>
      <w:divBdr>
        <w:top w:val="none" w:sz="0" w:space="0" w:color="auto"/>
        <w:left w:val="none" w:sz="0" w:space="0" w:color="auto"/>
        <w:bottom w:val="none" w:sz="0" w:space="0" w:color="auto"/>
        <w:right w:val="none" w:sz="0" w:space="0" w:color="auto"/>
      </w:divBdr>
    </w:div>
    <w:div w:id="1288927579">
      <w:marLeft w:val="0"/>
      <w:marRight w:val="0"/>
      <w:marTop w:val="0"/>
      <w:marBottom w:val="0"/>
      <w:divBdr>
        <w:top w:val="none" w:sz="0" w:space="0" w:color="auto"/>
        <w:left w:val="none" w:sz="0" w:space="0" w:color="auto"/>
        <w:bottom w:val="none" w:sz="0" w:space="0" w:color="auto"/>
        <w:right w:val="none" w:sz="0" w:space="0" w:color="auto"/>
      </w:divBdr>
    </w:div>
    <w:div w:id="1288927583">
      <w:marLeft w:val="0"/>
      <w:marRight w:val="0"/>
      <w:marTop w:val="0"/>
      <w:marBottom w:val="0"/>
      <w:divBdr>
        <w:top w:val="none" w:sz="0" w:space="0" w:color="auto"/>
        <w:left w:val="none" w:sz="0" w:space="0" w:color="auto"/>
        <w:bottom w:val="none" w:sz="0" w:space="0" w:color="auto"/>
        <w:right w:val="none" w:sz="0" w:space="0" w:color="auto"/>
      </w:divBdr>
    </w:div>
    <w:div w:id="1288927584">
      <w:marLeft w:val="0"/>
      <w:marRight w:val="0"/>
      <w:marTop w:val="0"/>
      <w:marBottom w:val="0"/>
      <w:divBdr>
        <w:top w:val="none" w:sz="0" w:space="0" w:color="auto"/>
        <w:left w:val="none" w:sz="0" w:space="0" w:color="auto"/>
        <w:bottom w:val="none" w:sz="0" w:space="0" w:color="auto"/>
        <w:right w:val="none" w:sz="0" w:space="0" w:color="auto"/>
      </w:divBdr>
      <w:divsChild>
        <w:div w:id="1288927677">
          <w:marLeft w:val="446"/>
          <w:marRight w:val="0"/>
          <w:marTop w:val="0"/>
          <w:marBottom w:val="0"/>
          <w:divBdr>
            <w:top w:val="none" w:sz="0" w:space="0" w:color="auto"/>
            <w:left w:val="none" w:sz="0" w:space="0" w:color="auto"/>
            <w:bottom w:val="none" w:sz="0" w:space="0" w:color="auto"/>
            <w:right w:val="none" w:sz="0" w:space="0" w:color="auto"/>
          </w:divBdr>
        </w:div>
        <w:div w:id="1288927801">
          <w:marLeft w:val="446"/>
          <w:marRight w:val="0"/>
          <w:marTop w:val="0"/>
          <w:marBottom w:val="0"/>
          <w:divBdr>
            <w:top w:val="none" w:sz="0" w:space="0" w:color="auto"/>
            <w:left w:val="none" w:sz="0" w:space="0" w:color="auto"/>
            <w:bottom w:val="none" w:sz="0" w:space="0" w:color="auto"/>
            <w:right w:val="none" w:sz="0" w:space="0" w:color="auto"/>
          </w:divBdr>
        </w:div>
      </w:divsChild>
    </w:div>
    <w:div w:id="1288927585">
      <w:marLeft w:val="0"/>
      <w:marRight w:val="0"/>
      <w:marTop w:val="0"/>
      <w:marBottom w:val="0"/>
      <w:divBdr>
        <w:top w:val="none" w:sz="0" w:space="0" w:color="auto"/>
        <w:left w:val="none" w:sz="0" w:space="0" w:color="auto"/>
        <w:bottom w:val="none" w:sz="0" w:space="0" w:color="auto"/>
        <w:right w:val="none" w:sz="0" w:space="0" w:color="auto"/>
      </w:divBdr>
    </w:div>
    <w:div w:id="1288927586">
      <w:marLeft w:val="0"/>
      <w:marRight w:val="0"/>
      <w:marTop w:val="0"/>
      <w:marBottom w:val="0"/>
      <w:divBdr>
        <w:top w:val="none" w:sz="0" w:space="0" w:color="auto"/>
        <w:left w:val="none" w:sz="0" w:space="0" w:color="auto"/>
        <w:bottom w:val="none" w:sz="0" w:space="0" w:color="auto"/>
        <w:right w:val="none" w:sz="0" w:space="0" w:color="auto"/>
      </w:divBdr>
    </w:div>
    <w:div w:id="1288927587">
      <w:marLeft w:val="0"/>
      <w:marRight w:val="0"/>
      <w:marTop w:val="0"/>
      <w:marBottom w:val="0"/>
      <w:divBdr>
        <w:top w:val="none" w:sz="0" w:space="0" w:color="auto"/>
        <w:left w:val="none" w:sz="0" w:space="0" w:color="auto"/>
        <w:bottom w:val="none" w:sz="0" w:space="0" w:color="auto"/>
        <w:right w:val="none" w:sz="0" w:space="0" w:color="auto"/>
      </w:divBdr>
    </w:div>
    <w:div w:id="1288927589">
      <w:marLeft w:val="0"/>
      <w:marRight w:val="0"/>
      <w:marTop w:val="0"/>
      <w:marBottom w:val="0"/>
      <w:divBdr>
        <w:top w:val="none" w:sz="0" w:space="0" w:color="auto"/>
        <w:left w:val="none" w:sz="0" w:space="0" w:color="auto"/>
        <w:bottom w:val="none" w:sz="0" w:space="0" w:color="auto"/>
        <w:right w:val="none" w:sz="0" w:space="0" w:color="auto"/>
      </w:divBdr>
    </w:div>
    <w:div w:id="1288927590">
      <w:marLeft w:val="0"/>
      <w:marRight w:val="0"/>
      <w:marTop w:val="0"/>
      <w:marBottom w:val="0"/>
      <w:divBdr>
        <w:top w:val="none" w:sz="0" w:space="0" w:color="auto"/>
        <w:left w:val="none" w:sz="0" w:space="0" w:color="auto"/>
        <w:bottom w:val="none" w:sz="0" w:space="0" w:color="auto"/>
        <w:right w:val="none" w:sz="0" w:space="0" w:color="auto"/>
      </w:divBdr>
    </w:div>
    <w:div w:id="1288927592">
      <w:marLeft w:val="0"/>
      <w:marRight w:val="0"/>
      <w:marTop w:val="0"/>
      <w:marBottom w:val="0"/>
      <w:divBdr>
        <w:top w:val="none" w:sz="0" w:space="0" w:color="auto"/>
        <w:left w:val="none" w:sz="0" w:space="0" w:color="auto"/>
        <w:bottom w:val="none" w:sz="0" w:space="0" w:color="auto"/>
        <w:right w:val="none" w:sz="0" w:space="0" w:color="auto"/>
      </w:divBdr>
    </w:div>
    <w:div w:id="1288927594">
      <w:marLeft w:val="0"/>
      <w:marRight w:val="0"/>
      <w:marTop w:val="0"/>
      <w:marBottom w:val="0"/>
      <w:divBdr>
        <w:top w:val="none" w:sz="0" w:space="0" w:color="auto"/>
        <w:left w:val="none" w:sz="0" w:space="0" w:color="auto"/>
        <w:bottom w:val="none" w:sz="0" w:space="0" w:color="auto"/>
        <w:right w:val="none" w:sz="0" w:space="0" w:color="auto"/>
      </w:divBdr>
    </w:div>
    <w:div w:id="1288927597">
      <w:marLeft w:val="0"/>
      <w:marRight w:val="0"/>
      <w:marTop w:val="0"/>
      <w:marBottom w:val="0"/>
      <w:divBdr>
        <w:top w:val="none" w:sz="0" w:space="0" w:color="auto"/>
        <w:left w:val="none" w:sz="0" w:space="0" w:color="auto"/>
        <w:bottom w:val="none" w:sz="0" w:space="0" w:color="auto"/>
        <w:right w:val="none" w:sz="0" w:space="0" w:color="auto"/>
      </w:divBdr>
    </w:div>
    <w:div w:id="1288927598">
      <w:marLeft w:val="0"/>
      <w:marRight w:val="0"/>
      <w:marTop w:val="0"/>
      <w:marBottom w:val="0"/>
      <w:divBdr>
        <w:top w:val="none" w:sz="0" w:space="0" w:color="auto"/>
        <w:left w:val="none" w:sz="0" w:space="0" w:color="auto"/>
        <w:bottom w:val="none" w:sz="0" w:space="0" w:color="auto"/>
        <w:right w:val="none" w:sz="0" w:space="0" w:color="auto"/>
      </w:divBdr>
    </w:div>
    <w:div w:id="1288927601">
      <w:marLeft w:val="0"/>
      <w:marRight w:val="0"/>
      <w:marTop w:val="0"/>
      <w:marBottom w:val="0"/>
      <w:divBdr>
        <w:top w:val="none" w:sz="0" w:space="0" w:color="auto"/>
        <w:left w:val="none" w:sz="0" w:space="0" w:color="auto"/>
        <w:bottom w:val="none" w:sz="0" w:space="0" w:color="auto"/>
        <w:right w:val="none" w:sz="0" w:space="0" w:color="auto"/>
      </w:divBdr>
    </w:div>
    <w:div w:id="1288927604">
      <w:marLeft w:val="0"/>
      <w:marRight w:val="0"/>
      <w:marTop w:val="0"/>
      <w:marBottom w:val="0"/>
      <w:divBdr>
        <w:top w:val="none" w:sz="0" w:space="0" w:color="auto"/>
        <w:left w:val="none" w:sz="0" w:space="0" w:color="auto"/>
        <w:bottom w:val="none" w:sz="0" w:space="0" w:color="auto"/>
        <w:right w:val="none" w:sz="0" w:space="0" w:color="auto"/>
      </w:divBdr>
    </w:div>
    <w:div w:id="1288927607">
      <w:marLeft w:val="0"/>
      <w:marRight w:val="0"/>
      <w:marTop w:val="0"/>
      <w:marBottom w:val="0"/>
      <w:divBdr>
        <w:top w:val="none" w:sz="0" w:space="0" w:color="auto"/>
        <w:left w:val="none" w:sz="0" w:space="0" w:color="auto"/>
        <w:bottom w:val="none" w:sz="0" w:space="0" w:color="auto"/>
        <w:right w:val="none" w:sz="0" w:space="0" w:color="auto"/>
      </w:divBdr>
    </w:div>
    <w:div w:id="1288927609">
      <w:marLeft w:val="0"/>
      <w:marRight w:val="0"/>
      <w:marTop w:val="0"/>
      <w:marBottom w:val="0"/>
      <w:divBdr>
        <w:top w:val="none" w:sz="0" w:space="0" w:color="auto"/>
        <w:left w:val="none" w:sz="0" w:space="0" w:color="auto"/>
        <w:bottom w:val="none" w:sz="0" w:space="0" w:color="auto"/>
        <w:right w:val="none" w:sz="0" w:space="0" w:color="auto"/>
      </w:divBdr>
    </w:div>
    <w:div w:id="1288927610">
      <w:marLeft w:val="0"/>
      <w:marRight w:val="0"/>
      <w:marTop w:val="0"/>
      <w:marBottom w:val="0"/>
      <w:divBdr>
        <w:top w:val="none" w:sz="0" w:space="0" w:color="auto"/>
        <w:left w:val="none" w:sz="0" w:space="0" w:color="auto"/>
        <w:bottom w:val="none" w:sz="0" w:space="0" w:color="auto"/>
        <w:right w:val="none" w:sz="0" w:space="0" w:color="auto"/>
      </w:divBdr>
    </w:div>
    <w:div w:id="1288927611">
      <w:marLeft w:val="0"/>
      <w:marRight w:val="0"/>
      <w:marTop w:val="0"/>
      <w:marBottom w:val="0"/>
      <w:divBdr>
        <w:top w:val="none" w:sz="0" w:space="0" w:color="auto"/>
        <w:left w:val="none" w:sz="0" w:space="0" w:color="auto"/>
        <w:bottom w:val="none" w:sz="0" w:space="0" w:color="auto"/>
        <w:right w:val="none" w:sz="0" w:space="0" w:color="auto"/>
      </w:divBdr>
    </w:div>
    <w:div w:id="1288927612">
      <w:marLeft w:val="0"/>
      <w:marRight w:val="0"/>
      <w:marTop w:val="0"/>
      <w:marBottom w:val="0"/>
      <w:divBdr>
        <w:top w:val="none" w:sz="0" w:space="0" w:color="auto"/>
        <w:left w:val="none" w:sz="0" w:space="0" w:color="auto"/>
        <w:bottom w:val="none" w:sz="0" w:space="0" w:color="auto"/>
        <w:right w:val="none" w:sz="0" w:space="0" w:color="auto"/>
      </w:divBdr>
    </w:div>
    <w:div w:id="1288927614">
      <w:marLeft w:val="0"/>
      <w:marRight w:val="0"/>
      <w:marTop w:val="0"/>
      <w:marBottom w:val="0"/>
      <w:divBdr>
        <w:top w:val="none" w:sz="0" w:space="0" w:color="auto"/>
        <w:left w:val="none" w:sz="0" w:space="0" w:color="auto"/>
        <w:bottom w:val="none" w:sz="0" w:space="0" w:color="auto"/>
        <w:right w:val="none" w:sz="0" w:space="0" w:color="auto"/>
      </w:divBdr>
    </w:div>
    <w:div w:id="1288927615">
      <w:marLeft w:val="0"/>
      <w:marRight w:val="0"/>
      <w:marTop w:val="0"/>
      <w:marBottom w:val="0"/>
      <w:divBdr>
        <w:top w:val="none" w:sz="0" w:space="0" w:color="auto"/>
        <w:left w:val="none" w:sz="0" w:space="0" w:color="auto"/>
        <w:bottom w:val="none" w:sz="0" w:space="0" w:color="auto"/>
        <w:right w:val="none" w:sz="0" w:space="0" w:color="auto"/>
      </w:divBdr>
    </w:div>
    <w:div w:id="1288927616">
      <w:marLeft w:val="0"/>
      <w:marRight w:val="0"/>
      <w:marTop w:val="0"/>
      <w:marBottom w:val="0"/>
      <w:divBdr>
        <w:top w:val="none" w:sz="0" w:space="0" w:color="auto"/>
        <w:left w:val="none" w:sz="0" w:space="0" w:color="auto"/>
        <w:bottom w:val="none" w:sz="0" w:space="0" w:color="auto"/>
        <w:right w:val="none" w:sz="0" w:space="0" w:color="auto"/>
      </w:divBdr>
    </w:div>
    <w:div w:id="1288927619">
      <w:marLeft w:val="0"/>
      <w:marRight w:val="0"/>
      <w:marTop w:val="0"/>
      <w:marBottom w:val="0"/>
      <w:divBdr>
        <w:top w:val="none" w:sz="0" w:space="0" w:color="auto"/>
        <w:left w:val="none" w:sz="0" w:space="0" w:color="auto"/>
        <w:bottom w:val="none" w:sz="0" w:space="0" w:color="auto"/>
        <w:right w:val="none" w:sz="0" w:space="0" w:color="auto"/>
      </w:divBdr>
    </w:div>
    <w:div w:id="1288927620">
      <w:marLeft w:val="0"/>
      <w:marRight w:val="0"/>
      <w:marTop w:val="0"/>
      <w:marBottom w:val="0"/>
      <w:divBdr>
        <w:top w:val="none" w:sz="0" w:space="0" w:color="auto"/>
        <w:left w:val="none" w:sz="0" w:space="0" w:color="auto"/>
        <w:bottom w:val="none" w:sz="0" w:space="0" w:color="auto"/>
        <w:right w:val="none" w:sz="0" w:space="0" w:color="auto"/>
      </w:divBdr>
    </w:div>
    <w:div w:id="1288927623">
      <w:marLeft w:val="0"/>
      <w:marRight w:val="0"/>
      <w:marTop w:val="0"/>
      <w:marBottom w:val="0"/>
      <w:divBdr>
        <w:top w:val="none" w:sz="0" w:space="0" w:color="auto"/>
        <w:left w:val="none" w:sz="0" w:space="0" w:color="auto"/>
        <w:bottom w:val="none" w:sz="0" w:space="0" w:color="auto"/>
        <w:right w:val="none" w:sz="0" w:space="0" w:color="auto"/>
      </w:divBdr>
    </w:div>
    <w:div w:id="1288927624">
      <w:marLeft w:val="0"/>
      <w:marRight w:val="0"/>
      <w:marTop w:val="0"/>
      <w:marBottom w:val="0"/>
      <w:divBdr>
        <w:top w:val="none" w:sz="0" w:space="0" w:color="auto"/>
        <w:left w:val="none" w:sz="0" w:space="0" w:color="auto"/>
        <w:bottom w:val="none" w:sz="0" w:space="0" w:color="auto"/>
        <w:right w:val="none" w:sz="0" w:space="0" w:color="auto"/>
      </w:divBdr>
      <w:divsChild>
        <w:div w:id="1288927557">
          <w:marLeft w:val="547"/>
          <w:marRight w:val="0"/>
          <w:marTop w:val="0"/>
          <w:marBottom w:val="0"/>
          <w:divBdr>
            <w:top w:val="none" w:sz="0" w:space="0" w:color="auto"/>
            <w:left w:val="none" w:sz="0" w:space="0" w:color="auto"/>
            <w:bottom w:val="none" w:sz="0" w:space="0" w:color="auto"/>
            <w:right w:val="none" w:sz="0" w:space="0" w:color="auto"/>
          </w:divBdr>
        </w:div>
        <w:div w:id="1288927647">
          <w:marLeft w:val="547"/>
          <w:marRight w:val="0"/>
          <w:marTop w:val="0"/>
          <w:marBottom w:val="0"/>
          <w:divBdr>
            <w:top w:val="none" w:sz="0" w:space="0" w:color="auto"/>
            <w:left w:val="none" w:sz="0" w:space="0" w:color="auto"/>
            <w:bottom w:val="none" w:sz="0" w:space="0" w:color="auto"/>
            <w:right w:val="none" w:sz="0" w:space="0" w:color="auto"/>
          </w:divBdr>
        </w:div>
        <w:div w:id="1288927654">
          <w:marLeft w:val="547"/>
          <w:marRight w:val="0"/>
          <w:marTop w:val="0"/>
          <w:marBottom w:val="0"/>
          <w:divBdr>
            <w:top w:val="none" w:sz="0" w:space="0" w:color="auto"/>
            <w:left w:val="none" w:sz="0" w:space="0" w:color="auto"/>
            <w:bottom w:val="none" w:sz="0" w:space="0" w:color="auto"/>
            <w:right w:val="none" w:sz="0" w:space="0" w:color="auto"/>
          </w:divBdr>
        </w:div>
        <w:div w:id="1288927892">
          <w:marLeft w:val="547"/>
          <w:marRight w:val="0"/>
          <w:marTop w:val="0"/>
          <w:marBottom w:val="0"/>
          <w:divBdr>
            <w:top w:val="none" w:sz="0" w:space="0" w:color="auto"/>
            <w:left w:val="none" w:sz="0" w:space="0" w:color="auto"/>
            <w:bottom w:val="none" w:sz="0" w:space="0" w:color="auto"/>
            <w:right w:val="none" w:sz="0" w:space="0" w:color="auto"/>
          </w:divBdr>
        </w:div>
      </w:divsChild>
    </w:div>
    <w:div w:id="1288927625">
      <w:marLeft w:val="0"/>
      <w:marRight w:val="0"/>
      <w:marTop w:val="0"/>
      <w:marBottom w:val="0"/>
      <w:divBdr>
        <w:top w:val="none" w:sz="0" w:space="0" w:color="auto"/>
        <w:left w:val="none" w:sz="0" w:space="0" w:color="auto"/>
        <w:bottom w:val="none" w:sz="0" w:space="0" w:color="auto"/>
        <w:right w:val="none" w:sz="0" w:space="0" w:color="auto"/>
      </w:divBdr>
    </w:div>
    <w:div w:id="1288927626">
      <w:marLeft w:val="0"/>
      <w:marRight w:val="0"/>
      <w:marTop w:val="0"/>
      <w:marBottom w:val="0"/>
      <w:divBdr>
        <w:top w:val="none" w:sz="0" w:space="0" w:color="auto"/>
        <w:left w:val="none" w:sz="0" w:space="0" w:color="auto"/>
        <w:bottom w:val="none" w:sz="0" w:space="0" w:color="auto"/>
        <w:right w:val="none" w:sz="0" w:space="0" w:color="auto"/>
      </w:divBdr>
    </w:div>
    <w:div w:id="1288927627">
      <w:marLeft w:val="0"/>
      <w:marRight w:val="0"/>
      <w:marTop w:val="0"/>
      <w:marBottom w:val="0"/>
      <w:divBdr>
        <w:top w:val="none" w:sz="0" w:space="0" w:color="auto"/>
        <w:left w:val="none" w:sz="0" w:space="0" w:color="auto"/>
        <w:bottom w:val="none" w:sz="0" w:space="0" w:color="auto"/>
        <w:right w:val="none" w:sz="0" w:space="0" w:color="auto"/>
      </w:divBdr>
    </w:div>
    <w:div w:id="1288927628">
      <w:marLeft w:val="0"/>
      <w:marRight w:val="0"/>
      <w:marTop w:val="0"/>
      <w:marBottom w:val="0"/>
      <w:divBdr>
        <w:top w:val="none" w:sz="0" w:space="0" w:color="auto"/>
        <w:left w:val="none" w:sz="0" w:space="0" w:color="auto"/>
        <w:bottom w:val="none" w:sz="0" w:space="0" w:color="auto"/>
        <w:right w:val="none" w:sz="0" w:space="0" w:color="auto"/>
      </w:divBdr>
    </w:div>
    <w:div w:id="1288927629">
      <w:marLeft w:val="0"/>
      <w:marRight w:val="0"/>
      <w:marTop w:val="0"/>
      <w:marBottom w:val="0"/>
      <w:divBdr>
        <w:top w:val="none" w:sz="0" w:space="0" w:color="auto"/>
        <w:left w:val="none" w:sz="0" w:space="0" w:color="auto"/>
        <w:bottom w:val="none" w:sz="0" w:space="0" w:color="auto"/>
        <w:right w:val="none" w:sz="0" w:space="0" w:color="auto"/>
      </w:divBdr>
    </w:div>
    <w:div w:id="1288927630">
      <w:marLeft w:val="0"/>
      <w:marRight w:val="0"/>
      <w:marTop w:val="0"/>
      <w:marBottom w:val="0"/>
      <w:divBdr>
        <w:top w:val="none" w:sz="0" w:space="0" w:color="auto"/>
        <w:left w:val="none" w:sz="0" w:space="0" w:color="auto"/>
        <w:bottom w:val="none" w:sz="0" w:space="0" w:color="auto"/>
        <w:right w:val="none" w:sz="0" w:space="0" w:color="auto"/>
      </w:divBdr>
      <w:divsChild>
        <w:div w:id="1288927715">
          <w:marLeft w:val="0"/>
          <w:marRight w:val="0"/>
          <w:marTop w:val="0"/>
          <w:marBottom w:val="0"/>
          <w:divBdr>
            <w:top w:val="none" w:sz="0" w:space="0" w:color="auto"/>
            <w:left w:val="none" w:sz="0" w:space="0" w:color="auto"/>
            <w:bottom w:val="none" w:sz="0" w:space="0" w:color="auto"/>
            <w:right w:val="none" w:sz="0" w:space="0" w:color="auto"/>
          </w:divBdr>
        </w:div>
        <w:div w:id="1288927733">
          <w:marLeft w:val="0"/>
          <w:marRight w:val="0"/>
          <w:marTop w:val="0"/>
          <w:marBottom w:val="0"/>
          <w:divBdr>
            <w:top w:val="none" w:sz="0" w:space="0" w:color="auto"/>
            <w:left w:val="none" w:sz="0" w:space="0" w:color="auto"/>
            <w:bottom w:val="none" w:sz="0" w:space="0" w:color="auto"/>
            <w:right w:val="none" w:sz="0" w:space="0" w:color="auto"/>
          </w:divBdr>
        </w:div>
      </w:divsChild>
    </w:div>
    <w:div w:id="1288927631">
      <w:marLeft w:val="0"/>
      <w:marRight w:val="0"/>
      <w:marTop w:val="0"/>
      <w:marBottom w:val="0"/>
      <w:divBdr>
        <w:top w:val="none" w:sz="0" w:space="0" w:color="auto"/>
        <w:left w:val="none" w:sz="0" w:space="0" w:color="auto"/>
        <w:bottom w:val="none" w:sz="0" w:space="0" w:color="auto"/>
        <w:right w:val="none" w:sz="0" w:space="0" w:color="auto"/>
      </w:divBdr>
    </w:div>
    <w:div w:id="1288927633">
      <w:marLeft w:val="0"/>
      <w:marRight w:val="0"/>
      <w:marTop w:val="0"/>
      <w:marBottom w:val="0"/>
      <w:divBdr>
        <w:top w:val="none" w:sz="0" w:space="0" w:color="auto"/>
        <w:left w:val="none" w:sz="0" w:space="0" w:color="auto"/>
        <w:bottom w:val="none" w:sz="0" w:space="0" w:color="auto"/>
        <w:right w:val="none" w:sz="0" w:space="0" w:color="auto"/>
      </w:divBdr>
    </w:div>
    <w:div w:id="1288927634">
      <w:marLeft w:val="0"/>
      <w:marRight w:val="0"/>
      <w:marTop w:val="0"/>
      <w:marBottom w:val="0"/>
      <w:divBdr>
        <w:top w:val="none" w:sz="0" w:space="0" w:color="auto"/>
        <w:left w:val="none" w:sz="0" w:space="0" w:color="auto"/>
        <w:bottom w:val="none" w:sz="0" w:space="0" w:color="auto"/>
        <w:right w:val="none" w:sz="0" w:space="0" w:color="auto"/>
      </w:divBdr>
    </w:div>
    <w:div w:id="1288927639">
      <w:marLeft w:val="0"/>
      <w:marRight w:val="0"/>
      <w:marTop w:val="0"/>
      <w:marBottom w:val="0"/>
      <w:divBdr>
        <w:top w:val="none" w:sz="0" w:space="0" w:color="auto"/>
        <w:left w:val="none" w:sz="0" w:space="0" w:color="auto"/>
        <w:bottom w:val="none" w:sz="0" w:space="0" w:color="auto"/>
        <w:right w:val="none" w:sz="0" w:space="0" w:color="auto"/>
      </w:divBdr>
    </w:div>
    <w:div w:id="1288927641">
      <w:marLeft w:val="0"/>
      <w:marRight w:val="0"/>
      <w:marTop w:val="0"/>
      <w:marBottom w:val="0"/>
      <w:divBdr>
        <w:top w:val="none" w:sz="0" w:space="0" w:color="auto"/>
        <w:left w:val="none" w:sz="0" w:space="0" w:color="auto"/>
        <w:bottom w:val="none" w:sz="0" w:space="0" w:color="auto"/>
        <w:right w:val="none" w:sz="0" w:space="0" w:color="auto"/>
      </w:divBdr>
    </w:div>
    <w:div w:id="1288927642">
      <w:marLeft w:val="0"/>
      <w:marRight w:val="0"/>
      <w:marTop w:val="0"/>
      <w:marBottom w:val="0"/>
      <w:divBdr>
        <w:top w:val="none" w:sz="0" w:space="0" w:color="auto"/>
        <w:left w:val="none" w:sz="0" w:space="0" w:color="auto"/>
        <w:bottom w:val="none" w:sz="0" w:space="0" w:color="auto"/>
        <w:right w:val="none" w:sz="0" w:space="0" w:color="auto"/>
      </w:divBdr>
    </w:div>
    <w:div w:id="1288927643">
      <w:marLeft w:val="0"/>
      <w:marRight w:val="0"/>
      <w:marTop w:val="0"/>
      <w:marBottom w:val="0"/>
      <w:divBdr>
        <w:top w:val="none" w:sz="0" w:space="0" w:color="auto"/>
        <w:left w:val="none" w:sz="0" w:space="0" w:color="auto"/>
        <w:bottom w:val="none" w:sz="0" w:space="0" w:color="auto"/>
        <w:right w:val="none" w:sz="0" w:space="0" w:color="auto"/>
      </w:divBdr>
    </w:div>
    <w:div w:id="1288927644">
      <w:marLeft w:val="0"/>
      <w:marRight w:val="0"/>
      <w:marTop w:val="0"/>
      <w:marBottom w:val="0"/>
      <w:divBdr>
        <w:top w:val="none" w:sz="0" w:space="0" w:color="auto"/>
        <w:left w:val="none" w:sz="0" w:space="0" w:color="auto"/>
        <w:bottom w:val="none" w:sz="0" w:space="0" w:color="auto"/>
        <w:right w:val="none" w:sz="0" w:space="0" w:color="auto"/>
      </w:divBdr>
    </w:div>
    <w:div w:id="1288927645">
      <w:marLeft w:val="0"/>
      <w:marRight w:val="0"/>
      <w:marTop w:val="0"/>
      <w:marBottom w:val="0"/>
      <w:divBdr>
        <w:top w:val="none" w:sz="0" w:space="0" w:color="auto"/>
        <w:left w:val="none" w:sz="0" w:space="0" w:color="auto"/>
        <w:bottom w:val="none" w:sz="0" w:space="0" w:color="auto"/>
        <w:right w:val="none" w:sz="0" w:space="0" w:color="auto"/>
      </w:divBdr>
    </w:div>
    <w:div w:id="1288927646">
      <w:marLeft w:val="0"/>
      <w:marRight w:val="0"/>
      <w:marTop w:val="0"/>
      <w:marBottom w:val="0"/>
      <w:divBdr>
        <w:top w:val="none" w:sz="0" w:space="0" w:color="auto"/>
        <w:left w:val="none" w:sz="0" w:space="0" w:color="auto"/>
        <w:bottom w:val="none" w:sz="0" w:space="0" w:color="auto"/>
        <w:right w:val="none" w:sz="0" w:space="0" w:color="auto"/>
      </w:divBdr>
    </w:div>
    <w:div w:id="1288927650">
      <w:marLeft w:val="0"/>
      <w:marRight w:val="0"/>
      <w:marTop w:val="0"/>
      <w:marBottom w:val="0"/>
      <w:divBdr>
        <w:top w:val="none" w:sz="0" w:space="0" w:color="auto"/>
        <w:left w:val="none" w:sz="0" w:space="0" w:color="auto"/>
        <w:bottom w:val="none" w:sz="0" w:space="0" w:color="auto"/>
        <w:right w:val="none" w:sz="0" w:space="0" w:color="auto"/>
      </w:divBdr>
    </w:div>
    <w:div w:id="1288927651">
      <w:marLeft w:val="0"/>
      <w:marRight w:val="0"/>
      <w:marTop w:val="0"/>
      <w:marBottom w:val="0"/>
      <w:divBdr>
        <w:top w:val="none" w:sz="0" w:space="0" w:color="auto"/>
        <w:left w:val="none" w:sz="0" w:space="0" w:color="auto"/>
        <w:bottom w:val="none" w:sz="0" w:space="0" w:color="auto"/>
        <w:right w:val="none" w:sz="0" w:space="0" w:color="auto"/>
      </w:divBdr>
    </w:div>
    <w:div w:id="1288927652">
      <w:marLeft w:val="0"/>
      <w:marRight w:val="0"/>
      <w:marTop w:val="0"/>
      <w:marBottom w:val="0"/>
      <w:divBdr>
        <w:top w:val="none" w:sz="0" w:space="0" w:color="auto"/>
        <w:left w:val="none" w:sz="0" w:space="0" w:color="auto"/>
        <w:bottom w:val="none" w:sz="0" w:space="0" w:color="auto"/>
        <w:right w:val="none" w:sz="0" w:space="0" w:color="auto"/>
      </w:divBdr>
      <w:divsChild>
        <w:div w:id="1288927704">
          <w:marLeft w:val="547"/>
          <w:marRight w:val="0"/>
          <w:marTop w:val="154"/>
          <w:marBottom w:val="0"/>
          <w:divBdr>
            <w:top w:val="none" w:sz="0" w:space="0" w:color="auto"/>
            <w:left w:val="none" w:sz="0" w:space="0" w:color="auto"/>
            <w:bottom w:val="none" w:sz="0" w:space="0" w:color="auto"/>
            <w:right w:val="none" w:sz="0" w:space="0" w:color="auto"/>
          </w:divBdr>
        </w:div>
        <w:div w:id="1288927863">
          <w:marLeft w:val="547"/>
          <w:marRight w:val="0"/>
          <w:marTop w:val="154"/>
          <w:marBottom w:val="0"/>
          <w:divBdr>
            <w:top w:val="none" w:sz="0" w:space="0" w:color="auto"/>
            <w:left w:val="none" w:sz="0" w:space="0" w:color="auto"/>
            <w:bottom w:val="none" w:sz="0" w:space="0" w:color="auto"/>
            <w:right w:val="none" w:sz="0" w:space="0" w:color="auto"/>
          </w:divBdr>
        </w:div>
      </w:divsChild>
    </w:div>
    <w:div w:id="1288927653">
      <w:marLeft w:val="0"/>
      <w:marRight w:val="0"/>
      <w:marTop w:val="0"/>
      <w:marBottom w:val="0"/>
      <w:divBdr>
        <w:top w:val="none" w:sz="0" w:space="0" w:color="auto"/>
        <w:left w:val="none" w:sz="0" w:space="0" w:color="auto"/>
        <w:bottom w:val="none" w:sz="0" w:space="0" w:color="auto"/>
        <w:right w:val="none" w:sz="0" w:space="0" w:color="auto"/>
      </w:divBdr>
    </w:div>
    <w:div w:id="1288927655">
      <w:marLeft w:val="0"/>
      <w:marRight w:val="0"/>
      <w:marTop w:val="0"/>
      <w:marBottom w:val="0"/>
      <w:divBdr>
        <w:top w:val="none" w:sz="0" w:space="0" w:color="auto"/>
        <w:left w:val="none" w:sz="0" w:space="0" w:color="auto"/>
        <w:bottom w:val="none" w:sz="0" w:space="0" w:color="auto"/>
        <w:right w:val="none" w:sz="0" w:space="0" w:color="auto"/>
      </w:divBdr>
    </w:div>
    <w:div w:id="1288927656">
      <w:marLeft w:val="0"/>
      <w:marRight w:val="0"/>
      <w:marTop w:val="0"/>
      <w:marBottom w:val="0"/>
      <w:divBdr>
        <w:top w:val="none" w:sz="0" w:space="0" w:color="auto"/>
        <w:left w:val="none" w:sz="0" w:space="0" w:color="auto"/>
        <w:bottom w:val="none" w:sz="0" w:space="0" w:color="auto"/>
        <w:right w:val="none" w:sz="0" w:space="0" w:color="auto"/>
      </w:divBdr>
    </w:div>
    <w:div w:id="1288927658">
      <w:marLeft w:val="0"/>
      <w:marRight w:val="0"/>
      <w:marTop w:val="0"/>
      <w:marBottom w:val="0"/>
      <w:divBdr>
        <w:top w:val="none" w:sz="0" w:space="0" w:color="auto"/>
        <w:left w:val="none" w:sz="0" w:space="0" w:color="auto"/>
        <w:bottom w:val="none" w:sz="0" w:space="0" w:color="auto"/>
        <w:right w:val="none" w:sz="0" w:space="0" w:color="auto"/>
      </w:divBdr>
    </w:div>
    <w:div w:id="1288927659">
      <w:marLeft w:val="0"/>
      <w:marRight w:val="0"/>
      <w:marTop w:val="0"/>
      <w:marBottom w:val="0"/>
      <w:divBdr>
        <w:top w:val="none" w:sz="0" w:space="0" w:color="auto"/>
        <w:left w:val="none" w:sz="0" w:space="0" w:color="auto"/>
        <w:bottom w:val="none" w:sz="0" w:space="0" w:color="auto"/>
        <w:right w:val="none" w:sz="0" w:space="0" w:color="auto"/>
      </w:divBdr>
    </w:div>
    <w:div w:id="1288927663">
      <w:marLeft w:val="0"/>
      <w:marRight w:val="0"/>
      <w:marTop w:val="0"/>
      <w:marBottom w:val="0"/>
      <w:divBdr>
        <w:top w:val="none" w:sz="0" w:space="0" w:color="auto"/>
        <w:left w:val="none" w:sz="0" w:space="0" w:color="auto"/>
        <w:bottom w:val="none" w:sz="0" w:space="0" w:color="auto"/>
        <w:right w:val="none" w:sz="0" w:space="0" w:color="auto"/>
      </w:divBdr>
    </w:div>
    <w:div w:id="1288927665">
      <w:marLeft w:val="0"/>
      <w:marRight w:val="0"/>
      <w:marTop w:val="0"/>
      <w:marBottom w:val="0"/>
      <w:divBdr>
        <w:top w:val="none" w:sz="0" w:space="0" w:color="auto"/>
        <w:left w:val="none" w:sz="0" w:space="0" w:color="auto"/>
        <w:bottom w:val="none" w:sz="0" w:space="0" w:color="auto"/>
        <w:right w:val="none" w:sz="0" w:space="0" w:color="auto"/>
      </w:divBdr>
    </w:div>
    <w:div w:id="1288927666">
      <w:marLeft w:val="0"/>
      <w:marRight w:val="0"/>
      <w:marTop w:val="0"/>
      <w:marBottom w:val="0"/>
      <w:divBdr>
        <w:top w:val="none" w:sz="0" w:space="0" w:color="auto"/>
        <w:left w:val="none" w:sz="0" w:space="0" w:color="auto"/>
        <w:bottom w:val="none" w:sz="0" w:space="0" w:color="auto"/>
        <w:right w:val="none" w:sz="0" w:space="0" w:color="auto"/>
      </w:divBdr>
      <w:divsChild>
        <w:div w:id="1288927635">
          <w:marLeft w:val="0"/>
          <w:marRight w:val="0"/>
          <w:marTop w:val="0"/>
          <w:marBottom w:val="0"/>
          <w:divBdr>
            <w:top w:val="none" w:sz="0" w:space="0" w:color="auto"/>
            <w:left w:val="none" w:sz="0" w:space="0" w:color="auto"/>
            <w:bottom w:val="none" w:sz="0" w:space="0" w:color="auto"/>
            <w:right w:val="none" w:sz="0" w:space="0" w:color="auto"/>
          </w:divBdr>
          <w:divsChild>
            <w:div w:id="1288927637">
              <w:marLeft w:val="0"/>
              <w:marRight w:val="0"/>
              <w:marTop w:val="0"/>
              <w:marBottom w:val="0"/>
              <w:divBdr>
                <w:top w:val="none" w:sz="0" w:space="0" w:color="auto"/>
                <w:left w:val="none" w:sz="0" w:space="0" w:color="auto"/>
                <w:bottom w:val="none" w:sz="0" w:space="0" w:color="auto"/>
                <w:right w:val="none" w:sz="0" w:space="0" w:color="auto"/>
              </w:divBdr>
              <w:divsChild>
                <w:div w:id="1288927793">
                  <w:marLeft w:val="0"/>
                  <w:marRight w:val="0"/>
                  <w:marTop w:val="0"/>
                  <w:marBottom w:val="0"/>
                  <w:divBdr>
                    <w:top w:val="none" w:sz="0" w:space="0" w:color="auto"/>
                    <w:left w:val="none" w:sz="0" w:space="0" w:color="auto"/>
                    <w:bottom w:val="none" w:sz="0" w:space="0" w:color="auto"/>
                    <w:right w:val="none" w:sz="0" w:space="0" w:color="auto"/>
                  </w:divBdr>
                  <w:divsChild>
                    <w:div w:id="1288927662">
                      <w:marLeft w:val="1"/>
                      <w:marRight w:val="1"/>
                      <w:marTop w:val="0"/>
                      <w:marBottom w:val="0"/>
                      <w:divBdr>
                        <w:top w:val="none" w:sz="0" w:space="0" w:color="auto"/>
                        <w:left w:val="none" w:sz="0" w:space="0" w:color="auto"/>
                        <w:bottom w:val="none" w:sz="0" w:space="0" w:color="auto"/>
                        <w:right w:val="none" w:sz="0" w:space="0" w:color="auto"/>
                      </w:divBdr>
                      <w:divsChild>
                        <w:div w:id="1288927910">
                          <w:marLeft w:val="0"/>
                          <w:marRight w:val="0"/>
                          <w:marTop w:val="0"/>
                          <w:marBottom w:val="0"/>
                          <w:divBdr>
                            <w:top w:val="none" w:sz="0" w:space="0" w:color="auto"/>
                            <w:left w:val="none" w:sz="0" w:space="0" w:color="auto"/>
                            <w:bottom w:val="none" w:sz="0" w:space="0" w:color="auto"/>
                            <w:right w:val="none" w:sz="0" w:space="0" w:color="auto"/>
                          </w:divBdr>
                          <w:divsChild>
                            <w:div w:id="1288927884">
                              <w:marLeft w:val="0"/>
                              <w:marRight w:val="0"/>
                              <w:marTop w:val="0"/>
                              <w:marBottom w:val="360"/>
                              <w:divBdr>
                                <w:top w:val="none" w:sz="0" w:space="0" w:color="auto"/>
                                <w:left w:val="none" w:sz="0" w:space="0" w:color="auto"/>
                                <w:bottom w:val="none" w:sz="0" w:space="0" w:color="auto"/>
                                <w:right w:val="none" w:sz="0" w:space="0" w:color="auto"/>
                              </w:divBdr>
                              <w:divsChild>
                                <w:div w:id="1288927593">
                                  <w:marLeft w:val="0"/>
                                  <w:marRight w:val="0"/>
                                  <w:marTop w:val="0"/>
                                  <w:marBottom w:val="0"/>
                                  <w:divBdr>
                                    <w:top w:val="none" w:sz="0" w:space="0" w:color="auto"/>
                                    <w:left w:val="none" w:sz="0" w:space="0" w:color="auto"/>
                                    <w:bottom w:val="none" w:sz="0" w:space="0" w:color="auto"/>
                                    <w:right w:val="none" w:sz="0" w:space="0" w:color="auto"/>
                                  </w:divBdr>
                                  <w:divsChild>
                                    <w:div w:id="1288927727">
                                      <w:marLeft w:val="0"/>
                                      <w:marRight w:val="0"/>
                                      <w:marTop w:val="0"/>
                                      <w:marBottom w:val="0"/>
                                      <w:divBdr>
                                        <w:top w:val="none" w:sz="0" w:space="0" w:color="auto"/>
                                        <w:left w:val="none" w:sz="0" w:space="0" w:color="auto"/>
                                        <w:bottom w:val="none" w:sz="0" w:space="0" w:color="auto"/>
                                        <w:right w:val="none" w:sz="0" w:space="0" w:color="auto"/>
                                      </w:divBdr>
                                      <w:divsChild>
                                        <w:div w:id="12889278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288927669">
      <w:marLeft w:val="0"/>
      <w:marRight w:val="0"/>
      <w:marTop w:val="0"/>
      <w:marBottom w:val="0"/>
      <w:divBdr>
        <w:top w:val="none" w:sz="0" w:space="0" w:color="auto"/>
        <w:left w:val="none" w:sz="0" w:space="0" w:color="auto"/>
        <w:bottom w:val="none" w:sz="0" w:space="0" w:color="auto"/>
        <w:right w:val="none" w:sz="0" w:space="0" w:color="auto"/>
      </w:divBdr>
    </w:div>
    <w:div w:id="1288927670">
      <w:marLeft w:val="0"/>
      <w:marRight w:val="0"/>
      <w:marTop w:val="0"/>
      <w:marBottom w:val="0"/>
      <w:divBdr>
        <w:top w:val="none" w:sz="0" w:space="0" w:color="auto"/>
        <w:left w:val="none" w:sz="0" w:space="0" w:color="auto"/>
        <w:bottom w:val="none" w:sz="0" w:space="0" w:color="auto"/>
        <w:right w:val="none" w:sz="0" w:space="0" w:color="auto"/>
      </w:divBdr>
    </w:div>
    <w:div w:id="1288927671">
      <w:marLeft w:val="0"/>
      <w:marRight w:val="0"/>
      <w:marTop w:val="0"/>
      <w:marBottom w:val="0"/>
      <w:divBdr>
        <w:top w:val="none" w:sz="0" w:space="0" w:color="auto"/>
        <w:left w:val="none" w:sz="0" w:space="0" w:color="auto"/>
        <w:bottom w:val="none" w:sz="0" w:space="0" w:color="auto"/>
        <w:right w:val="none" w:sz="0" w:space="0" w:color="auto"/>
      </w:divBdr>
    </w:div>
    <w:div w:id="1288927675">
      <w:marLeft w:val="0"/>
      <w:marRight w:val="0"/>
      <w:marTop w:val="0"/>
      <w:marBottom w:val="0"/>
      <w:divBdr>
        <w:top w:val="none" w:sz="0" w:space="0" w:color="auto"/>
        <w:left w:val="none" w:sz="0" w:space="0" w:color="auto"/>
        <w:bottom w:val="none" w:sz="0" w:space="0" w:color="auto"/>
        <w:right w:val="none" w:sz="0" w:space="0" w:color="auto"/>
      </w:divBdr>
    </w:div>
    <w:div w:id="1288927676">
      <w:marLeft w:val="0"/>
      <w:marRight w:val="0"/>
      <w:marTop w:val="0"/>
      <w:marBottom w:val="0"/>
      <w:divBdr>
        <w:top w:val="none" w:sz="0" w:space="0" w:color="auto"/>
        <w:left w:val="none" w:sz="0" w:space="0" w:color="auto"/>
        <w:bottom w:val="none" w:sz="0" w:space="0" w:color="auto"/>
        <w:right w:val="none" w:sz="0" w:space="0" w:color="auto"/>
      </w:divBdr>
      <w:divsChild>
        <w:div w:id="1288927577">
          <w:marLeft w:val="0"/>
          <w:marRight w:val="0"/>
          <w:marTop w:val="0"/>
          <w:marBottom w:val="0"/>
          <w:divBdr>
            <w:top w:val="none" w:sz="0" w:space="0" w:color="auto"/>
            <w:left w:val="none" w:sz="0" w:space="0" w:color="auto"/>
            <w:bottom w:val="none" w:sz="0" w:space="0" w:color="auto"/>
            <w:right w:val="none" w:sz="0" w:space="0" w:color="auto"/>
          </w:divBdr>
        </w:div>
        <w:div w:id="1288927724">
          <w:marLeft w:val="0"/>
          <w:marRight w:val="0"/>
          <w:marTop w:val="0"/>
          <w:marBottom w:val="0"/>
          <w:divBdr>
            <w:top w:val="none" w:sz="0" w:space="0" w:color="auto"/>
            <w:left w:val="none" w:sz="0" w:space="0" w:color="auto"/>
            <w:bottom w:val="none" w:sz="0" w:space="0" w:color="auto"/>
            <w:right w:val="none" w:sz="0" w:space="0" w:color="auto"/>
          </w:divBdr>
        </w:div>
      </w:divsChild>
    </w:div>
    <w:div w:id="1288927678">
      <w:marLeft w:val="0"/>
      <w:marRight w:val="0"/>
      <w:marTop w:val="0"/>
      <w:marBottom w:val="0"/>
      <w:divBdr>
        <w:top w:val="none" w:sz="0" w:space="0" w:color="auto"/>
        <w:left w:val="none" w:sz="0" w:space="0" w:color="auto"/>
        <w:bottom w:val="none" w:sz="0" w:space="0" w:color="auto"/>
        <w:right w:val="none" w:sz="0" w:space="0" w:color="auto"/>
      </w:divBdr>
    </w:div>
    <w:div w:id="1288927679">
      <w:marLeft w:val="0"/>
      <w:marRight w:val="0"/>
      <w:marTop w:val="0"/>
      <w:marBottom w:val="0"/>
      <w:divBdr>
        <w:top w:val="none" w:sz="0" w:space="0" w:color="auto"/>
        <w:left w:val="none" w:sz="0" w:space="0" w:color="auto"/>
        <w:bottom w:val="none" w:sz="0" w:space="0" w:color="auto"/>
        <w:right w:val="none" w:sz="0" w:space="0" w:color="auto"/>
      </w:divBdr>
    </w:div>
    <w:div w:id="1288927680">
      <w:marLeft w:val="0"/>
      <w:marRight w:val="0"/>
      <w:marTop w:val="0"/>
      <w:marBottom w:val="0"/>
      <w:divBdr>
        <w:top w:val="none" w:sz="0" w:space="0" w:color="auto"/>
        <w:left w:val="none" w:sz="0" w:space="0" w:color="auto"/>
        <w:bottom w:val="none" w:sz="0" w:space="0" w:color="auto"/>
        <w:right w:val="none" w:sz="0" w:space="0" w:color="auto"/>
      </w:divBdr>
    </w:div>
    <w:div w:id="1288927684">
      <w:marLeft w:val="0"/>
      <w:marRight w:val="0"/>
      <w:marTop w:val="0"/>
      <w:marBottom w:val="0"/>
      <w:divBdr>
        <w:top w:val="none" w:sz="0" w:space="0" w:color="auto"/>
        <w:left w:val="none" w:sz="0" w:space="0" w:color="auto"/>
        <w:bottom w:val="none" w:sz="0" w:space="0" w:color="auto"/>
        <w:right w:val="none" w:sz="0" w:space="0" w:color="auto"/>
      </w:divBdr>
    </w:div>
    <w:div w:id="1288927685">
      <w:marLeft w:val="0"/>
      <w:marRight w:val="0"/>
      <w:marTop w:val="0"/>
      <w:marBottom w:val="0"/>
      <w:divBdr>
        <w:top w:val="none" w:sz="0" w:space="0" w:color="auto"/>
        <w:left w:val="none" w:sz="0" w:space="0" w:color="auto"/>
        <w:bottom w:val="none" w:sz="0" w:space="0" w:color="auto"/>
        <w:right w:val="none" w:sz="0" w:space="0" w:color="auto"/>
      </w:divBdr>
    </w:div>
    <w:div w:id="1288927687">
      <w:marLeft w:val="0"/>
      <w:marRight w:val="0"/>
      <w:marTop w:val="0"/>
      <w:marBottom w:val="0"/>
      <w:divBdr>
        <w:top w:val="none" w:sz="0" w:space="0" w:color="auto"/>
        <w:left w:val="none" w:sz="0" w:space="0" w:color="auto"/>
        <w:bottom w:val="none" w:sz="0" w:space="0" w:color="auto"/>
        <w:right w:val="none" w:sz="0" w:space="0" w:color="auto"/>
      </w:divBdr>
    </w:div>
    <w:div w:id="1288927688">
      <w:marLeft w:val="0"/>
      <w:marRight w:val="0"/>
      <w:marTop w:val="0"/>
      <w:marBottom w:val="0"/>
      <w:divBdr>
        <w:top w:val="none" w:sz="0" w:space="0" w:color="auto"/>
        <w:left w:val="none" w:sz="0" w:space="0" w:color="auto"/>
        <w:bottom w:val="none" w:sz="0" w:space="0" w:color="auto"/>
        <w:right w:val="none" w:sz="0" w:space="0" w:color="auto"/>
      </w:divBdr>
      <w:divsChild>
        <w:div w:id="1288927889">
          <w:marLeft w:val="0"/>
          <w:marRight w:val="0"/>
          <w:marTop w:val="0"/>
          <w:marBottom w:val="0"/>
          <w:divBdr>
            <w:top w:val="none" w:sz="0" w:space="0" w:color="auto"/>
            <w:left w:val="none" w:sz="0" w:space="0" w:color="auto"/>
            <w:bottom w:val="none" w:sz="0" w:space="0" w:color="auto"/>
            <w:right w:val="none" w:sz="0" w:space="0" w:color="auto"/>
          </w:divBdr>
        </w:div>
        <w:div w:id="1288927905">
          <w:marLeft w:val="0"/>
          <w:marRight w:val="0"/>
          <w:marTop w:val="0"/>
          <w:marBottom w:val="0"/>
          <w:divBdr>
            <w:top w:val="none" w:sz="0" w:space="0" w:color="auto"/>
            <w:left w:val="none" w:sz="0" w:space="0" w:color="auto"/>
            <w:bottom w:val="none" w:sz="0" w:space="0" w:color="auto"/>
            <w:right w:val="none" w:sz="0" w:space="0" w:color="auto"/>
          </w:divBdr>
        </w:div>
      </w:divsChild>
    </w:div>
    <w:div w:id="1288927689">
      <w:marLeft w:val="0"/>
      <w:marRight w:val="0"/>
      <w:marTop w:val="0"/>
      <w:marBottom w:val="0"/>
      <w:divBdr>
        <w:top w:val="none" w:sz="0" w:space="0" w:color="auto"/>
        <w:left w:val="none" w:sz="0" w:space="0" w:color="auto"/>
        <w:bottom w:val="none" w:sz="0" w:space="0" w:color="auto"/>
        <w:right w:val="none" w:sz="0" w:space="0" w:color="auto"/>
      </w:divBdr>
    </w:div>
    <w:div w:id="1288927692">
      <w:marLeft w:val="0"/>
      <w:marRight w:val="0"/>
      <w:marTop w:val="0"/>
      <w:marBottom w:val="0"/>
      <w:divBdr>
        <w:top w:val="none" w:sz="0" w:space="0" w:color="auto"/>
        <w:left w:val="none" w:sz="0" w:space="0" w:color="auto"/>
        <w:bottom w:val="none" w:sz="0" w:space="0" w:color="auto"/>
        <w:right w:val="none" w:sz="0" w:space="0" w:color="auto"/>
      </w:divBdr>
    </w:div>
    <w:div w:id="1288927693">
      <w:marLeft w:val="0"/>
      <w:marRight w:val="0"/>
      <w:marTop w:val="0"/>
      <w:marBottom w:val="0"/>
      <w:divBdr>
        <w:top w:val="none" w:sz="0" w:space="0" w:color="auto"/>
        <w:left w:val="none" w:sz="0" w:space="0" w:color="auto"/>
        <w:bottom w:val="none" w:sz="0" w:space="0" w:color="auto"/>
        <w:right w:val="none" w:sz="0" w:space="0" w:color="auto"/>
      </w:divBdr>
    </w:div>
    <w:div w:id="1288927694">
      <w:marLeft w:val="0"/>
      <w:marRight w:val="0"/>
      <w:marTop w:val="0"/>
      <w:marBottom w:val="0"/>
      <w:divBdr>
        <w:top w:val="none" w:sz="0" w:space="0" w:color="auto"/>
        <w:left w:val="none" w:sz="0" w:space="0" w:color="auto"/>
        <w:bottom w:val="none" w:sz="0" w:space="0" w:color="auto"/>
        <w:right w:val="none" w:sz="0" w:space="0" w:color="auto"/>
      </w:divBdr>
    </w:div>
    <w:div w:id="1288927695">
      <w:marLeft w:val="0"/>
      <w:marRight w:val="0"/>
      <w:marTop w:val="0"/>
      <w:marBottom w:val="0"/>
      <w:divBdr>
        <w:top w:val="none" w:sz="0" w:space="0" w:color="auto"/>
        <w:left w:val="none" w:sz="0" w:space="0" w:color="auto"/>
        <w:bottom w:val="none" w:sz="0" w:space="0" w:color="auto"/>
        <w:right w:val="none" w:sz="0" w:space="0" w:color="auto"/>
      </w:divBdr>
    </w:div>
    <w:div w:id="1288927697">
      <w:marLeft w:val="0"/>
      <w:marRight w:val="0"/>
      <w:marTop w:val="0"/>
      <w:marBottom w:val="0"/>
      <w:divBdr>
        <w:top w:val="none" w:sz="0" w:space="0" w:color="auto"/>
        <w:left w:val="none" w:sz="0" w:space="0" w:color="auto"/>
        <w:bottom w:val="none" w:sz="0" w:space="0" w:color="auto"/>
        <w:right w:val="none" w:sz="0" w:space="0" w:color="auto"/>
      </w:divBdr>
    </w:div>
    <w:div w:id="1288927698">
      <w:marLeft w:val="0"/>
      <w:marRight w:val="0"/>
      <w:marTop w:val="0"/>
      <w:marBottom w:val="0"/>
      <w:divBdr>
        <w:top w:val="none" w:sz="0" w:space="0" w:color="auto"/>
        <w:left w:val="none" w:sz="0" w:space="0" w:color="auto"/>
        <w:bottom w:val="none" w:sz="0" w:space="0" w:color="auto"/>
        <w:right w:val="none" w:sz="0" w:space="0" w:color="auto"/>
      </w:divBdr>
    </w:div>
    <w:div w:id="1288927701">
      <w:marLeft w:val="0"/>
      <w:marRight w:val="0"/>
      <w:marTop w:val="0"/>
      <w:marBottom w:val="0"/>
      <w:divBdr>
        <w:top w:val="none" w:sz="0" w:space="0" w:color="auto"/>
        <w:left w:val="none" w:sz="0" w:space="0" w:color="auto"/>
        <w:bottom w:val="none" w:sz="0" w:space="0" w:color="auto"/>
        <w:right w:val="none" w:sz="0" w:space="0" w:color="auto"/>
      </w:divBdr>
    </w:div>
    <w:div w:id="1288927703">
      <w:marLeft w:val="0"/>
      <w:marRight w:val="0"/>
      <w:marTop w:val="0"/>
      <w:marBottom w:val="0"/>
      <w:divBdr>
        <w:top w:val="none" w:sz="0" w:space="0" w:color="auto"/>
        <w:left w:val="none" w:sz="0" w:space="0" w:color="auto"/>
        <w:bottom w:val="none" w:sz="0" w:space="0" w:color="auto"/>
        <w:right w:val="none" w:sz="0" w:space="0" w:color="auto"/>
      </w:divBdr>
    </w:div>
    <w:div w:id="1288927705">
      <w:marLeft w:val="0"/>
      <w:marRight w:val="0"/>
      <w:marTop w:val="0"/>
      <w:marBottom w:val="0"/>
      <w:divBdr>
        <w:top w:val="none" w:sz="0" w:space="0" w:color="auto"/>
        <w:left w:val="none" w:sz="0" w:space="0" w:color="auto"/>
        <w:bottom w:val="none" w:sz="0" w:space="0" w:color="auto"/>
        <w:right w:val="none" w:sz="0" w:space="0" w:color="auto"/>
      </w:divBdr>
    </w:div>
    <w:div w:id="1288927707">
      <w:marLeft w:val="0"/>
      <w:marRight w:val="0"/>
      <w:marTop w:val="0"/>
      <w:marBottom w:val="0"/>
      <w:divBdr>
        <w:top w:val="none" w:sz="0" w:space="0" w:color="auto"/>
        <w:left w:val="none" w:sz="0" w:space="0" w:color="auto"/>
        <w:bottom w:val="none" w:sz="0" w:space="0" w:color="auto"/>
        <w:right w:val="none" w:sz="0" w:space="0" w:color="auto"/>
      </w:divBdr>
    </w:div>
    <w:div w:id="1288927710">
      <w:marLeft w:val="0"/>
      <w:marRight w:val="0"/>
      <w:marTop w:val="0"/>
      <w:marBottom w:val="0"/>
      <w:divBdr>
        <w:top w:val="none" w:sz="0" w:space="0" w:color="auto"/>
        <w:left w:val="none" w:sz="0" w:space="0" w:color="auto"/>
        <w:bottom w:val="none" w:sz="0" w:space="0" w:color="auto"/>
        <w:right w:val="none" w:sz="0" w:space="0" w:color="auto"/>
      </w:divBdr>
    </w:div>
    <w:div w:id="1288927712">
      <w:marLeft w:val="0"/>
      <w:marRight w:val="0"/>
      <w:marTop w:val="0"/>
      <w:marBottom w:val="0"/>
      <w:divBdr>
        <w:top w:val="none" w:sz="0" w:space="0" w:color="auto"/>
        <w:left w:val="none" w:sz="0" w:space="0" w:color="auto"/>
        <w:bottom w:val="none" w:sz="0" w:space="0" w:color="auto"/>
        <w:right w:val="none" w:sz="0" w:space="0" w:color="auto"/>
      </w:divBdr>
      <w:divsChild>
        <w:div w:id="1288927861">
          <w:marLeft w:val="0"/>
          <w:marRight w:val="0"/>
          <w:marTop w:val="0"/>
          <w:marBottom w:val="0"/>
          <w:divBdr>
            <w:top w:val="none" w:sz="0" w:space="0" w:color="auto"/>
            <w:left w:val="none" w:sz="0" w:space="0" w:color="auto"/>
            <w:bottom w:val="none" w:sz="0" w:space="0" w:color="auto"/>
            <w:right w:val="none" w:sz="0" w:space="0" w:color="auto"/>
          </w:divBdr>
          <w:divsChild>
            <w:div w:id="1288927699">
              <w:marLeft w:val="0"/>
              <w:marRight w:val="0"/>
              <w:marTop w:val="0"/>
              <w:marBottom w:val="0"/>
              <w:divBdr>
                <w:top w:val="none" w:sz="0" w:space="0" w:color="auto"/>
                <w:left w:val="none" w:sz="0" w:space="0" w:color="auto"/>
                <w:bottom w:val="none" w:sz="0" w:space="0" w:color="auto"/>
                <w:right w:val="none" w:sz="0" w:space="0" w:color="auto"/>
              </w:divBdr>
              <w:divsChild>
                <w:div w:id="12889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7713">
      <w:marLeft w:val="0"/>
      <w:marRight w:val="0"/>
      <w:marTop w:val="0"/>
      <w:marBottom w:val="0"/>
      <w:divBdr>
        <w:top w:val="none" w:sz="0" w:space="0" w:color="auto"/>
        <w:left w:val="none" w:sz="0" w:space="0" w:color="auto"/>
        <w:bottom w:val="none" w:sz="0" w:space="0" w:color="auto"/>
        <w:right w:val="none" w:sz="0" w:space="0" w:color="auto"/>
      </w:divBdr>
    </w:div>
    <w:div w:id="1288927714">
      <w:marLeft w:val="0"/>
      <w:marRight w:val="0"/>
      <w:marTop w:val="0"/>
      <w:marBottom w:val="0"/>
      <w:divBdr>
        <w:top w:val="none" w:sz="0" w:space="0" w:color="auto"/>
        <w:left w:val="none" w:sz="0" w:space="0" w:color="auto"/>
        <w:bottom w:val="none" w:sz="0" w:space="0" w:color="auto"/>
        <w:right w:val="none" w:sz="0" w:space="0" w:color="auto"/>
      </w:divBdr>
      <w:divsChild>
        <w:div w:id="1288927756">
          <w:marLeft w:val="0"/>
          <w:marRight w:val="0"/>
          <w:marTop w:val="0"/>
          <w:marBottom w:val="0"/>
          <w:divBdr>
            <w:top w:val="none" w:sz="0" w:space="0" w:color="auto"/>
            <w:left w:val="none" w:sz="0" w:space="0" w:color="auto"/>
            <w:bottom w:val="none" w:sz="0" w:space="0" w:color="auto"/>
            <w:right w:val="none" w:sz="0" w:space="0" w:color="auto"/>
          </w:divBdr>
          <w:divsChild>
            <w:div w:id="1288927813">
              <w:marLeft w:val="-7455"/>
              <w:marRight w:val="0"/>
              <w:marTop w:val="0"/>
              <w:marBottom w:val="0"/>
              <w:divBdr>
                <w:top w:val="single" w:sz="2" w:space="0" w:color="0000FF"/>
                <w:left w:val="single" w:sz="2" w:space="0" w:color="0000FF"/>
                <w:bottom w:val="single" w:sz="2" w:space="0" w:color="0000FF"/>
                <w:right w:val="single" w:sz="2" w:space="0" w:color="0000FF"/>
              </w:divBdr>
              <w:divsChild>
                <w:div w:id="1288927574">
                  <w:marLeft w:val="0"/>
                  <w:marRight w:val="0"/>
                  <w:marTop w:val="0"/>
                  <w:marBottom w:val="0"/>
                  <w:divBdr>
                    <w:top w:val="single" w:sz="2" w:space="0" w:color="FFFF00"/>
                    <w:left w:val="single" w:sz="2" w:space="0" w:color="FFFF00"/>
                    <w:bottom w:val="single" w:sz="2" w:space="0" w:color="FFFF00"/>
                    <w:right w:val="single" w:sz="2" w:space="0" w:color="FFFF00"/>
                  </w:divBdr>
                  <w:divsChild>
                    <w:div w:id="1288927734">
                      <w:marLeft w:val="0"/>
                      <w:marRight w:val="0"/>
                      <w:marTop w:val="0"/>
                      <w:marBottom w:val="0"/>
                      <w:divBdr>
                        <w:top w:val="single" w:sz="2" w:space="8" w:color="C4C4C4"/>
                        <w:left w:val="single" w:sz="2" w:space="5" w:color="C4C4C4"/>
                        <w:bottom w:val="single" w:sz="2" w:space="8" w:color="C4C4C4"/>
                        <w:right w:val="single" w:sz="2" w:space="5" w:color="C4C4C4"/>
                      </w:divBdr>
                      <w:divsChild>
                        <w:div w:id="1288927821">
                          <w:marLeft w:val="-270"/>
                          <w:marRight w:val="-270"/>
                          <w:marTop w:val="0"/>
                          <w:marBottom w:val="0"/>
                          <w:divBdr>
                            <w:top w:val="none" w:sz="0" w:space="0" w:color="auto"/>
                            <w:left w:val="none" w:sz="0" w:space="0" w:color="auto"/>
                            <w:bottom w:val="none" w:sz="0" w:space="0" w:color="auto"/>
                            <w:right w:val="none" w:sz="0" w:space="0" w:color="auto"/>
                          </w:divBdr>
                          <w:divsChild>
                            <w:div w:id="1288927708">
                              <w:marLeft w:val="0"/>
                              <w:marRight w:val="0"/>
                              <w:marTop w:val="450"/>
                              <w:marBottom w:val="0"/>
                              <w:divBdr>
                                <w:top w:val="none" w:sz="0" w:space="0" w:color="auto"/>
                                <w:left w:val="none" w:sz="0" w:space="0" w:color="auto"/>
                                <w:bottom w:val="none" w:sz="0" w:space="0" w:color="auto"/>
                                <w:right w:val="none" w:sz="0" w:space="0" w:color="auto"/>
                              </w:divBdr>
                              <w:divsChild>
                                <w:div w:id="1288927880">
                                  <w:marLeft w:val="0"/>
                                  <w:marRight w:val="0"/>
                                  <w:marTop w:val="0"/>
                                  <w:marBottom w:val="0"/>
                                  <w:divBdr>
                                    <w:top w:val="none" w:sz="0" w:space="0" w:color="auto"/>
                                    <w:left w:val="none" w:sz="0" w:space="0" w:color="auto"/>
                                    <w:bottom w:val="none" w:sz="0" w:space="0" w:color="auto"/>
                                    <w:right w:val="none" w:sz="0" w:space="0" w:color="auto"/>
                                  </w:divBdr>
                                  <w:divsChild>
                                    <w:div w:id="12889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927716">
      <w:marLeft w:val="0"/>
      <w:marRight w:val="0"/>
      <w:marTop w:val="0"/>
      <w:marBottom w:val="0"/>
      <w:divBdr>
        <w:top w:val="none" w:sz="0" w:space="0" w:color="auto"/>
        <w:left w:val="none" w:sz="0" w:space="0" w:color="auto"/>
        <w:bottom w:val="none" w:sz="0" w:space="0" w:color="auto"/>
        <w:right w:val="none" w:sz="0" w:space="0" w:color="auto"/>
      </w:divBdr>
    </w:div>
    <w:div w:id="1288927717">
      <w:marLeft w:val="0"/>
      <w:marRight w:val="0"/>
      <w:marTop w:val="0"/>
      <w:marBottom w:val="0"/>
      <w:divBdr>
        <w:top w:val="none" w:sz="0" w:space="0" w:color="auto"/>
        <w:left w:val="none" w:sz="0" w:space="0" w:color="auto"/>
        <w:bottom w:val="none" w:sz="0" w:space="0" w:color="auto"/>
        <w:right w:val="none" w:sz="0" w:space="0" w:color="auto"/>
      </w:divBdr>
    </w:div>
    <w:div w:id="1288927718">
      <w:marLeft w:val="0"/>
      <w:marRight w:val="0"/>
      <w:marTop w:val="0"/>
      <w:marBottom w:val="0"/>
      <w:divBdr>
        <w:top w:val="none" w:sz="0" w:space="0" w:color="auto"/>
        <w:left w:val="none" w:sz="0" w:space="0" w:color="auto"/>
        <w:bottom w:val="none" w:sz="0" w:space="0" w:color="auto"/>
        <w:right w:val="none" w:sz="0" w:space="0" w:color="auto"/>
      </w:divBdr>
    </w:div>
    <w:div w:id="1288927719">
      <w:marLeft w:val="0"/>
      <w:marRight w:val="0"/>
      <w:marTop w:val="0"/>
      <w:marBottom w:val="0"/>
      <w:divBdr>
        <w:top w:val="none" w:sz="0" w:space="0" w:color="auto"/>
        <w:left w:val="none" w:sz="0" w:space="0" w:color="auto"/>
        <w:bottom w:val="none" w:sz="0" w:space="0" w:color="auto"/>
        <w:right w:val="none" w:sz="0" w:space="0" w:color="auto"/>
      </w:divBdr>
    </w:div>
    <w:div w:id="1288927720">
      <w:marLeft w:val="0"/>
      <w:marRight w:val="0"/>
      <w:marTop w:val="0"/>
      <w:marBottom w:val="0"/>
      <w:divBdr>
        <w:top w:val="none" w:sz="0" w:space="0" w:color="auto"/>
        <w:left w:val="none" w:sz="0" w:space="0" w:color="auto"/>
        <w:bottom w:val="none" w:sz="0" w:space="0" w:color="auto"/>
        <w:right w:val="none" w:sz="0" w:space="0" w:color="auto"/>
      </w:divBdr>
    </w:div>
    <w:div w:id="1288927721">
      <w:marLeft w:val="0"/>
      <w:marRight w:val="0"/>
      <w:marTop w:val="0"/>
      <w:marBottom w:val="0"/>
      <w:divBdr>
        <w:top w:val="none" w:sz="0" w:space="0" w:color="auto"/>
        <w:left w:val="none" w:sz="0" w:space="0" w:color="auto"/>
        <w:bottom w:val="none" w:sz="0" w:space="0" w:color="auto"/>
        <w:right w:val="none" w:sz="0" w:space="0" w:color="auto"/>
      </w:divBdr>
    </w:div>
    <w:div w:id="1288927722">
      <w:marLeft w:val="0"/>
      <w:marRight w:val="0"/>
      <w:marTop w:val="0"/>
      <w:marBottom w:val="0"/>
      <w:divBdr>
        <w:top w:val="none" w:sz="0" w:space="0" w:color="auto"/>
        <w:left w:val="none" w:sz="0" w:space="0" w:color="auto"/>
        <w:bottom w:val="none" w:sz="0" w:space="0" w:color="auto"/>
        <w:right w:val="none" w:sz="0" w:space="0" w:color="auto"/>
      </w:divBdr>
    </w:div>
    <w:div w:id="1288927725">
      <w:marLeft w:val="0"/>
      <w:marRight w:val="0"/>
      <w:marTop w:val="0"/>
      <w:marBottom w:val="0"/>
      <w:divBdr>
        <w:top w:val="none" w:sz="0" w:space="0" w:color="auto"/>
        <w:left w:val="none" w:sz="0" w:space="0" w:color="auto"/>
        <w:bottom w:val="none" w:sz="0" w:space="0" w:color="auto"/>
        <w:right w:val="none" w:sz="0" w:space="0" w:color="auto"/>
      </w:divBdr>
    </w:div>
    <w:div w:id="1288927728">
      <w:marLeft w:val="0"/>
      <w:marRight w:val="0"/>
      <w:marTop w:val="0"/>
      <w:marBottom w:val="0"/>
      <w:divBdr>
        <w:top w:val="none" w:sz="0" w:space="0" w:color="auto"/>
        <w:left w:val="none" w:sz="0" w:space="0" w:color="auto"/>
        <w:bottom w:val="none" w:sz="0" w:space="0" w:color="auto"/>
        <w:right w:val="none" w:sz="0" w:space="0" w:color="auto"/>
      </w:divBdr>
    </w:div>
    <w:div w:id="1288927730">
      <w:marLeft w:val="0"/>
      <w:marRight w:val="0"/>
      <w:marTop w:val="0"/>
      <w:marBottom w:val="0"/>
      <w:divBdr>
        <w:top w:val="none" w:sz="0" w:space="0" w:color="auto"/>
        <w:left w:val="none" w:sz="0" w:space="0" w:color="auto"/>
        <w:bottom w:val="none" w:sz="0" w:space="0" w:color="auto"/>
        <w:right w:val="none" w:sz="0" w:space="0" w:color="auto"/>
      </w:divBdr>
    </w:div>
    <w:div w:id="1288927731">
      <w:marLeft w:val="0"/>
      <w:marRight w:val="0"/>
      <w:marTop w:val="0"/>
      <w:marBottom w:val="0"/>
      <w:divBdr>
        <w:top w:val="none" w:sz="0" w:space="0" w:color="auto"/>
        <w:left w:val="none" w:sz="0" w:space="0" w:color="auto"/>
        <w:bottom w:val="none" w:sz="0" w:space="0" w:color="auto"/>
        <w:right w:val="none" w:sz="0" w:space="0" w:color="auto"/>
      </w:divBdr>
    </w:div>
    <w:div w:id="1288927732">
      <w:marLeft w:val="0"/>
      <w:marRight w:val="0"/>
      <w:marTop w:val="0"/>
      <w:marBottom w:val="0"/>
      <w:divBdr>
        <w:top w:val="none" w:sz="0" w:space="0" w:color="auto"/>
        <w:left w:val="none" w:sz="0" w:space="0" w:color="auto"/>
        <w:bottom w:val="none" w:sz="0" w:space="0" w:color="auto"/>
        <w:right w:val="none" w:sz="0" w:space="0" w:color="auto"/>
      </w:divBdr>
    </w:div>
    <w:div w:id="1288927735">
      <w:marLeft w:val="0"/>
      <w:marRight w:val="0"/>
      <w:marTop w:val="0"/>
      <w:marBottom w:val="0"/>
      <w:divBdr>
        <w:top w:val="none" w:sz="0" w:space="0" w:color="auto"/>
        <w:left w:val="none" w:sz="0" w:space="0" w:color="auto"/>
        <w:bottom w:val="none" w:sz="0" w:space="0" w:color="auto"/>
        <w:right w:val="none" w:sz="0" w:space="0" w:color="auto"/>
      </w:divBdr>
    </w:div>
    <w:div w:id="1288927736">
      <w:marLeft w:val="0"/>
      <w:marRight w:val="0"/>
      <w:marTop w:val="0"/>
      <w:marBottom w:val="0"/>
      <w:divBdr>
        <w:top w:val="none" w:sz="0" w:space="0" w:color="auto"/>
        <w:left w:val="none" w:sz="0" w:space="0" w:color="auto"/>
        <w:bottom w:val="none" w:sz="0" w:space="0" w:color="auto"/>
        <w:right w:val="none" w:sz="0" w:space="0" w:color="auto"/>
      </w:divBdr>
    </w:div>
    <w:div w:id="1288927738">
      <w:marLeft w:val="0"/>
      <w:marRight w:val="0"/>
      <w:marTop w:val="0"/>
      <w:marBottom w:val="0"/>
      <w:divBdr>
        <w:top w:val="none" w:sz="0" w:space="0" w:color="auto"/>
        <w:left w:val="none" w:sz="0" w:space="0" w:color="auto"/>
        <w:bottom w:val="none" w:sz="0" w:space="0" w:color="auto"/>
        <w:right w:val="none" w:sz="0" w:space="0" w:color="auto"/>
      </w:divBdr>
    </w:div>
    <w:div w:id="1288927741">
      <w:marLeft w:val="0"/>
      <w:marRight w:val="0"/>
      <w:marTop w:val="0"/>
      <w:marBottom w:val="0"/>
      <w:divBdr>
        <w:top w:val="none" w:sz="0" w:space="0" w:color="auto"/>
        <w:left w:val="none" w:sz="0" w:space="0" w:color="auto"/>
        <w:bottom w:val="none" w:sz="0" w:space="0" w:color="auto"/>
        <w:right w:val="none" w:sz="0" w:space="0" w:color="auto"/>
      </w:divBdr>
    </w:div>
    <w:div w:id="1288927742">
      <w:marLeft w:val="0"/>
      <w:marRight w:val="0"/>
      <w:marTop w:val="0"/>
      <w:marBottom w:val="0"/>
      <w:divBdr>
        <w:top w:val="none" w:sz="0" w:space="0" w:color="auto"/>
        <w:left w:val="none" w:sz="0" w:space="0" w:color="auto"/>
        <w:bottom w:val="none" w:sz="0" w:space="0" w:color="auto"/>
        <w:right w:val="none" w:sz="0" w:space="0" w:color="auto"/>
      </w:divBdr>
    </w:div>
    <w:div w:id="1288927745">
      <w:marLeft w:val="0"/>
      <w:marRight w:val="0"/>
      <w:marTop w:val="0"/>
      <w:marBottom w:val="0"/>
      <w:divBdr>
        <w:top w:val="none" w:sz="0" w:space="0" w:color="auto"/>
        <w:left w:val="none" w:sz="0" w:space="0" w:color="auto"/>
        <w:bottom w:val="none" w:sz="0" w:space="0" w:color="auto"/>
        <w:right w:val="none" w:sz="0" w:space="0" w:color="auto"/>
      </w:divBdr>
    </w:div>
    <w:div w:id="1288927746">
      <w:marLeft w:val="0"/>
      <w:marRight w:val="0"/>
      <w:marTop w:val="0"/>
      <w:marBottom w:val="0"/>
      <w:divBdr>
        <w:top w:val="none" w:sz="0" w:space="0" w:color="auto"/>
        <w:left w:val="none" w:sz="0" w:space="0" w:color="auto"/>
        <w:bottom w:val="none" w:sz="0" w:space="0" w:color="auto"/>
        <w:right w:val="none" w:sz="0" w:space="0" w:color="auto"/>
      </w:divBdr>
    </w:div>
    <w:div w:id="1288927749">
      <w:marLeft w:val="0"/>
      <w:marRight w:val="0"/>
      <w:marTop w:val="0"/>
      <w:marBottom w:val="0"/>
      <w:divBdr>
        <w:top w:val="none" w:sz="0" w:space="0" w:color="auto"/>
        <w:left w:val="none" w:sz="0" w:space="0" w:color="auto"/>
        <w:bottom w:val="none" w:sz="0" w:space="0" w:color="auto"/>
        <w:right w:val="none" w:sz="0" w:space="0" w:color="auto"/>
      </w:divBdr>
    </w:div>
    <w:div w:id="1288927750">
      <w:marLeft w:val="0"/>
      <w:marRight w:val="0"/>
      <w:marTop w:val="0"/>
      <w:marBottom w:val="0"/>
      <w:divBdr>
        <w:top w:val="none" w:sz="0" w:space="0" w:color="auto"/>
        <w:left w:val="none" w:sz="0" w:space="0" w:color="auto"/>
        <w:bottom w:val="none" w:sz="0" w:space="0" w:color="auto"/>
        <w:right w:val="none" w:sz="0" w:space="0" w:color="auto"/>
      </w:divBdr>
    </w:div>
    <w:div w:id="1288927752">
      <w:marLeft w:val="0"/>
      <w:marRight w:val="0"/>
      <w:marTop w:val="0"/>
      <w:marBottom w:val="0"/>
      <w:divBdr>
        <w:top w:val="none" w:sz="0" w:space="0" w:color="auto"/>
        <w:left w:val="none" w:sz="0" w:space="0" w:color="auto"/>
        <w:bottom w:val="none" w:sz="0" w:space="0" w:color="auto"/>
        <w:right w:val="none" w:sz="0" w:space="0" w:color="auto"/>
      </w:divBdr>
    </w:div>
    <w:div w:id="1288927758">
      <w:marLeft w:val="0"/>
      <w:marRight w:val="0"/>
      <w:marTop w:val="0"/>
      <w:marBottom w:val="0"/>
      <w:divBdr>
        <w:top w:val="none" w:sz="0" w:space="0" w:color="auto"/>
        <w:left w:val="none" w:sz="0" w:space="0" w:color="auto"/>
        <w:bottom w:val="none" w:sz="0" w:space="0" w:color="auto"/>
        <w:right w:val="none" w:sz="0" w:space="0" w:color="auto"/>
      </w:divBdr>
    </w:div>
    <w:div w:id="1288927761">
      <w:marLeft w:val="0"/>
      <w:marRight w:val="0"/>
      <w:marTop w:val="0"/>
      <w:marBottom w:val="0"/>
      <w:divBdr>
        <w:top w:val="none" w:sz="0" w:space="0" w:color="auto"/>
        <w:left w:val="none" w:sz="0" w:space="0" w:color="auto"/>
        <w:bottom w:val="none" w:sz="0" w:space="0" w:color="auto"/>
        <w:right w:val="none" w:sz="0" w:space="0" w:color="auto"/>
      </w:divBdr>
    </w:div>
    <w:div w:id="1288927762">
      <w:marLeft w:val="0"/>
      <w:marRight w:val="0"/>
      <w:marTop w:val="0"/>
      <w:marBottom w:val="0"/>
      <w:divBdr>
        <w:top w:val="none" w:sz="0" w:space="0" w:color="auto"/>
        <w:left w:val="none" w:sz="0" w:space="0" w:color="auto"/>
        <w:bottom w:val="none" w:sz="0" w:space="0" w:color="auto"/>
        <w:right w:val="none" w:sz="0" w:space="0" w:color="auto"/>
      </w:divBdr>
    </w:div>
    <w:div w:id="1288927763">
      <w:marLeft w:val="0"/>
      <w:marRight w:val="0"/>
      <w:marTop w:val="0"/>
      <w:marBottom w:val="0"/>
      <w:divBdr>
        <w:top w:val="none" w:sz="0" w:space="0" w:color="auto"/>
        <w:left w:val="none" w:sz="0" w:space="0" w:color="auto"/>
        <w:bottom w:val="none" w:sz="0" w:space="0" w:color="auto"/>
        <w:right w:val="none" w:sz="0" w:space="0" w:color="auto"/>
      </w:divBdr>
    </w:div>
    <w:div w:id="1288927764">
      <w:marLeft w:val="0"/>
      <w:marRight w:val="0"/>
      <w:marTop w:val="0"/>
      <w:marBottom w:val="0"/>
      <w:divBdr>
        <w:top w:val="none" w:sz="0" w:space="0" w:color="auto"/>
        <w:left w:val="none" w:sz="0" w:space="0" w:color="auto"/>
        <w:bottom w:val="none" w:sz="0" w:space="0" w:color="auto"/>
        <w:right w:val="none" w:sz="0" w:space="0" w:color="auto"/>
      </w:divBdr>
    </w:div>
    <w:div w:id="1288927768">
      <w:marLeft w:val="0"/>
      <w:marRight w:val="0"/>
      <w:marTop w:val="0"/>
      <w:marBottom w:val="0"/>
      <w:divBdr>
        <w:top w:val="none" w:sz="0" w:space="0" w:color="auto"/>
        <w:left w:val="none" w:sz="0" w:space="0" w:color="auto"/>
        <w:bottom w:val="none" w:sz="0" w:space="0" w:color="auto"/>
        <w:right w:val="none" w:sz="0" w:space="0" w:color="auto"/>
      </w:divBdr>
    </w:div>
    <w:div w:id="1288927769">
      <w:marLeft w:val="0"/>
      <w:marRight w:val="0"/>
      <w:marTop w:val="0"/>
      <w:marBottom w:val="0"/>
      <w:divBdr>
        <w:top w:val="none" w:sz="0" w:space="0" w:color="auto"/>
        <w:left w:val="none" w:sz="0" w:space="0" w:color="auto"/>
        <w:bottom w:val="none" w:sz="0" w:space="0" w:color="auto"/>
        <w:right w:val="none" w:sz="0" w:space="0" w:color="auto"/>
      </w:divBdr>
    </w:div>
    <w:div w:id="1288927770">
      <w:marLeft w:val="0"/>
      <w:marRight w:val="0"/>
      <w:marTop w:val="0"/>
      <w:marBottom w:val="0"/>
      <w:divBdr>
        <w:top w:val="none" w:sz="0" w:space="0" w:color="auto"/>
        <w:left w:val="none" w:sz="0" w:space="0" w:color="auto"/>
        <w:bottom w:val="none" w:sz="0" w:space="0" w:color="auto"/>
        <w:right w:val="none" w:sz="0" w:space="0" w:color="auto"/>
      </w:divBdr>
    </w:div>
    <w:div w:id="1288927774">
      <w:marLeft w:val="0"/>
      <w:marRight w:val="0"/>
      <w:marTop w:val="0"/>
      <w:marBottom w:val="0"/>
      <w:divBdr>
        <w:top w:val="none" w:sz="0" w:space="0" w:color="auto"/>
        <w:left w:val="none" w:sz="0" w:space="0" w:color="auto"/>
        <w:bottom w:val="none" w:sz="0" w:space="0" w:color="auto"/>
        <w:right w:val="none" w:sz="0" w:space="0" w:color="auto"/>
      </w:divBdr>
    </w:div>
    <w:div w:id="1288927775">
      <w:marLeft w:val="0"/>
      <w:marRight w:val="0"/>
      <w:marTop w:val="0"/>
      <w:marBottom w:val="0"/>
      <w:divBdr>
        <w:top w:val="none" w:sz="0" w:space="0" w:color="auto"/>
        <w:left w:val="none" w:sz="0" w:space="0" w:color="auto"/>
        <w:bottom w:val="none" w:sz="0" w:space="0" w:color="auto"/>
        <w:right w:val="none" w:sz="0" w:space="0" w:color="auto"/>
      </w:divBdr>
    </w:div>
    <w:div w:id="1288927777">
      <w:marLeft w:val="0"/>
      <w:marRight w:val="0"/>
      <w:marTop w:val="0"/>
      <w:marBottom w:val="0"/>
      <w:divBdr>
        <w:top w:val="none" w:sz="0" w:space="0" w:color="auto"/>
        <w:left w:val="none" w:sz="0" w:space="0" w:color="auto"/>
        <w:bottom w:val="none" w:sz="0" w:space="0" w:color="auto"/>
        <w:right w:val="none" w:sz="0" w:space="0" w:color="auto"/>
      </w:divBdr>
    </w:div>
    <w:div w:id="1288927778">
      <w:marLeft w:val="0"/>
      <w:marRight w:val="0"/>
      <w:marTop w:val="0"/>
      <w:marBottom w:val="0"/>
      <w:divBdr>
        <w:top w:val="none" w:sz="0" w:space="0" w:color="auto"/>
        <w:left w:val="none" w:sz="0" w:space="0" w:color="auto"/>
        <w:bottom w:val="none" w:sz="0" w:space="0" w:color="auto"/>
        <w:right w:val="none" w:sz="0" w:space="0" w:color="auto"/>
      </w:divBdr>
    </w:div>
    <w:div w:id="1288927779">
      <w:marLeft w:val="0"/>
      <w:marRight w:val="0"/>
      <w:marTop w:val="0"/>
      <w:marBottom w:val="0"/>
      <w:divBdr>
        <w:top w:val="none" w:sz="0" w:space="0" w:color="auto"/>
        <w:left w:val="none" w:sz="0" w:space="0" w:color="auto"/>
        <w:bottom w:val="none" w:sz="0" w:space="0" w:color="auto"/>
        <w:right w:val="none" w:sz="0" w:space="0" w:color="auto"/>
      </w:divBdr>
    </w:div>
    <w:div w:id="1288927780">
      <w:marLeft w:val="0"/>
      <w:marRight w:val="0"/>
      <w:marTop w:val="0"/>
      <w:marBottom w:val="0"/>
      <w:divBdr>
        <w:top w:val="none" w:sz="0" w:space="0" w:color="auto"/>
        <w:left w:val="none" w:sz="0" w:space="0" w:color="auto"/>
        <w:bottom w:val="none" w:sz="0" w:space="0" w:color="auto"/>
        <w:right w:val="none" w:sz="0" w:space="0" w:color="auto"/>
      </w:divBdr>
    </w:div>
    <w:div w:id="1288927781">
      <w:marLeft w:val="0"/>
      <w:marRight w:val="0"/>
      <w:marTop w:val="0"/>
      <w:marBottom w:val="0"/>
      <w:divBdr>
        <w:top w:val="none" w:sz="0" w:space="0" w:color="auto"/>
        <w:left w:val="none" w:sz="0" w:space="0" w:color="auto"/>
        <w:bottom w:val="none" w:sz="0" w:space="0" w:color="auto"/>
        <w:right w:val="none" w:sz="0" w:space="0" w:color="auto"/>
      </w:divBdr>
    </w:div>
    <w:div w:id="1288927782">
      <w:marLeft w:val="0"/>
      <w:marRight w:val="0"/>
      <w:marTop w:val="0"/>
      <w:marBottom w:val="0"/>
      <w:divBdr>
        <w:top w:val="none" w:sz="0" w:space="0" w:color="auto"/>
        <w:left w:val="none" w:sz="0" w:space="0" w:color="auto"/>
        <w:bottom w:val="none" w:sz="0" w:space="0" w:color="auto"/>
        <w:right w:val="none" w:sz="0" w:space="0" w:color="auto"/>
      </w:divBdr>
    </w:div>
    <w:div w:id="1288927783">
      <w:marLeft w:val="0"/>
      <w:marRight w:val="0"/>
      <w:marTop w:val="0"/>
      <w:marBottom w:val="0"/>
      <w:divBdr>
        <w:top w:val="none" w:sz="0" w:space="0" w:color="auto"/>
        <w:left w:val="none" w:sz="0" w:space="0" w:color="auto"/>
        <w:bottom w:val="none" w:sz="0" w:space="0" w:color="auto"/>
        <w:right w:val="none" w:sz="0" w:space="0" w:color="auto"/>
      </w:divBdr>
    </w:div>
    <w:div w:id="1288927787">
      <w:marLeft w:val="0"/>
      <w:marRight w:val="0"/>
      <w:marTop w:val="0"/>
      <w:marBottom w:val="0"/>
      <w:divBdr>
        <w:top w:val="none" w:sz="0" w:space="0" w:color="auto"/>
        <w:left w:val="none" w:sz="0" w:space="0" w:color="auto"/>
        <w:bottom w:val="none" w:sz="0" w:space="0" w:color="auto"/>
        <w:right w:val="none" w:sz="0" w:space="0" w:color="auto"/>
      </w:divBdr>
    </w:div>
    <w:div w:id="1288927789">
      <w:marLeft w:val="0"/>
      <w:marRight w:val="0"/>
      <w:marTop w:val="0"/>
      <w:marBottom w:val="0"/>
      <w:divBdr>
        <w:top w:val="none" w:sz="0" w:space="0" w:color="auto"/>
        <w:left w:val="none" w:sz="0" w:space="0" w:color="auto"/>
        <w:bottom w:val="none" w:sz="0" w:space="0" w:color="auto"/>
        <w:right w:val="none" w:sz="0" w:space="0" w:color="auto"/>
      </w:divBdr>
    </w:div>
    <w:div w:id="1288927790">
      <w:marLeft w:val="0"/>
      <w:marRight w:val="0"/>
      <w:marTop w:val="0"/>
      <w:marBottom w:val="0"/>
      <w:divBdr>
        <w:top w:val="none" w:sz="0" w:space="0" w:color="auto"/>
        <w:left w:val="none" w:sz="0" w:space="0" w:color="auto"/>
        <w:bottom w:val="none" w:sz="0" w:space="0" w:color="auto"/>
        <w:right w:val="none" w:sz="0" w:space="0" w:color="auto"/>
      </w:divBdr>
    </w:div>
    <w:div w:id="1288927791">
      <w:marLeft w:val="0"/>
      <w:marRight w:val="0"/>
      <w:marTop w:val="0"/>
      <w:marBottom w:val="0"/>
      <w:divBdr>
        <w:top w:val="none" w:sz="0" w:space="0" w:color="auto"/>
        <w:left w:val="none" w:sz="0" w:space="0" w:color="auto"/>
        <w:bottom w:val="none" w:sz="0" w:space="0" w:color="auto"/>
        <w:right w:val="none" w:sz="0" w:space="0" w:color="auto"/>
      </w:divBdr>
    </w:div>
    <w:div w:id="1288927794">
      <w:marLeft w:val="0"/>
      <w:marRight w:val="0"/>
      <w:marTop w:val="0"/>
      <w:marBottom w:val="0"/>
      <w:divBdr>
        <w:top w:val="none" w:sz="0" w:space="0" w:color="auto"/>
        <w:left w:val="none" w:sz="0" w:space="0" w:color="auto"/>
        <w:bottom w:val="none" w:sz="0" w:space="0" w:color="auto"/>
        <w:right w:val="none" w:sz="0" w:space="0" w:color="auto"/>
      </w:divBdr>
    </w:div>
    <w:div w:id="1288927795">
      <w:marLeft w:val="0"/>
      <w:marRight w:val="0"/>
      <w:marTop w:val="0"/>
      <w:marBottom w:val="0"/>
      <w:divBdr>
        <w:top w:val="none" w:sz="0" w:space="0" w:color="auto"/>
        <w:left w:val="none" w:sz="0" w:space="0" w:color="auto"/>
        <w:bottom w:val="none" w:sz="0" w:space="0" w:color="auto"/>
        <w:right w:val="none" w:sz="0" w:space="0" w:color="auto"/>
      </w:divBdr>
    </w:div>
    <w:div w:id="1288927796">
      <w:marLeft w:val="0"/>
      <w:marRight w:val="0"/>
      <w:marTop w:val="0"/>
      <w:marBottom w:val="0"/>
      <w:divBdr>
        <w:top w:val="none" w:sz="0" w:space="0" w:color="auto"/>
        <w:left w:val="none" w:sz="0" w:space="0" w:color="auto"/>
        <w:bottom w:val="none" w:sz="0" w:space="0" w:color="auto"/>
        <w:right w:val="none" w:sz="0" w:space="0" w:color="auto"/>
      </w:divBdr>
    </w:div>
    <w:div w:id="1288927797">
      <w:marLeft w:val="0"/>
      <w:marRight w:val="0"/>
      <w:marTop w:val="0"/>
      <w:marBottom w:val="0"/>
      <w:divBdr>
        <w:top w:val="none" w:sz="0" w:space="0" w:color="auto"/>
        <w:left w:val="none" w:sz="0" w:space="0" w:color="auto"/>
        <w:bottom w:val="none" w:sz="0" w:space="0" w:color="auto"/>
        <w:right w:val="none" w:sz="0" w:space="0" w:color="auto"/>
      </w:divBdr>
    </w:div>
    <w:div w:id="1288927798">
      <w:marLeft w:val="0"/>
      <w:marRight w:val="0"/>
      <w:marTop w:val="0"/>
      <w:marBottom w:val="0"/>
      <w:divBdr>
        <w:top w:val="none" w:sz="0" w:space="0" w:color="auto"/>
        <w:left w:val="none" w:sz="0" w:space="0" w:color="auto"/>
        <w:bottom w:val="none" w:sz="0" w:space="0" w:color="auto"/>
        <w:right w:val="none" w:sz="0" w:space="0" w:color="auto"/>
      </w:divBdr>
    </w:div>
    <w:div w:id="1288927799">
      <w:marLeft w:val="0"/>
      <w:marRight w:val="0"/>
      <w:marTop w:val="0"/>
      <w:marBottom w:val="0"/>
      <w:divBdr>
        <w:top w:val="none" w:sz="0" w:space="0" w:color="auto"/>
        <w:left w:val="none" w:sz="0" w:space="0" w:color="auto"/>
        <w:bottom w:val="none" w:sz="0" w:space="0" w:color="auto"/>
        <w:right w:val="none" w:sz="0" w:space="0" w:color="auto"/>
      </w:divBdr>
    </w:div>
    <w:div w:id="1288927800">
      <w:marLeft w:val="0"/>
      <w:marRight w:val="0"/>
      <w:marTop w:val="0"/>
      <w:marBottom w:val="0"/>
      <w:divBdr>
        <w:top w:val="none" w:sz="0" w:space="0" w:color="auto"/>
        <w:left w:val="none" w:sz="0" w:space="0" w:color="auto"/>
        <w:bottom w:val="none" w:sz="0" w:space="0" w:color="auto"/>
        <w:right w:val="none" w:sz="0" w:space="0" w:color="auto"/>
      </w:divBdr>
    </w:div>
    <w:div w:id="1288927803">
      <w:marLeft w:val="0"/>
      <w:marRight w:val="0"/>
      <w:marTop w:val="0"/>
      <w:marBottom w:val="0"/>
      <w:divBdr>
        <w:top w:val="none" w:sz="0" w:space="0" w:color="auto"/>
        <w:left w:val="none" w:sz="0" w:space="0" w:color="auto"/>
        <w:bottom w:val="none" w:sz="0" w:space="0" w:color="auto"/>
        <w:right w:val="none" w:sz="0" w:space="0" w:color="auto"/>
      </w:divBdr>
    </w:div>
    <w:div w:id="1288927804">
      <w:marLeft w:val="0"/>
      <w:marRight w:val="0"/>
      <w:marTop w:val="0"/>
      <w:marBottom w:val="0"/>
      <w:divBdr>
        <w:top w:val="none" w:sz="0" w:space="0" w:color="auto"/>
        <w:left w:val="none" w:sz="0" w:space="0" w:color="auto"/>
        <w:bottom w:val="none" w:sz="0" w:space="0" w:color="auto"/>
        <w:right w:val="none" w:sz="0" w:space="0" w:color="auto"/>
      </w:divBdr>
    </w:div>
    <w:div w:id="1288927805">
      <w:marLeft w:val="0"/>
      <w:marRight w:val="0"/>
      <w:marTop w:val="0"/>
      <w:marBottom w:val="0"/>
      <w:divBdr>
        <w:top w:val="none" w:sz="0" w:space="0" w:color="auto"/>
        <w:left w:val="none" w:sz="0" w:space="0" w:color="auto"/>
        <w:bottom w:val="none" w:sz="0" w:space="0" w:color="auto"/>
        <w:right w:val="none" w:sz="0" w:space="0" w:color="auto"/>
      </w:divBdr>
    </w:div>
    <w:div w:id="1288927806">
      <w:marLeft w:val="0"/>
      <w:marRight w:val="0"/>
      <w:marTop w:val="0"/>
      <w:marBottom w:val="0"/>
      <w:divBdr>
        <w:top w:val="none" w:sz="0" w:space="0" w:color="auto"/>
        <w:left w:val="none" w:sz="0" w:space="0" w:color="auto"/>
        <w:bottom w:val="none" w:sz="0" w:space="0" w:color="auto"/>
        <w:right w:val="none" w:sz="0" w:space="0" w:color="auto"/>
      </w:divBdr>
    </w:div>
    <w:div w:id="1288927807">
      <w:marLeft w:val="0"/>
      <w:marRight w:val="0"/>
      <w:marTop w:val="0"/>
      <w:marBottom w:val="0"/>
      <w:divBdr>
        <w:top w:val="none" w:sz="0" w:space="0" w:color="auto"/>
        <w:left w:val="none" w:sz="0" w:space="0" w:color="auto"/>
        <w:bottom w:val="none" w:sz="0" w:space="0" w:color="auto"/>
        <w:right w:val="none" w:sz="0" w:space="0" w:color="auto"/>
      </w:divBdr>
    </w:div>
    <w:div w:id="1288927808">
      <w:marLeft w:val="0"/>
      <w:marRight w:val="0"/>
      <w:marTop w:val="0"/>
      <w:marBottom w:val="0"/>
      <w:divBdr>
        <w:top w:val="none" w:sz="0" w:space="0" w:color="auto"/>
        <w:left w:val="none" w:sz="0" w:space="0" w:color="auto"/>
        <w:bottom w:val="none" w:sz="0" w:space="0" w:color="auto"/>
        <w:right w:val="none" w:sz="0" w:space="0" w:color="auto"/>
      </w:divBdr>
      <w:divsChild>
        <w:div w:id="1288927767">
          <w:marLeft w:val="0"/>
          <w:marRight w:val="0"/>
          <w:marTop w:val="0"/>
          <w:marBottom w:val="0"/>
          <w:divBdr>
            <w:top w:val="none" w:sz="0" w:space="0" w:color="auto"/>
            <w:left w:val="none" w:sz="0" w:space="0" w:color="auto"/>
            <w:bottom w:val="none" w:sz="0" w:space="0" w:color="auto"/>
            <w:right w:val="none" w:sz="0" w:space="0" w:color="auto"/>
          </w:divBdr>
          <w:divsChild>
            <w:div w:id="1288927555">
              <w:marLeft w:val="0"/>
              <w:marRight w:val="0"/>
              <w:marTop w:val="0"/>
              <w:marBottom w:val="0"/>
              <w:divBdr>
                <w:top w:val="none" w:sz="0" w:space="0" w:color="auto"/>
                <w:left w:val="none" w:sz="0" w:space="0" w:color="auto"/>
                <w:bottom w:val="none" w:sz="0" w:space="0" w:color="auto"/>
                <w:right w:val="none" w:sz="0" w:space="0" w:color="auto"/>
              </w:divBdr>
            </w:div>
            <w:div w:id="1288927605">
              <w:marLeft w:val="0"/>
              <w:marRight w:val="0"/>
              <w:marTop w:val="0"/>
              <w:marBottom w:val="0"/>
              <w:divBdr>
                <w:top w:val="none" w:sz="0" w:space="0" w:color="auto"/>
                <w:left w:val="none" w:sz="0" w:space="0" w:color="auto"/>
                <w:bottom w:val="none" w:sz="0" w:space="0" w:color="auto"/>
                <w:right w:val="none" w:sz="0" w:space="0" w:color="auto"/>
              </w:divBdr>
            </w:div>
            <w:div w:id="1288927690">
              <w:marLeft w:val="0"/>
              <w:marRight w:val="0"/>
              <w:marTop w:val="0"/>
              <w:marBottom w:val="0"/>
              <w:divBdr>
                <w:top w:val="none" w:sz="0" w:space="0" w:color="auto"/>
                <w:left w:val="none" w:sz="0" w:space="0" w:color="auto"/>
                <w:bottom w:val="none" w:sz="0" w:space="0" w:color="auto"/>
                <w:right w:val="none" w:sz="0" w:space="0" w:color="auto"/>
              </w:divBdr>
            </w:div>
            <w:div w:id="1288927696">
              <w:marLeft w:val="0"/>
              <w:marRight w:val="0"/>
              <w:marTop w:val="0"/>
              <w:marBottom w:val="0"/>
              <w:divBdr>
                <w:top w:val="none" w:sz="0" w:space="0" w:color="auto"/>
                <w:left w:val="none" w:sz="0" w:space="0" w:color="auto"/>
                <w:bottom w:val="none" w:sz="0" w:space="0" w:color="auto"/>
                <w:right w:val="none" w:sz="0" w:space="0" w:color="auto"/>
              </w:divBdr>
            </w:div>
            <w:div w:id="1288927757">
              <w:marLeft w:val="0"/>
              <w:marRight w:val="0"/>
              <w:marTop w:val="0"/>
              <w:marBottom w:val="0"/>
              <w:divBdr>
                <w:top w:val="none" w:sz="0" w:space="0" w:color="auto"/>
                <w:left w:val="none" w:sz="0" w:space="0" w:color="auto"/>
                <w:bottom w:val="none" w:sz="0" w:space="0" w:color="auto"/>
                <w:right w:val="none" w:sz="0" w:space="0" w:color="auto"/>
              </w:divBdr>
            </w:div>
            <w:div w:id="1288927760">
              <w:marLeft w:val="0"/>
              <w:marRight w:val="0"/>
              <w:marTop w:val="0"/>
              <w:marBottom w:val="0"/>
              <w:divBdr>
                <w:top w:val="none" w:sz="0" w:space="0" w:color="auto"/>
                <w:left w:val="none" w:sz="0" w:space="0" w:color="auto"/>
                <w:bottom w:val="none" w:sz="0" w:space="0" w:color="auto"/>
                <w:right w:val="none" w:sz="0" w:space="0" w:color="auto"/>
              </w:divBdr>
            </w:div>
            <w:div w:id="1288927771">
              <w:marLeft w:val="0"/>
              <w:marRight w:val="0"/>
              <w:marTop w:val="0"/>
              <w:marBottom w:val="0"/>
              <w:divBdr>
                <w:top w:val="none" w:sz="0" w:space="0" w:color="auto"/>
                <w:left w:val="none" w:sz="0" w:space="0" w:color="auto"/>
                <w:bottom w:val="none" w:sz="0" w:space="0" w:color="auto"/>
                <w:right w:val="none" w:sz="0" w:space="0" w:color="auto"/>
              </w:divBdr>
            </w:div>
            <w:div w:id="1288927853">
              <w:marLeft w:val="0"/>
              <w:marRight w:val="0"/>
              <w:marTop w:val="0"/>
              <w:marBottom w:val="0"/>
              <w:divBdr>
                <w:top w:val="none" w:sz="0" w:space="0" w:color="auto"/>
                <w:left w:val="none" w:sz="0" w:space="0" w:color="auto"/>
                <w:bottom w:val="none" w:sz="0" w:space="0" w:color="auto"/>
                <w:right w:val="none" w:sz="0" w:space="0" w:color="auto"/>
              </w:divBdr>
            </w:div>
            <w:div w:id="1288927888">
              <w:marLeft w:val="0"/>
              <w:marRight w:val="0"/>
              <w:marTop w:val="0"/>
              <w:marBottom w:val="0"/>
              <w:divBdr>
                <w:top w:val="none" w:sz="0" w:space="0" w:color="auto"/>
                <w:left w:val="none" w:sz="0" w:space="0" w:color="auto"/>
                <w:bottom w:val="none" w:sz="0" w:space="0" w:color="auto"/>
                <w:right w:val="none" w:sz="0" w:space="0" w:color="auto"/>
              </w:divBdr>
            </w:div>
            <w:div w:id="1288927919">
              <w:marLeft w:val="0"/>
              <w:marRight w:val="0"/>
              <w:marTop w:val="0"/>
              <w:marBottom w:val="0"/>
              <w:divBdr>
                <w:top w:val="none" w:sz="0" w:space="0" w:color="auto"/>
                <w:left w:val="none" w:sz="0" w:space="0" w:color="auto"/>
                <w:bottom w:val="none" w:sz="0" w:space="0" w:color="auto"/>
                <w:right w:val="none" w:sz="0" w:space="0" w:color="auto"/>
              </w:divBdr>
            </w:div>
            <w:div w:id="12889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7809">
      <w:marLeft w:val="0"/>
      <w:marRight w:val="0"/>
      <w:marTop w:val="0"/>
      <w:marBottom w:val="0"/>
      <w:divBdr>
        <w:top w:val="none" w:sz="0" w:space="0" w:color="auto"/>
        <w:left w:val="none" w:sz="0" w:space="0" w:color="auto"/>
        <w:bottom w:val="none" w:sz="0" w:space="0" w:color="auto"/>
        <w:right w:val="none" w:sz="0" w:space="0" w:color="auto"/>
      </w:divBdr>
    </w:div>
    <w:div w:id="1288927810">
      <w:marLeft w:val="0"/>
      <w:marRight w:val="0"/>
      <w:marTop w:val="0"/>
      <w:marBottom w:val="0"/>
      <w:divBdr>
        <w:top w:val="none" w:sz="0" w:space="0" w:color="auto"/>
        <w:left w:val="none" w:sz="0" w:space="0" w:color="auto"/>
        <w:bottom w:val="none" w:sz="0" w:space="0" w:color="auto"/>
        <w:right w:val="none" w:sz="0" w:space="0" w:color="auto"/>
      </w:divBdr>
    </w:div>
    <w:div w:id="1288927811">
      <w:marLeft w:val="0"/>
      <w:marRight w:val="0"/>
      <w:marTop w:val="0"/>
      <w:marBottom w:val="0"/>
      <w:divBdr>
        <w:top w:val="none" w:sz="0" w:space="0" w:color="auto"/>
        <w:left w:val="none" w:sz="0" w:space="0" w:color="auto"/>
        <w:bottom w:val="none" w:sz="0" w:space="0" w:color="auto"/>
        <w:right w:val="none" w:sz="0" w:space="0" w:color="auto"/>
      </w:divBdr>
    </w:div>
    <w:div w:id="1288927812">
      <w:marLeft w:val="0"/>
      <w:marRight w:val="0"/>
      <w:marTop w:val="0"/>
      <w:marBottom w:val="0"/>
      <w:divBdr>
        <w:top w:val="none" w:sz="0" w:space="0" w:color="auto"/>
        <w:left w:val="none" w:sz="0" w:space="0" w:color="auto"/>
        <w:bottom w:val="none" w:sz="0" w:space="0" w:color="auto"/>
        <w:right w:val="none" w:sz="0" w:space="0" w:color="auto"/>
      </w:divBdr>
    </w:div>
    <w:div w:id="1288927814">
      <w:marLeft w:val="0"/>
      <w:marRight w:val="0"/>
      <w:marTop w:val="0"/>
      <w:marBottom w:val="0"/>
      <w:divBdr>
        <w:top w:val="none" w:sz="0" w:space="0" w:color="auto"/>
        <w:left w:val="none" w:sz="0" w:space="0" w:color="auto"/>
        <w:bottom w:val="none" w:sz="0" w:space="0" w:color="auto"/>
        <w:right w:val="none" w:sz="0" w:space="0" w:color="auto"/>
      </w:divBdr>
    </w:div>
    <w:div w:id="1288927815">
      <w:marLeft w:val="0"/>
      <w:marRight w:val="0"/>
      <w:marTop w:val="0"/>
      <w:marBottom w:val="0"/>
      <w:divBdr>
        <w:top w:val="none" w:sz="0" w:space="0" w:color="auto"/>
        <w:left w:val="none" w:sz="0" w:space="0" w:color="auto"/>
        <w:bottom w:val="none" w:sz="0" w:space="0" w:color="auto"/>
        <w:right w:val="none" w:sz="0" w:space="0" w:color="auto"/>
      </w:divBdr>
    </w:div>
    <w:div w:id="1288927816">
      <w:marLeft w:val="0"/>
      <w:marRight w:val="0"/>
      <w:marTop w:val="0"/>
      <w:marBottom w:val="0"/>
      <w:divBdr>
        <w:top w:val="none" w:sz="0" w:space="0" w:color="auto"/>
        <w:left w:val="none" w:sz="0" w:space="0" w:color="auto"/>
        <w:bottom w:val="none" w:sz="0" w:space="0" w:color="auto"/>
        <w:right w:val="none" w:sz="0" w:space="0" w:color="auto"/>
      </w:divBdr>
      <w:divsChild>
        <w:div w:id="1288927622">
          <w:marLeft w:val="0"/>
          <w:marRight w:val="0"/>
          <w:marTop w:val="0"/>
          <w:marBottom w:val="0"/>
          <w:divBdr>
            <w:top w:val="none" w:sz="0" w:space="0" w:color="auto"/>
            <w:left w:val="none" w:sz="0" w:space="0" w:color="auto"/>
            <w:bottom w:val="none" w:sz="0" w:space="0" w:color="auto"/>
            <w:right w:val="none" w:sz="0" w:space="0" w:color="auto"/>
          </w:divBdr>
        </w:div>
        <w:div w:id="1288927648">
          <w:marLeft w:val="0"/>
          <w:marRight w:val="0"/>
          <w:marTop w:val="0"/>
          <w:marBottom w:val="0"/>
          <w:divBdr>
            <w:top w:val="none" w:sz="0" w:space="0" w:color="auto"/>
            <w:left w:val="none" w:sz="0" w:space="0" w:color="auto"/>
            <w:bottom w:val="none" w:sz="0" w:space="0" w:color="auto"/>
            <w:right w:val="none" w:sz="0" w:space="0" w:color="auto"/>
          </w:divBdr>
        </w:div>
        <w:div w:id="1288927668">
          <w:marLeft w:val="0"/>
          <w:marRight w:val="0"/>
          <w:marTop w:val="0"/>
          <w:marBottom w:val="0"/>
          <w:divBdr>
            <w:top w:val="none" w:sz="0" w:space="0" w:color="auto"/>
            <w:left w:val="none" w:sz="0" w:space="0" w:color="auto"/>
            <w:bottom w:val="none" w:sz="0" w:space="0" w:color="auto"/>
            <w:right w:val="none" w:sz="0" w:space="0" w:color="auto"/>
          </w:divBdr>
        </w:div>
        <w:div w:id="1288927765">
          <w:marLeft w:val="0"/>
          <w:marRight w:val="0"/>
          <w:marTop w:val="0"/>
          <w:marBottom w:val="0"/>
          <w:divBdr>
            <w:top w:val="none" w:sz="0" w:space="0" w:color="auto"/>
            <w:left w:val="none" w:sz="0" w:space="0" w:color="auto"/>
            <w:bottom w:val="none" w:sz="0" w:space="0" w:color="auto"/>
            <w:right w:val="none" w:sz="0" w:space="0" w:color="auto"/>
          </w:divBdr>
        </w:div>
        <w:div w:id="1288927878">
          <w:marLeft w:val="0"/>
          <w:marRight w:val="0"/>
          <w:marTop w:val="0"/>
          <w:marBottom w:val="0"/>
          <w:divBdr>
            <w:top w:val="none" w:sz="0" w:space="0" w:color="auto"/>
            <w:left w:val="none" w:sz="0" w:space="0" w:color="auto"/>
            <w:bottom w:val="none" w:sz="0" w:space="0" w:color="auto"/>
            <w:right w:val="none" w:sz="0" w:space="0" w:color="auto"/>
          </w:divBdr>
        </w:div>
      </w:divsChild>
    </w:div>
    <w:div w:id="1288927818">
      <w:marLeft w:val="0"/>
      <w:marRight w:val="0"/>
      <w:marTop w:val="0"/>
      <w:marBottom w:val="0"/>
      <w:divBdr>
        <w:top w:val="none" w:sz="0" w:space="0" w:color="auto"/>
        <w:left w:val="none" w:sz="0" w:space="0" w:color="auto"/>
        <w:bottom w:val="none" w:sz="0" w:space="0" w:color="auto"/>
        <w:right w:val="none" w:sz="0" w:space="0" w:color="auto"/>
      </w:divBdr>
    </w:div>
    <w:div w:id="1288927822">
      <w:marLeft w:val="0"/>
      <w:marRight w:val="0"/>
      <w:marTop w:val="0"/>
      <w:marBottom w:val="0"/>
      <w:divBdr>
        <w:top w:val="none" w:sz="0" w:space="0" w:color="auto"/>
        <w:left w:val="none" w:sz="0" w:space="0" w:color="auto"/>
        <w:bottom w:val="none" w:sz="0" w:space="0" w:color="auto"/>
        <w:right w:val="none" w:sz="0" w:space="0" w:color="auto"/>
      </w:divBdr>
    </w:div>
    <w:div w:id="1288927823">
      <w:marLeft w:val="0"/>
      <w:marRight w:val="0"/>
      <w:marTop w:val="0"/>
      <w:marBottom w:val="0"/>
      <w:divBdr>
        <w:top w:val="none" w:sz="0" w:space="0" w:color="auto"/>
        <w:left w:val="none" w:sz="0" w:space="0" w:color="auto"/>
        <w:bottom w:val="none" w:sz="0" w:space="0" w:color="auto"/>
        <w:right w:val="none" w:sz="0" w:space="0" w:color="auto"/>
      </w:divBdr>
    </w:div>
    <w:div w:id="1288927825">
      <w:marLeft w:val="0"/>
      <w:marRight w:val="0"/>
      <w:marTop w:val="0"/>
      <w:marBottom w:val="0"/>
      <w:divBdr>
        <w:top w:val="none" w:sz="0" w:space="0" w:color="auto"/>
        <w:left w:val="none" w:sz="0" w:space="0" w:color="auto"/>
        <w:bottom w:val="none" w:sz="0" w:space="0" w:color="auto"/>
        <w:right w:val="none" w:sz="0" w:space="0" w:color="auto"/>
      </w:divBdr>
    </w:div>
    <w:div w:id="1288927826">
      <w:marLeft w:val="0"/>
      <w:marRight w:val="0"/>
      <w:marTop w:val="0"/>
      <w:marBottom w:val="0"/>
      <w:divBdr>
        <w:top w:val="none" w:sz="0" w:space="0" w:color="auto"/>
        <w:left w:val="none" w:sz="0" w:space="0" w:color="auto"/>
        <w:bottom w:val="none" w:sz="0" w:space="0" w:color="auto"/>
        <w:right w:val="none" w:sz="0" w:space="0" w:color="auto"/>
      </w:divBdr>
      <w:divsChild>
        <w:div w:id="1288927891">
          <w:marLeft w:val="0"/>
          <w:marRight w:val="0"/>
          <w:marTop w:val="0"/>
          <w:marBottom w:val="0"/>
          <w:divBdr>
            <w:top w:val="none" w:sz="0" w:space="0" w:color="auto"/>
            <w:left w:val="none" w:sz="0" w:space="0" w:color="auto"/>
            <w:bottom w:val="none" w:sz="0" w:space="0" w:color="auto"/>
            <w:right w:val="none" w:sz="0" w:space="0" w:color="auto"/>
          </w:divBdr>
          <w:divsChild>
            <w:div w:id="1288927596">
              <w:marLeft w:val="0"/>
              <w:marRight w:val="0"/>
              <w:marTop w:val="0"/>
              <w:marBottom w:val="0"/>
              <w:divBdr>
                <w:top w:val="none" w:sz="0" w:space="0" w:color="auto"/>
                <w:left w:val="none" w:sz="0" w:space="0" w:color="auto"/>
                <w:bottom w:val="none" w:sz="0" w:space="0" w:color="auto"/>
                <w:right w:val="none" w:sz="0" w:space="0" w:color="auto"/>
              </w:divBdr>
            </w:div>
            <w:div w:id="1288927682">
              <w:marLeft w:val="0"/>
              <w:marRight w:val="0"/>
              <w:marTop w:val="0"/>
              <w:marBottom w:val="0"/>
              <w:divBdr>
                <w:top w:val="none" w:sz="0" w:space="0" w:color="auto"/>
                <w:left w:val="none" w:sz="0" w:space="0" w:color="auto"/>
                <w:bottom w:val="none" w:sz="0" w:space="0" w:color="auto"/>
                <w:right w:val="none" w:sz="0" w:space="0" w:color="auto"/>
              </w:divBdr>
            </w:div>
            <w:div w:id="1288927683">
              <w:marLeft w:val="0"/>
              <w:marRight w:val="0"/>
              <w:marTop w:val="0"/>
              <w:marBottom w:val="0"/>
              <w:divBdr>
                <w:top w:val="none" w:sz="0" w:space="0" w:color="auto"/>
                <w:left w:val="none" w:sz="0" w:space="0" w:color="auto"/>
                <w:bottom w:val="none" w:sz="0" w:space="0" w:color="auto"/>
                <w:right w:val="none" w:sz="0" w:space="0" w:color="auto"/>
              </w:divBdr>
            </w:div>
            <w:div w:id="1288927726">
              <w:marLeft w:val="0"/>
              <w:marRight w:val="0"/>
              <w:marTop w:val="0"/>
              <w:marBottom w:val="0"/>
              <w:divBdr>
                <w:top w:val="none" w:sz="0" w:space="0" w:color="auto"/>
                <w:left w:val="none" w:sz="0" w:space="0" w:color="auto"/>
                <w:bottom w:val="none" w:sz="0" w:space="0" w:color="auto"/>
                <w:right w:val="none" w:sz="0" w:space="0" w:color="auto"/>
              </w:divBdr>
            </w:div>
            <w:div w:id="1288927739">
              <w:marLeft w:val="0"/>
              <w:marRight w:val="0"/>
              <w:marTop w:val="0"/>
              <w:marBottom w:val="0"/>
              <w:divBdr>
                <w:top w:val="none" w:sz="0" w:space="0" w:color="auto"/>
                <w:left w:val="none" w:sz="0" w:space="0" w:color="auto"/>
                <w:bottom w:val="none" w:sz="0" w:space="0" w:color="auto"/>
                <w:right w:val="none" w:sz="0" w:space="0" w:color="auto"/>
              </w:divBdr>
            </w:div>
            <w:div w:id="1288927754">
              <w:marLeft w:val="0"/>
              <w:marRight w:val="0"/>
              <w:marTop w:val="0"/>
              <w:marBottom w:val="0"/>
              <w:divBdr>
                <w:top w:val="none" w:sz="0" w:space="0" w:color="auto"/>
                <w:left w:val="none" w:sz="0" w:space="0" w:color="auto"/>
                <w:bottom w:val="none" w:sz="0" w:space="0" w:color="auto"/>
                <w:right w:val="none" w:sz="0" w:space="0" w:color="auto"/>
              </w:divBdr>
            </w:div>
            <w:div w:id="1288927759">
              <w:marLeft w:val="0"/>
              <w:marRight w:val="0"/>
              <w:marTop w:val="0"/>
              <w:marBottom w:val="0"/>
              <w:divBdr>
                <w:top w:val="none" w:sz="0" w:space="0" w:color="auto"/>
                <w:left w:val="none" w:sz="0" w:space="0" w:color="auto"/>
                <w:bottom w:val="none" w:sz="0" w:space="0" w:color="auto"/>
                <w:right w:val="none" w:sz="0" w:space="0" w:color="auto"/>
              </w:divBdr>
            </w:div>
            <w:div w:id="1288927820">
              <w:marLeft w:val="0"/>
              <w:marRight w:val="0"/>
              <w:marTop w:val="0"/>
              <w:marBottom w:val="0"/>
              <w:divBdr>
                <w:top w:val="none" w:sz="0" w:space="0" w:color="auto"/>
                <w:left w:val="none" w:sz="0" w:space="0" w:color="auto"/>
                <w:bottom w:val="none" w:sz="0" w:space="0" w:color="auto"/>
                <w:right w:val="none" w:sz="0" w:space="0" w:color="auto"/>
              </w:divBdr>
            </w:div>
            <w:div w:id="1288927849">
              <w:marLeft w:val="0"/>
              <w:marRight w:val="0"/>
              <w:marTop w:val="0"/>
              <w:marBottom w:val="0"/>
              <w:divBdr>
                <w:top w:val="none" w:sz="0" w:space="0" w:color="auto"/>
                <w:left w:val="none" w:sz="0" w:space="0" w:color="auto"/>
                <w:bottom w:val="none" w:sz="0" w:space="0" w:color="auto"/>
                <w:right w:val="none" w:sz="0" w:space="0" w:color="auto"/>
              </w:divBdr>
            </w:div>
            <w:div w:id="1288927865">
              <w:marLeft w:val="0"/>
              <w:marRight w:val="0"/>
              <w:marTop w:val="0"/>
              <w:marBottom w:val="0"/>
              <w:divBdr>
                <w:top w:val="none" w:sz="0" w:space="0" w:color="auto"/>
                <w:left w:val="none" w:sz="0" w:space="0" w:color="auto"/>
                <w:bottom w:val="none" w:sz="0" w:space="0" w:color="auto"/>
                <w:right w:val="none" w:sz="0" w:space="0" w:color="auto"/>
              </w:divBdr>
            </w:div>
            <w:div w:id="12889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7828">
      <w:marLeft w:val="0"/>
      <w:marRight w:val="0"/>
      <w:marTop w:val="0"/>
      <w:marBottom w:val="0"/>
      <w:divBdr>
        <w:top w:val="none" w:sz="0" w:space="0" w:color="auto"/>
        <w:left w:val="none" w:sz="0" w:space="0" w:color="auto"/>
        <w:bottom w:val="none" w:sz="0" w:space="0" w:color="auto"/>
        <w:right w:val="none" w:sz="0" w:space="0" w:color="auto"/>
      </w:divBdr>
    </w:div>
    <w:div w:id="1288927829">
      <w:marLeft w:val="0"/>
      <w:marRight w:val="0"/>
      <w:marTop w:val="0"/>
      <w:marBottom w:val="0"/>
      <w:divBdr>
        <w:top w:val="none" w:sz="0" w:space="0" w:color="auto"/>
        <w:left w:val="none" w:sz="0" w:space="0" w:color="auto"/>
        <w:bottom w:val="none" w:sz="0" w:space="0" w:color="auto"/>
        <w:right w:val="none" w:sz="0" w:space="0" w:color="auto"/>
      </w:divBdr>
    </w:div>
    <w:div w:id="1288927830">
      <w:marLeft w:val="0"/>
      <w:marRight w:val="0"/>
      <w:marTop w:val="0"/>
      <w:marBottom w:val="0"/>
      <w:divBdr>
        <w:top w:val="none" w:sz="0" w:space="0" w:color="auto"/>
        <w:left w:val="none" w:sz="0" w:space="0" w:color="auto"/>
        <w:bottom w:val="none" w:sz="0" w:space="0" w:color="auto"/>
        <w:right w:val="none" w:sz="0" w:space="0" w:color="auto"/>
      </w:divBdr>
    </w:div>
    <w:div w:id="1288927831">
      <w:marLeft w:val="0"/>
      <w:marRight w:val="0"/>
      <w:marTop w:val="0"/>
      <w:marBottom w:val="0"/>
      <w:divBdr>
        <w:top w:val="none" w:sz="0" w:space="0" w:color="auto"/>
        <w:left w:val="none" w:sz="0" w:space="0" w:color="auto"/>
        <w:bottom w:val="none" w:sz="0" w:space="0" w:color="auto"/>
        <w:right w:val="none" w:sz="0" w:space="0" w:color="auto"/>
      </w:divBdr>
    </w:div>
    <w:div w:id="1288927832">
      <w:marLeft w:val="0"/>
      <w:marRight w:val="0"/>
      <w:marTop w:val="0"/>
      <w:marBottom w:val="0"/>
      <w:divBdr>
        <w:top w:val="none" w:sz="0" w:space="0" w:color="auto"/>
        <w:left w:val="none" w:sz="0" w:space="0" w:color="auto"/>
        <w:bottom w:val="none" w:sz="0" w:space="0" w:color="auto"/>
        <w:right w:val="none" w:sz="0" w:space="0" w:color="auto"/>
      </w:divBdr>
    </w:div>
    <w:div w:id="1288927833">
      <w:marLeft w:val="0"/>
      <w:marRight w:val="0"/>
      <w:marTop w:val="0"/>
      <w:marBottom w:val="0"/>
      <w:divBdr>
        <w:top w:val="none" w:sz="0" w:space="0" w:color="auto"/>
        <w:left w:val="none" w:sz="0" w:space="0" w:color="auto"/>
        <w:bottom w:val="none" w:sz="0" w:space="0" w:color="auto"/>
        <w:right w:val="none" w:sz="0" w:space="0" w:color="auto"/>
      </w:divBdr>
    </w:div>
    <w:div w:id="1288927834">
      <w:marLeft w:val="0"/>
      <w:marRight w:val="0"/>
      <w:marTop w:val="0"/>
      <w:marBottom w:val="0"/>
      <w:divBdr>
        <w:top w:val="none" w:sz="0" w:space="0" w:color="auto"/>
        <w:left w:val="none" w:sz="0" w:space="0" w:color="auto"/>
        <w:bottom w:val="none" w:sz="0" w:space="0" w:color="auto"/>
        <w:right w:val="none" w:sz="0" w:space="0" w:color="auto"/>
      </w:divBdr>
    </w:div>
    <w:div w:id="1288927836">
      <w:marLeft w:val="0"/>
      <w:marRight w:val="0"/>
      <w:marTop w:val="0"/>
      <w:marBottom w:val="0"/>
      <w:divBdr>
        <w:top w:val="none" w:sz="0" w:space="0" w:color="auto"/>
        <w:left w:val="none" w:sz="0" w:space="0" w:color="auto"/>
        <w:bottom w:val="none" w:sz="0" w:space="0" w:color="auto"/>
        <w:right w:val="none" w:sz="0" w:space="0" w:color="auto"/>
      </w:divBdr>
    </w:div>
    <w:div w:id="1288927837">
      <w:marLeft w:val="0"/>
      <w:marRight w:val="0"/>
      <w:marTop w:val="0"/>
      <w:marBottom w:val="0"/>
      <w:divBdr>
        <w:top w:val="none" w:sz="0" w:space="0" w:color="auto"/>
        <w:left w:val="none" w:sz="0" w:space="0" w:color="auto"/>
        <w:bottom w:val="none" w:sz="0" w:space="0" w:color="auto"/>
        <w:right w:val="none" w:sz="0" w:space="0" w:color="auto"/>
      </w:divBdr>
    </w:div>
    <w:div w:id="1288927838">
      <w:marLeft w:val="0"/>
      <w:marRight w:val="0"/>
      <w:marTop w:val="0"/>
      <w:marBottom w:val="0"/>
      <w:divBdr>
        <w:top w:val="none" w:sz="0" w:space="0" w:color="auto"/>
        <w:left w:val="none" w:sz="0" w:space="0" w:color="auto"/>
        <w:bottom w:val="none" w:sz="0" w:space="0" w:color="auto"/>
        <w:right w:val="none" w:sz="0" w:space="0" w:color="auto"/>
      </w:divBdr>
    </w:div>
    <w:div w:id="1288927839">
      <w:marLeft w:val="0"/>
      <w:marRight w:val="0"/>
      <w:marTop w:val="0"/>
      <w:marBottom w:val="0"/>
      <w:divBdr>
        <w:top w:val="none" w:sz="0" w:space="0" w:color="auto"/>
        <w:left w:val="none" w:sz="0" w:space="0" w:color="auto"/>
        <w:bottom w:val="none" w:sz="0" w:space="0" w:color="auto"/>
        <w:right w:val="none" w:sz="0" w:space="0" w:color="auto"/>
      </w:divBdr>
    </w:div>
    <w:div w:id="1288927840">
      <w:marLeft w:val="0"/>
      <w:marRight w:val="0"/>
      <w:marTop w:val="0"/>
      <w:marBottom w:val="0"/>
      <w:divBdr>
        <w:top w:val="none" w:sz="0" w:space="0" w:color="auto"/>
        <w:left w:val="none" w:sz="0" w:space="0" w:color="auto"/>
        <w:bottom w:val="none" w:sz="0" w:space="0" w:color="auto"/>
        <w:right w:val="none" w:sz="0" w:space="0" w:color="auto"/>
      </w:divBdr>
    </w:div>
    <w:div w:id="1288927842">
      <w:marLeft w:val="0"/>
      <w:marRight w:val="0"/>
      <w:marTop w:val="0"/>
      <w:marBottom w:val="0"/>
      <w:divBdr>
        <w:top w:val="none" w:sz="0" w:space="0" w:color="auto"/>
        <w:left w:val="none" w:sz="0" w:space="0" w:color="auto"/>
        <w:bottom w:val="none" w:sz="0" w:space="0" w:color="auto"/>
        <w:right w:val="none" w:sz="0" w:space="0" w:color="auto"/>
      </w:divBdr>
    </w:div>
    <w:div w:id="1288927843">
      <w:marLeft w:val="0"/>
      <w:marRight w:val="0"/>
      <w:marTop w:val="0"/>
      <w:marBottom w:val="0"/>
      <w:divBdr>
        <w:top w:val="none" w:sz="0" w:space="0" w:color="auto"/>
        <w:left w:val="none" w:sz="0" w:space="0" w:color="auto"/>
        <w:bottom w:val="none" w:sz="0" w:space="0" w:color="auto"/>
        <w:right w:val="none" w:sz="0" w:space="0" w:color="auto"/>
      </w:divBdr>
      <w:divsChild>
        <w:div w:id="1288927608">
          <w:marLeft w:val="446"/>
          <w:marRight w:val="0"/>
          <w:marTop w:val="0"/>
          <w:marBottom w:val="0"/>
          <w:divBdr>
            <w:top w:val="none" w:sz="0" w:space="0" w:color="auto"/>
            <w:left w:val="none" w:sz="0" w:space="0" w:color="auto"/>
            <w:bottom w:val="none" w:sz="0" w:space="0" w:color="auto"/>
            <w:right w:val="none" w:sz="0" w:space="0" w:color="auto"/>
          </w:divBdr>
        </w:div>
        <w:div w:id="1288927672">
          <w:marLeft w:val="446"/>
          <w:marRight w:val="0"/>
          <w:marTop w:val="0"/>
          <w:marBottom w:val="0"/>
          <w:divBdr>
            <w:top w:val="none" w:sz="0" w:space="0" w:color="auto"/>
            <w:left w:val="none" w:sz="0" w:space="0" w:color="auto"/>
            <w:bottom w:val="none" w:sz="0" w:space="0" w:color="auto"/>
            <w:right w:val="none" w:sz="0" w:space="0" w:color="auto"/>
          </w:divBdr>
        </w:div>
      </w:divsChild>
    </w:div>
    <w:div w:id="1288927844">
      <w:marLeft w:val="0"/>
      <w:marRight w:val="0"/>
      <w:marTop w:val="0"/>
      <w:marBottom w:val="0"/>
      <w:divBdr>
        <w:top w:val="none" w:sz="0" w:space="0" w:color="auto"/>
        <w:left w:val="none" w:sz="0" w:space="0" w:color="auto"/>
        <w:bottom w:val="none" w:sz="0" w:space="0" w:color="auto"/>
        <w:right w:val="none" w:sz="0" w:space="0" w:color="auto"/>
      </w:divBdr>
    </w:div>
    <w:div w:id="1288927846">
      <w:marLeft w:val="0"/>
      <w:marRight w:val="0"/>
      <w:marTop w:val="0"/>
      <w:marBottom w:val="0"/>
      <w:divBdr>
        <w:top w:val="none" w:sz="0" w:space="0" w:color="auto"/>
        <w:left w:val="none" w:sz="0" w:space="0" w:color="auto"/>
        <w:bottom w:val="none" w:sz="0" w:space="0" w:color="auto"/>
        <w:right w:val="none" w:sz="0" w:space="0" w:color="auto"/>
      </w:divBdr>
    </w:div>
    <w:div w:id="1288927847">
      <w:marLeft w:val="0"/>
      <w:marRight w:val="0"/>
      <w:marTop w:val="0"/>
      <w:marBottom w:val="0"/>
      <w:divBdr>
        <w:top w:val="none" w:sz="0" w:space="0" w:color="auto"/>
        <w:left w:val="none" w:sz="0" w:space="0" w:color="auto"/>
        <w:bottom w:val="none" w:sz="0" w:space="0" w:color="auto"/>
        <w:right w:val="none" w:sz="0" w:space="0" w:color="auto"/>
      </w:divBdr>
    </w:div>
    <w:div w:id="1288927848">
      <w:marLeft w:val="0"/>
      <w:marRight w:val="0"/>
      <w:marTop w:val="0"/>
      <w:marBottom w:val="0"/>
      <w:divBdr>
        <w:top w:val="none" w:sz="0" w:space="0" w:color="auto"/>
        <w:left w:val="none" w:sz="0" w:space="0" w:color="auto"/>
        <w:bottom w:val="none" w:sz="0" w:space="0" w:color="auto"/>
        <w:right w:val="none" w:sz="0" w:space="0" w:color="auto"/>
      </w:divBdr>
    </w:div>
    <w:div w:id="1288927850">
      <w:marLeft w:val="0"/>
      <w:marRight w:val="0"/>
      <w:marTop w:val="0"/>
      <w:marBottom w:val="0"/>
      <w:divBdr>
        <w:top w:val="none" w:sz="0" w:space="0" w:color="auto"/>
        <w:left w:val="none" w:sz="0" w:space="0" w:color="auto"/>
        <w:bottom w:val="none" w:sz="0" w:space="0" w:color="auto"/>
        <w:right w:val="none" w:sz="0" w:space="0" w:color="auto"/>
      </w:divBdr>
    </w:div>
    <w:div w:id="1288927851">
      <w:marLeft w:val="0"/>
      <w:marRight w:val="0"/>
      <w:marTop w:val="0"/>
      <w:marBottom w:val="0"/>
      <w:divBdr>
        <w:top w:val="none" w:sz="0" w:space="0" w:color="auto"/>
        <w:left w:val="none" w:sz="0" w:space="0" w:color="auto"/>
        <w:bottom w:val="none" w:sz="0" w:space="0" w:color="auto"/>
        <w:right w:val="none" w:sz="0" w:space="0" w:color="auto"/>
      </w:divBdr>
    </w:div>
    <w:div w:id="1288927854">
      <w:marLeft w:val="0"/>
      <w:marRight w:val="0"/>
      <w:marTop w:val="0"/>
      <w:marBottom w:val="0"/>
      <w:divBdr>
        <w:top w:val="none" w:sz="0" w:space="0" w:color="auto"/>
        <w:left w:val="none" w:sz="0" w:space="0" w:color="auto"/>
        <w:bottom w:val="none" w:sz="0" w:space="0" w:color="auto"/>
        <w:right w:val="none" w:sz="0" w:space="0" w:color="auto"/>
      </w:divBdr>
    </w:div>
    <w:div w:id="1288927855">
      <w:marLeft w:val="0"/>
      <w:marRight w:val="0"/>
      <w:marTop w:val="0"/>
      <w:marBottom w:val="0"/>
      <w:divBdr>
        <w:top w:val="none" w:sz="0" w:space="0" w:color="auto"/>
        <w:left w:val="none" w:sz="0" w:space="0" w:color="auto"/>
        <w:bottom w:val="none" w:sz="0" w:space="0" w:color="auto"/>
        <w:right w:val="none" w:sz="0" w:space="0" w:color="auto"/>
      </w:divBdr>
    </w:div>
    <w:div w:id="1288927856">
      <w:marLeft w:val="0"/>
      <w:marRight w:val="0"/>
      <w:marTop w:val="0"/>
      <w:marBottom w:val="0"/>
      <w:divBdr>
        <w:top w:val="none" w:sz="0" w:space="0" w:color="auto"/>
        <w:left w:val="none" w:sz="0" w:space="0" w:color="auto"/>
        <w:bottom w:val="none" w:sz="0" w:space="0" w:color="auto"/>
        <w:right w:val="none" w:sz="0" w:space="0" w:color="auto"/>
      </w:divBdr>
    </w:div>
    <w:div w:id="1288927857">
      <w:marLeft w:val="0"/>
      <w:marRight w:val="0"/>
      <w:marTop w:val="0"/>
      <w:marBottom w:val="0"/>
      <w:divBdr>
        <w:top w:val="none" w:sz="0" w:space="0" w:color="auto"/>
        <w:left w:val="none" w:sz="0" w:space="0" w:color="auto"/>
        <w:bottom w:val="none" w:sz="0" w:space="0" w:color="auto"/>
        <w:right w:val="none" w:sz="0" w:space="0" w:color="auto"/>
      </w:divBdr>
    </w:div>
    <w:div w:id="1288927858">
      <w:marLeft w:val="0"/>
      <w:marRight w:val="0"/>
      <w:marTop w:val="0"/>
      <w:marBottom w:val="0"/>
      <w:divBdr>
        <w:top w:val="none" w:sz="0" w:space="0" w:color="auto"/>
        <w:left w:val="none" w:sz="0" w:space="0" w:color="auto"/>
        <w:bottom w:val="none" w:sz="0" w:space="0" w:color="auto"/>
        <w:right w:val="none" w:sz="0" w:space="0" w:color="auto"/>
      </w:divBdr>
    </w:div>
    <w:div w:id="1288927859">
      <w:marLeft w:val="0"/>
      <w:marRight w:val="0"/>
      <w:marTop w:val="0"/>
      <w:marBottom w:val="0"/>
      <w:divBdr>
        <w:top w:val="none" w:sz="0" w:space="0" w:color="auto"/>
        <w:left w:val="none" w:sz="0" w:space="0" w:color="auto"/>
        <w:bottom w:val="none" w:sz="0" w:space="0" w:color="auto"/>
        <w:right w:val="none" w:sz="0" w:space="0" w:color="auto"/>
      </w:divBdr>
    </w:div>
    <w:div w:id="1288927862">
      <w:marLeft w:val="0"/>
      <w:marRight w:val="0"/>
      <w:marTop w:val="0"/>
      <w:marBottom w:val="0"/>
      <w:divBdr>
        <w:top w:val="none" w:sz="0" w:space="0" w:color="auto"/>
        <w:left w:val="none" w:sz="0" w:space="0" w:color="auto"/>
        <w:bottom w:val="none" w:sz="0" w:space="0" w:color="auto"/>
        <w:right w:val="none" w:sz="0" w:space="0" w:color="auto"/>
      </w:divBdr>
    </w:div>
    <w:div w:id="1288927864">
      <w:marLeft w:val="0"/>
      <w:marRight w:val="0"/>
      <w:marTop w:val="0"/>
      <w:marBottom w:val="0"/>
      <w:divBdr>
        <w:top w:val="none" w:sz="0" w:space="0" w:color="auto"/>
        <w:left w:val="none" w:sz="0" w:space="0" w:color="auto"/>
        <w:bottom w:val="none" w:sz="0" w:space="0" w:color="auto"/>
        <w:right w:val="none" w:sz="0" w:space="0" w:color="auto"/>
      </w:divBdr>
    </w:div>
    <w:div w:id="1288927866">
      <w:marLeft w:val="0"/>
      <w:marRight w:val="0"/>
      <w:marTop w:val="0"/>
      <w:marBottom w:val="0"/>
      <w:divBdr>
        <w:top w:val="none" w:sz="0" w:space="0" w:color="auto"/>
        <w:left w:val="none" w:sz="0" w:space="0" w:color="auto"/>
        <w:bottom w:val="none" w:sz="0" w:space="0" w:color="auto"/>
        <w:right w:val="none" w:sz="0" w:space="0" w:color="auto"/>
      </w:divBdr>
    </w:div>
    <w:div w:id="1288927867">
      <w:marLeft w:val="0"/>
      <w:marRight w:val="0"/>
      <w:marTop w:val="0"/>
      <w:marBottom w:val="0"/>
      <w:divBdr>
        <w:top w:val="none" w:sz="0" w:space="0" w:color="auto"/>
        <w:left w:val="none" w:sz="0" w:space="0" w:color="auto"/>
        <w:bottom w:val="none" w:sz="0" w:space="0" w:color="auto"/>
        <w:right w:val="none" w:sz="0" w:space="0" w:color="auto"/>
      </w:divBdr>
    </w:div>
    <w:div w:id="1288927868">
      <w:marLeft w:val="0"/>
      <w:marRight w:val="0"/>
      <w:marTop w:val="0"/>
      <w:marBottom w:val="0"/>
      <w:divBdr>
        <w:top w:val="none" w:sz="0" w:space="0" w:color="auto"/>
        <w:left w:val="none" w:sz="0" w:space="0" w:color="auto"/>
        <w:bottom w:val="none" w:sz="0" w:space="0" w:color="auto"/>
        <w:right w:val="none" w:sz="0" w:space="0" w:color="auto"/>
      </w:divBdr>
    </w:div>
    <w:div w:id="1288927869">
      <w:marLeft w:val="0"/>
      <w:marRight w:val="0"/>
      <w:marTop w:val="0"/>
      <w:marBottom w:val="0"/>
      <w:divBdr>
        <w:top w:val="none" w:sz="0" w:space="0" w:color="auto"/>
        <w:left w:val="none" w:sz="0" w:space="0" w:color="auto"/>
        <w:bottom w:val="none" w:sz="0" w:space="0" w:color="auto"/>
        <w:right w:val="none" w:sz="0" w:space="0" w:color="auto"/>
      </w:divBdr>
    </w:div>
    <w:div w:id="1288927870">
      <w:marLeft w:val="0"/>
      <w:marRight w:val="0"/>
      <w:marTop w:val="0"/>
      <w:marBottom w:val="0"/>
      <w:divBdr>
        <w:top w:val="none" w:sz="0" w:space="0" w:color="auto"/>
        <w:left w:val="none" w:sz="0" w:space="0" w:color="auto"/>
        <w:bottom w:val="none" w:sz="0" w:space="0" w:color="auto"/>
        <w:right w:val="none" w:sz="0" w:space="0" w:color="auto"/>
      </w:divBdr>
    </w:div>
    <w:div w:id="1288927872">
      <w:marLeft w:val="0"/>
      <w:marRight w:val="0"/>
      <w:marTop w:val="0"/>
      <w:marBottom w:val="0"/>
      <w:divBdr>
        <w:top w:val="none" w:sz="0" w:space="0" w:color="auto"/>
        <w:left w:val="none" w:sz="0" w:space="0" w:color="auto"/>
        <w:bottom w:val="none" w:sz="0" w:space="0" w:color="auto"/>
        <w:right w:val="none" w:sz="0" w:space="0" w:color="auto"/>
      </w:divBdr>
    </w:div>
    <w:div w:id="1288927874">
      <w:marLeft w:val="0"/>
      <w:marRight w:val="0"/>
      <w:marTop w:val="0"/>
      <w:marBottom w:val="0"/>
      <w:divBdr>
        <w:top w:val="none" w:sz="0" w:space="0" w:color="auto"/>
        <w:left w:val="none" w:sz="0" w:space="0" w:color="auto"/>
        <w:bottom w:val="none" w:sz="0" w:space="0" w:color="auto"/>
        <w:right w:val="none" w:sz="0" w:space="0" w:color="auto"/>
      </w:divBdr>
    </w:div>
    <w:div w:id="1288927877">
      <w:marLeft w:val="0"/>
      <w:marRight w:val="0"/>
      <w:marTop w:val="0"/>
      <w:marBottom w:val="0"/>
      <w:divBdr>
        <w:top w:val="none" w:sz="0" w:space="0" w:color="auto"/>
        <w:left w:val="none" w:sz="0" w:space="0" w:color="auto"/>
        <w:bottom w:val="none" w:sz="0" w:space="0" w:color="auto"/>
        <w:right w:val="none" w:sz="0" w:space="0" w:color="auto"/>
      </w:divBdr>
    </w:div>
    <w:div w:id="1288927879">
      <w:marLeft w:val="0"/>
      <w:marRight w:val="0"/>
      <w:marTop w:val="0"/>
      <w:marBottom w:val="0"/>
      <w:divBdr>
        <w:top w:val="none" w:sz="0" w:space="0" w:color="auto"/>
        <w:left w:val="none" w:sz="0" w:space="0" w:color="auto"/>
        <w:bottom w:val="none" w:sz="0" w:space="0" w:color="auto"/>
        <w:right w:val="none" w:sz="0" w:space="0" w:color="auto"/>
      </w:divBdr>
    </w:div>
    <w:div w:id="1288927881">
      <w:marLeft w:val="0"/>
      <w:marRight w:val="0"/>
      <w:marTop w:val="0"/>
      <w:marBottom w:val="0"/>
      <w:divBdr>
        <w:top w:val="none" w:sz="0" w:space="0" w:color="auto"/>
        <w:left w:val="none" w:sz="0" w:space="0" w:color="auto"/>
        <w:bottom w:val="none" w:sz="0" w:space="0" w:color="auto"/>
        <w:right w:val="none" w:sz="0" w:space="0" w:color="auto"/>
      </w:divBdr>
    </w:div>
    <w:div w:id="1288927882">
      <w:marLeft w:val="0"/>
      <w:marRight w:val="0"/>
      <w:marTop w:val="0"/>
      <w:marBottom w:val="0"/>
      <w:divBdr>
        <w:top w:val="none" w:sz="0" w:space="0" w:color="auto"/>
        <w:left w:val="none" w:sz="0" w:space="0" w:color="auto"/>
        <w:bottom w:val="none" w:sz="0" w:space="0" w:color="auto"/>
        <w:right w:val="none" w:sz="0" w:space="0" w:color="auto"/>
      </w:divBdr>
    </w:div>
    <w:div w:id="1288927883">
      <w:marLeft w:val="0"/>
      <w:marRight w:val="0"/>
      <w:marTop w:val="0"/>
      <w:marBottom w:val="0"/>
      <w:divBdr>
        <w:top w:val="none" w:sz="0" w:space="0" w:color="auto"/>
        <w:left w:val="none" w:sz="0" w:space="0" w:color="auto"/>
        <w:bottom w:val="none" w:sz="0" w:space="0" w:color="auto"/>
        <w:right w:val="none" w:sz="0" w:space="0" w:color="auto"/>
      </w:divBdr>
    </w:div>
    <w:div w:id="1288927886">
      <w:marLeft w:val="0"/>
      <w:marRight w:val="0"/>
      <w:marTop w:val="0"/>
      <w:marBottom w:val="0"/>
      <w:divBdr>
        <w:top w:val="none" w:sz="0" w:space="0" w:color="auto"/>
        <w:left w:val="none" w:sz="0" w:space="0" w:color="auto"/>
        <w:bottom w:val="none" w:sz="0" w:space="0" w:color="auto"/>
        <w:right w:val="none" w:sz="0" w:space="0" w:color="auto"/>
      </w:divBdr>
    </w:div>
    <w:div w:id="1288927890">
      <w:marLeft w:val="0"/>
      <w:marRight w:val="0"/>
      <w:marTop w:val="0"/>
      <w:marBottom w:val="0"/>
      <w:divBdr>
        <w:top w:val="none" w:sz="0" w:space="0" w:color="auto"/>
        <w:left w:val="none" w:sz="0" w:space="0" w:color="auto"/>
        <w:bottom w:val="none" w:sz="0" w:space="0" w:color="auto"/>
        <w:right w:val="none" w:sz="0" w:space="0" w:color="auto"/>
      </w:divBdr>
    </w:div>
    <w:div w:id="1288927894">
      <w:marLeft w:val="0"/>
      <w:marRight w:val="0"/>
      <w:marTop w:val="0"/>
      <w:marBottom w:val="0"/>
      <w:divBdr>
        <w:top w:val="none" w:sz="0" w:space="0" w:color="auto"/>
        <w:left w:val="none" w:sz="0" w:space="0" w:color="auto"/>
        <w:bottom w:val="none" w:sz="0" w:space="0" w:color="auto"/>
        <w:right w:val="none" w:sz="0" w:space="0" w:color="auto"/>
      </w:divBdr>
      <w:divsChild>
        <w:div w:id="1288927638">
          <w:marLeft w:val="547"/>
          <w:marRight w:val="0"/>
          <w:marTop w:val="115"/>
          <w:marBottom w:val="0"/>
          <w:divBdr>
            <w:top w:val="none" w:sz="0" w:space="0" w:color="auto"/>
            <w:left w:val="none" w:sz="0" w:space="0" w:color="auto"/>
            <w:bottom w:val="none" w:sz="0" w:space="0" w:color="auto"/>
            <w:right w:val="none" w:sz="0" w:space="0" w:color="auto"/>
          </w:divBdr>
        </w:div>
        <w:div w:id="1288927700">
          <w:marLeft w:val="547"/>
          <w:marRight w:val="0"/>
          <w:marTop w:val="115"/>
          <w:marBottom w:val="0"/>
          <w:divBdr>
            <w:top w:val="none" w:sz="0" w:space="0" w:color="auto"/>
            <w:left w:val="none" w:sz="0" w:space="0" w:color="auto"/>
            <w:bottom w:val="none" w:sz="0" w:space="0" w:color="auto"/>
            <w:right w:val="none" w:sz="0" w:space="0" w:color="auto"/>
          </w:divBdr>
        </w:div>
        <w:div w:id="1288927766">
          <w:marLeft w:val="547"/>
          <w:marRight w:val="0"/>
          <w:marTop w:val="115"/>
          <w:marBottom w:val="0"/>
          <w:divBdr>
            <w:top w:val="none" w:sz="0" w:space="0" w:color="auto"/>
            <w:left w:val="none" w:sz="0" w:space="0" w:color="auto"/>
            <w:bottom w:val="none" w:sz="0" w:space="0" w:color="auto"/>
            <w:right w:val="none" w:sz="0" w:space="0" w:color="auto"/>
          </w:divBdr>
        </w:div>
        <w:div w:id="1288927903">
          <w:marLeft w:val="547"/>
          <w:marRight w:val="0"/>
          <w:marTop w:val="115"/>
          <w:marBottom w:val="0"/>
          <w:divBdr>
            <w:top w:val="none" w:sz="0" w:space="0" w:color="auto"/>
            <w:left w:val="none" w:sz="0" w:space="0" w:color="auto"/>
            <w:bottom w:val="none" w:sz="0" w:space="0" w:color="auto"/>
            <w:right w:val="none" w:sz="0" w:space="0" w:color="auto"/>
          </w:divBdr>
        </w:div>
      </w:divsChild>
    </w:div>
    <w:div w:id="1288927895">
      <w:marLeft w:val="0"/>
      <w:marRight w:val="0"/>
      <w:marTop w:val="0"/>
      <w:marBottom w:val="0"/>
      <w:divBdr>
        <w:top w:val="none" w:sz="0" w:space="0" w:color="auto"/>
        <w:left w:val="none" w:sz="0" w:space="0" w:color="auto"/>
        <w:bottom w:val="none" w:sz="0" w:space="0" w:color="auto"/>
        <w:right w:val="none" w:sz="0" w:space="0" w:color="auto"/>
      </w:divBdr>
      <w:divsChild>
        <w:div w:id="1288927664">
          <w:marLeft w:val="1166"/>
          <w:marRight w:val="0"/>
          <w:marTop w:val="0"/>
          <w:marBottom w:val="0"/>
          <w:divBdr>
            <w:top w:val="none" w:sz="0" w:space="0" w:color="auto"/>
            <w:left w:val="none" w:sz="0" w:space="0" w:color="auto"/>
            <w:bottom w:val="none" w:sz="0" w:space="0" w:color="auto"/>
            <w:right w:val="none" w:sz="0" w:space="0" w:color="auto"/>
          </w:divBdr>
        </w:div>
        <w:div w:id="1288927723">
          <w:marLeft w:val="547"/>
          <w:marRight w:val="0"/>
          <w:marTop w:val="0"/>
          <w:marBottom w:val="0"/>
          <w:divBdr>
            <w:top w:val="none" w:sz="0" w:space="0" w:color="auto"/>
            <w:left w:val="none" w:sz="0" w:space="0" w:color="auto"/>
            <w:bottom w:val="none" w:sz="0" w:space="0" w:color="auto"/>
            <w:right w:val="none" w:sz="0" w:space="0" w:color="auto"/>
          </w:divBdr>
        </w:div>
        <w:div w:id="1288927737">
          <w:marLeft w:val="1166"/>
          <w:marRight w:val="0"/>
          <w:marTop w:val="0"/>
          <w:marBottom w:val="0"/>
          <w:divBdr>
            <w:top w:val="none" w:sz="0" w:space="0" w:color="auto"/>
            <w:left w:val="none" w:sz="0" w:space="0" w:color="auto"/>
            <w:bottom w:val="none" w:sz="0" w:space="0" w:color="auto"/>
            <w:right w:val="none" w:sz="0" w:space="0" w:color="auto"/>
          </w:divBdr>
        </w:div>
        <w:div w:id="1288927802">
          <w:marLeft w:val="1166"/>
          <w:marRight w:val="0"/>
          <w:marTop w:val="0"/>
          <w:marBottom w:val="0"/>
          <w:divBdr>
            <w:top w:val="none" w:sz="0" w:space="0" w:color="auto"/>
            <w:left w:val="none" w:sz="0" w:space="0" w:color="auto"/>
            <w:bottom w:val="none" w:sz="0" w:space="0" w:color="auto"/>
            <w:right w:val="none" w:sz="0" w:space="0" w:color="auto"/>
          </w:divBdr>
        </w:div>
        <w:div w:id="1288927959">
          <w:marLeft w:val="547"/>
          <w:marRight w:val="0"/>
          <w:marTop w:val="0"/>
          <w:marBottom w:val="0"/>
          <w:divBdr>
            <w:top w:val="none" w:sz="0" w:space="0" w:color="auto"/>
            <w:left w:val="none" w:sz="0" w:space="0" w:color="auto"/>
            <w:bottom w:val="none" w:sz="0" w:space="0" w:color="auto"/>
            <w:right w:val="none" w:sz="0" w:space="0" w:color="auto"/>
          </w:divBdr>
        </w:div>
      </w:divsChild>
    </w:div>
    <w:div w:id="1288927898">
      <w:marLeft w:val="0"/>
      <w:marRight w:val="0"/>
      <w:marTop w:val="0"/>
      <w:marBottom w:val="0"/>
      <w:divBdr>
        <w:top w:val="none" w:sz="0" w:space="0" w:color="auto"/>
        <w:left w:val="none" w:sz="0" w:space="0" w:color="auto"/>
        <w:bottom w:val="none" w:sz="0" w:space="0" w:color="auto"/>
        <w:right w:val="none" w:sz="0" w:space="0" w:color="auto"/>
      </w:divBdr>
    </w:div>
    <w:div w:id="1288927899">
      <w:marLeft w:val="0"/>
      <w:marRight w:val="0"/>
      <w:marTop w:val="0"/>
      <w:marBottom w:val="0"/>
      <w:divBdr>
        <w:top w:val="none" w:sz="0" w:space="0" w:color="auto"/>
        <w:left w:val="none" w:sz="0" w:space="0" w:color="auto"/>
        <w:bottom w:val="none" w:sz="0" w:space="0" w:color="auto"/>
        <w:right w:val="none" w:sz="0" w:space="0" w:color="auto"/>
      </w:divBdr>
    </w:div>
    <w:div w:id="1288927900">
      <w:marLeft w:val="0"/>
      <w:marRight w:val="0"/>
      <w:marTop w:val="0"/>
      <w:marBottom w:val="0"/>
      <w:divBdr>
        <w:top w:val="none" w:sz="0" w:space="0" w:color="auto"/>
        <w:left w:val="none" w:sz="0" w:space="0" w:color="auto"/>
        <w:bottom w:val="none" w:sz="0" w:space="0" w:color="auto"/>
        <w:right w:val="none" w:sz="0" w:space="0" w:color="auto"/>
      </w:divBdr>
    </w:div>
    <w:div w:id="1288927901">
      <w:marLeft w:val="0"/>
      <w:marRight w:val="0"/>
      <w:marTop w:val="0"/>
      <w:marBottom w:val="0"/>
      <w:divBdr>
        <w:top w:val="none" w:sz="0" w:space="0" w:color="auto"/>
        <w:left w:val="none" w:sz="0" w:space="0" w:color="auto"/>
        <w:bottom w:val="none" w:sz="0" w:space="0" w:color="auto"/>
        <w:right w:val="none" w:sz="0" w:space="0" w:color="auto"/>
      </w:divBdr>
    </w:div>
    <w:div w:id="1288927904">
      <w:marLeft w:val="0"/>
      <w:marRight w:val="0"/>
      <w:marTop w:val="0"/>
      <w:marBottom w:val="0"/>
      <w:divBdr>
        <w:top w:val="none" w:sz="0" w:space="0" w:color="auto"/>
        <w:left w:val="none" w:sz="0" w:space="0" w:color="auto"/>
        <w:bottom w:val="none" w:sz="0" w:space="0" w:color="auto"/>
        <w:right w:val="none" w:sz="0" w:space="0" w:color="auto"/>
      </w:divBdr>
    </w:div>
    <w:div w:id="1288927906">
      <w:marLeft w:val="0"/>
      <w:marRight w:val="0"/>
      <w:marTop w:val="0"/>
      <w:marBottom w:val="0"/>
      <w:divBdr>
        <w:top w:val="none" w:sz="0" w:space="0" w:color="auto"/>
        <w:left w:val="none" w:sz="0" w:space="0" w:color="auto"/>
        <w:bottom w:val="none" w:sz="0" w:space="0" w:color="auto"/>
        <w:right w:val="none" w:sz="0" w:space="0" w:color="auto"/>
      </w:divBdr>
    </w:div>
    <w:div w:id="1288927907">
      <w:marLeft w:val="0"/>
      <w:marRight w:val="0"/>
      <w:marTop w:val="0"/>
      <w:marBottom w:val="0"/>
      <w:divBdr>
        <w:top w:val="none" w:sz="0" w:space="0" w:color="auto"/>
        <w:left w:val="none" w:sz="0" w:space="0" w:color="auto"/>
        <w:bottom w:val="none" w:sz="0" w:space="0" w:color="auto"/>
        <w:right w:val="none" w:sz="0" w:space="0" w:color="auto"/>
      </w:divBdr>
      <w:divsChild>
        <w:div w:id="1288927702">
          <w:marLeft w:val="0"/>
          <w:marRight w:val="0"/>
          <w:marTop w:val="0"/>
          <w:marBottom w:val="0"/>
          <w:divBdr>
            <w:top w:val="none" w:sz="0" w:space="0" w:color="auto"/>
            <w:left w:val="none" w:sz="0" w:space="0" w:color="auto"/>
            <w:bottom w:val="none" w:sz="0" w:space="0" w:color="auto"/>
            <w:right w:val="none" w:sz="0" w:space="0" w:color="auto"/>
          </w:divBdr>
          <w:divsChild>
            <w:div w:id="1288927661">
              <w:marLeft w:val="0"/>
              <w:marRight w:val="0"/>
              <w:marTop w:val="0"/>
              <w:marBottom w:val="0"/>
              <w:divBdr>
                <w:top w:val="none" w:sz="0" w:space="0" w:color="auto"/>
                <w:left w:val="none" w:sz="0" w:space="0" w:color="auto"/>
                <w:bottom w:val="none" w:sz="0" w:space="0" w:color="auto"/>
                <w:right w:val="none" w:sz="0" w:space="0" w:color="auto"/>
              </w:divBdr>
              <w:divsChild>
                <w:div w:id="1288927580">
                  <w:marLeft w:val="0"/>
                  <w:marRight w:val="0"/>
                  <w:marTop w:val="0"/>
                  <w:marBottom w:val="0"/>
                  <w:divBdr>
                    <w:top w:val="none" w:sz="0" w:space="0" w:color="auto"/>
                    <w:left w:val="none" w:sz="0" w:space="0" w:color="auto"/>
                    <w:bottom w:val="none" w:sz="0" w:space="0" w:color="auto"/>
                    <w:right w:val="none" w:sz="0" w:space="0" w:color="auto"/>
                  </w:divBdr>
                  <w:divsChild>
                    <w:div w:id="1288927934">
                      <w:marLeft w:val="0"/>
                      <w:marRight w:val="0"/>
                      <w:marTop w:val="0"/>
                      <w:marBottom w:val="0"/>
                      <w:divBdr>
                        <w:top w:val="none" w:sz="0" w:space="0" w:color="auto"/>
                        <w:left w:val="none" w:sz="0" w:space="0" w:color="auto"/>
                        <w:bottom w:val="none" w:sz="0" w:space="0" w:color="auto"/>
                        <w:right w:val="none" w:sz="0" w:space="0" w:color="auto"/>
                      </w:divBdr>
                    </w:div>
                  </w:divsChild>
                </w:div>
                <w:div w:id="1288927885">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88927875">
          <w:marLeft w:val="0"/>
          <w:marRight w:val="0"/>
          <w:marTop w:val="0"/>
          <w:marBottom w:val="0"/>
          <w:divBdr>
            <w:top w:val="none" w:sz="0" w:space="0" w:color="auto"/>
            <w:left w:val="none" w:sz="0" w:space="0" w:color="auto"/>
            <w:bottom w:val="none" w:sz="0" w:space="0" w:color="auto"/>
            <w:right w:val="none" w:sz="0" w:space="0" w:color="auto"/>
          </w:divBdr>
          <w:divsChild>
            <w:div w:id="1288927852">
              <w:marLeft w:val="0"/>
              <w:marRight w:val="0"/>
              <w:marTop w:val="0"/>
              <w:marBottom w:val="0"/>
              <w:divBdr>
                <w:top w:val="none" w:sz="0" w:space="0" w:color="auto"/>
                <w:left w:val="none" w:sz="0" w:space="0" w:color="auto"/>
                <w:bottom w:val="none" w:sz="0" w:space="0" w:color="auto"/>
                <w:right w:val="none" w:sz="0" w:space="0" w:color="auto"/>
              </w:divBdr>
            </w:div>
            <w:div w:id="1288927944">
              <w:marLeft w:val="0"/>
              <w:marRight w:val="0"/>
              <w:marTop w:val="0"/>
              <w:marBottom w:val="0"/>
              <w:divBdr>
                <w:top w:val="none" w:sz="0" w:space="0" w:color="auto"/>
                <w:left w:val="none" w:sz="0" w:space="0" w:color="auto"/>
                <w:bottom w:val="none" w:sz="0" w:space="0" w:color="auto"/>
                <w:right w:val="none" w:sz="0" w:space="0" w:color="auto"/>
              </w:divBdr>
              <w:divsChild>
                <w:div w:id="1288927784">
                  <w:marLeft w:val="0"/>
                  <w:marRight w:val="0"/>
                  <w:marTop w:val="0"/>
                  <w:marBottom w:val="0"/>
                  <w:divBdr>
                    <w:top w:val="none" w:sz="0" w:space="0" w:color="auto"/>
                    <w:left w:val="none" w:sz="0" w:space="0" w:color="auto"/>
                    <w:bottom w:val="none" w:sz="0" w:space="0" w:color="auto"/>
                    <w:right w:val="none" w:sz="0" w:space="0" w:color="auto"/>
                  </w:divBdr>
                  <w:divsChild>
                    <w:div w:id="1288927897">
                      <w:marLeft w:val="0"/>
                      <w:marRight w:val="0"/>
                      <w:marTop w:val="0"/>
                      <w:marBottom w:val="0"/>
                      <w:divBdr>
                        <w:top w:val="none" w:sz="0" w:space="0" w:color="auto"/>
                        <w:left w:val="none" w:sz="0" w:space="0" w:color="auto"/>
                        <w:bottom w:val="none" w:sz="0" w:space="0" w:color="auto"/>
                        <w:right w:val="none" w:sz="0" w:space="0" w:color="auto"/>
                      </w:divBdr>
                      <w:divsChild>
                        <w:div w:id="1288927552">
                          <w:marLeft w:val="0"/>
                          <w:marRight w:val="0"/>
                          <w:marTop w:val="0"/>
                          <w:marBottom w:val="0"/>
                          <w:divBdr>
                            <w:top w:val="none" w:sz="0" w:space="0" w:color="auto"/>
                            <w:left w:val="none" w:sz="0" w:space="0" w:color="auto"/>
                            <w:bottom w:val="none" w:sz="0" w:space="0" w:color="auto"/>
                            <w:right w:val="none" w:sz="0" w:space="0" w:color="auto"/>
                          </w:divBdr>
                        </w:div>
                        <w:div w:id="1288927571">
                          <w:marLeft w:val="0"/>
                          <w:marRight w:val="0"/>
                          <w:marTop w:val="0"/>
                          <w:marBottom w:val="0"/>
                          <w:divBdr>
                            <w:top w:val="none" w:sz="0" w:space="0" w:color="auto"/>
                            <w:left w:val="none" w:sz="0" w:space="0" w:color="auto"/>
                            <w:bottom w:val="none" w:sz="0" w:space="0" w:color="auto"/>
                            <w:right w:val="none" w:sz="0" w:space="0" w:color="auto"/>
                          </w:divBdr>
                        </w:div>
                        <w:div w:id="1288927573">
                          <w:marLeft w:val="0"/>
                          <w:marRight w:val="0"/>
                          <w:marTop w:val="0"/>
                          <w:marBottom w:val="0"/>
                          <w:divBdr>
                            <w:top w:val="none" w:sz="0" w:space="0" w:color="auto"/>
                            <w:left w:val="none" w:sz="0" w:space="0" w:color="auto"/>
                            <w:bottom w:val="none" w:sz="0" w:space="0" w:color="auto"/>
                            <w:right w:val="none" w:sz="0" w:space="0" w:color="auto"/>
                          </w:divBdr>
                        </w:div>
                        <w:div w:id="1288927581">
                          <w:marLeft w:val="0"/>
                          <w:marRight w:val="0"/>
                          <w:marTop w:val="0"/>
                          <w:marBottom w:val="0"/>
                          <w:divBdr>
                            <w:top w:val="none" w:sz="0" w:space="0" w:color="auto"/>
                            <w:left w:val="none" w:sz="0" w:space="0" w:color="auto"/>
                            <w:bottom w:val="none" w:sz="0" w:space="0" w:color="auto"/>
                            <w:right w:val="none" w:sz="0" w:space="0" w:color="auto"/>
                          </w:divBdr>
                        </w:div>
                        <w:div w:id="1288927582">
                          <w:marLeft w:val="0"/>
                          <w:marRight w:val="0"/>
                          <w:marTop w:val="0"/>
                          <w:marBottom w:val="0"/>
                          <w:divBdr>
                            <w:top w:val="none" w:sz="0" w:space="0" w:color="auto"/>
                            <w:left w:val="none" w:sz="0" w:space="0" w:color="auto"/>
                            <w:bottom w:val="none" w:sz="0" w:space="0" w:color="auto"/>
                            <w:right w:val="none" w:sz="0" w:space="0" w:color="auto"/>
                          </w:divBdr>
                        </w:div>
                        <w:div w:id="1288927591">
                          <w:marLeft w:val="0"/>
                          <w:marRight w:val="0"/>
                          <w:marTop w:val="0"/>
                          <w:marBottom w:val="0"/>
                          <w:divBdr>
                            <w:top w:val="none" w:sz="0" w:space="0" w:color="auto"/>
                            <w:left w:val="none" w:sz="0" w:space="0" w:color="auto"/>
                            <w:bottom w:val="none" w:sz="0" w:space="0" w:color="auto"/>
                            <w:right w:val="none" w:sz="0" w:space="0" w:color="auto"/>
                          </w:divBdr>
                        </w:div>
                        <w:div w:id="1288927595">
                          <w:marLeft w:val="0"/>
                          <w:marRight w:val="0"/>
                          <w:marTop w:val="0"/>
                          <w:marBottom w:val="0"/>
                          <w:divBdr>
                            <w:top w:val="none" w:sz="0" w:space="0" w:color="auto"/>
                            <w:left w:val="none" w:sz="0" w:space="0" w:color="auto"/>
                            <w:bottom w:val="none" w:sz="0" w:space="0" w:color="auto"/>
                            <w:right w:val="none" w:sz="0" w:space="0" w:color="auto"/>
                          </w:divBdr>
                        </w:div>
                        <w:div w:id="1288927600">
                          <w:marLeft w:val="0"/>
                          <w:marRight w:val="0"/>
                          <w:marTop w:val="0"/>
                          <w:marBottom w:val="0"/>
                          <w:divBdr>
                            <w:top w:val="none" w:sz="0" w:space="0" w:color="auto"/>
                            <w:left w:val="none" w:sz="0" w:space="0" w:color="auto"/>
                            <w:bottom w:val="none" w:sz="0" w:space="0" w:color="auto"/>
                            <w:right w:val="none" w:sz="0" w:space="0" w:color="auto"/>
                          </w:divBdr>
                        </w:div>
                        <w:div w:id="1288927603">
                          <w:marLeft w:val="0"/>
                          <w:marRight w:val="0"/>
                          <w:marTop w:val="0"/>
                          <w:marBottom w:val="0"/>
                          <w:divBdr>
                            <w:top w:val="none" w:sz="0" w:space="0" w:color="auto"/>
                            <w:left w:val="none" w:sz="0" w:space="0" w:color="auto"/>
                            <w:bottom w:val="none" w:sz="0" w:space="0" w:color="auto"/>
                            <w:right w:val="none" w:sz="0" w:space="0" w:color="auto"/>
                          </w:divBdr>
                        </w:div>
                        <w:div w:id="1288927606">
                          <w:marLeft w:val="0"/>
                          <w:marRight w:val="0"/>
                          <w:marTop w:val="0"/>
                          <w:marBottom w:val="0"/>
                          <w:divBdr>
                            <w:top w:val="none" w:sz="0" w:space="0" w:color="auto"/>
                            <w:left w:val="none" w:sz="0" w:space="0" w:color="auto"/>
                            <w:bottom w:val="none" w:sz="0" w:space="0" w:color="auto"/>
                            <w:right w:val="none" w:sz="0" w:space="0" w:color="auto"/>
                          </w:divBdr>
                        </w:div>
                        <w:div w:id="1288927632">
                          <w:marLeft w:val="0"/>
                          <w:marRight w:val="0"/>
                          <w:marTop w:val="0"/>
                          <w:marBottom w:val="0"/>
                          <w:divBdr>
                            <w:top w:val="none" w:sz="0" w:space="0" w:color="auto"/>
                            <w:left w:val="none" w:sz="0" w:space="0" w:color="auto"/>
                            <w:bottom w:val="none" w:sz="0" w:space="0" w:color="auto"/>
                            <w:right w:val="none" w:sz="0" w:space="0" w:color="auto"/>
                          </w:divBdr>
                        </w:div>
                        <w:div w:id="1288927636">
                          <w:marLeft w:val="0"/>
                          <w:marRight w:val="0"/>
                          <w:marTop w:val="0"/>
                          <w:marBottom w:val="0"/>
                          <w:divBdr>
                            <w:top w:val="none" w:sz="0" w:space="0" w:color="auto"/>
                            <w:left w:val="none" w:sz="0" w:space="0" w:color="auto"/>
                            <w:bottom w:val="none" w:sz="0" w:space="0" w:color="auto"/>
                            <w:right w:val="none" w:sz="0" w:space="0" w:color="auto"/>
                          </w:divBdr>
                        </w:div>
                        <w:div w:id="1288927640">
                          <w:marLeft w:val="0"/>
                          <w:marRight w:val="0"/>
                          <w:marTop w:val="0"/>
                          <w:marBottom w:val="0"/>
                          <w:divBdr>
                            <w:top w:val="none" w:sz="0" w:space="0" w:color="auto"/>
                            <w:left w:val="none" w:sz="0" w:space="0" w:color="auto"/>
                            <w:bottom w:val="none" w:sz="0" w:space="0" w:color="auto"/>
                            <w:right w:val="none" w:sz="0" w:space="0" w:color="auto"/>
                          </w:divBdr>
                        </w:div>
                        <w:div w:id="1288927657">
                          <w:marLeft w:val="0"/>
                          <w:marRight w:val="0"/>
                          <w:marTop w:val="0"/>
                          <w:marBottom w:val="0"/>
                          <w:divBdr>
                            <w:top w:val="none" w:sz="0" w:space="0" w:color="auto"/>
                            <w:left w:val="none" w:sz="0" w:space="0" w:color="auto"/>
                            <w:bottom w:val="none" w:sz="0" w:space="0" w:color="auto"/>
                            <w:right w:val="none" w:sz="0" w:space="0" w:color="auto"/>
                          </w:divBdr>
                        </w:div>
                        <w:div w:id="1288927667">
                          <w:marLeft w:val="0"/>
                          <w:marRight w:val="0"/>
                          <w:marTop w:val="0"/>
                          <w:marBottom w:val="0"/>
                          <w:divBdr>
                            <w:top w:val="none" w:sz="0" w:space="0" w:color="auto"/>
                            <w:left w:val="none" w:sz="0" w:space="0" w:color="auto"/>
                            <w:bottom w:val="none" w:sz="0" w:space="0" w:color="auto"/>
                            <w:right w:val="none" w:sz="0" w:space="0" w:color="auto"/>
                          </w:divBdr>
                        </w:div>
                        <w:div w:id="1288927673">
                          <w:marLeft w:val="0"/>
                          <w:marRight w:val="0"/>
                          <w:marTop w:val="0"/>
                          <w:marBottom w:val="0"/>
                          <w:divBdr>
                            <w:top w:val="none" w:sz="0" w:space="0" w:color="auto"/>
                            <w:left w:val="none" w:sz="0" w:space="0" w:color="auto"/>
                            <w:bottom w:val="none" w:sz="0" w:space="0" w:color="auto"/>
                            <w:right w:val="none" w:sz="0" w:space="0" w:color="auto"/>
                          </w:divBdr>
                        </w:div>
                        <w:div w:id="1288927674">
                          <w:marLeft w:val="0"/>
                          <w:marRight w:val="0"/>
                          <w:marTop w:val="0"/>
                          <w:marBottom w:val="0"/>
                          <w:divBdr>
                            <w:top w:val="none" w:sz="0" w:space="0" w:color="auto"/>
                            <w:left w:val="none" w:sz="0" w:space="0" w:color="auto"/>
                            <w:bottom w:val="none" w:sz="0" w:space="0" w:color="auto"/>
                            <w:right w:val="none" w:sz="0" w:space="0" w:color="auto"/>
                          </w:divBdr>
                        </w:div>
                        <w:div w:id="1288927681">
                          <w:marLeft w:val="0"/>
                          <w:marRight w:val="0"/>
                          <w:marTop w:val="0"/>
                          <w:marBottom w:val="0"/>
                          <w:divBdr>
                            <w:top w:val="none" w:sz="0" w:space="0" w:color="auto"/>
                            <w:left w:val="none" w:sz="0" w:space="0" w:color="auto"/>
                            <w:bottom w:val="none" w:sz="0" w:space="0" w:color="auto"/>
                            <w:right w:val="none" w:sz="0" w:space="0" w:color="auto"/>
                          </w:divBdr>
                        </w:div>
                        <w:div w:id="1288927709">
                          <w:marLeft w:val="0"/>
                          <w:marRight w:val="0"/>
                          <w:marTop w:val="0"/>
                          <w:marBottom w:val="0"/>
                          <w:divBdr>
                            <w:top w:val="none" w:sz="0" w:space="0" w:color="auto"/>
                            <w:left w:val="none" w:sz="0" w:space="0" w:color="auto"/>
                            <w:bottom w:val="none" w:sz="0" w:space="0" w:color="auto"/>
                            <w:right w:val="none" w:sz="0" w:space="0" w:color="auto"/>
                          </w:divBdr>
                        </w:div>
                        <w:div w:id="1288927744">
                          <w:marLeft w:val="0"/>
                          <w:marRight w:val="0"/>
                          <w:marTop w:val="0"/>
                          <w:marBottom w:val="0"/>
                          <w:divBdr>
                            <w:top w:val="none" w:sz="0" w:space="0" w:color="auto"/>
                            <w:left w:val="none" w:sz="0" w:space="0" w:color="auto"/>
                            <w:bottom w:val="none" w:sz="0" w:space="0" w:color="auto"/>
                            <w:right w:val="none" w:sz="0" w:space="0" w:color="auto"/>
                          </w:divBdr>
                        </w:div>
                        <w:div w:id="1288927747">
                          <w:marLeft w:val="0"/>
                          <w:marRight w:val="0"/>
                          <w:marTop w:val="0"/>
                          <w:marBottom w:val="0"/>
                          <w:divBdr>
                            <w:top w:val="none" w:sz="0" w:space="0" w:color="auto"/>
                            <w:left w:val="none" w:sz="0" w:space="0" w:color="auto"/>
                            <w:bottom w:val="none" w:sz="0" w:space="0" w:color="auto"/>
                            <w:right w:val="none" w:sz="0" w:space="0" w:color="auto"/>
                          </w:divBdr>
                        </w:div>
                        <w:div w:id="1288927748">
                          <w:marLeft w:val="0"/>
                          <w:marRight w:val="0"/>
                          <w:marTop w:val="0"/>
                          <w:marBottom w:val="0"/>
                          <w:divBdr>
                            <w:top w:val="none" w:sz="0" w:space="0" w:color="auto"/>
                            <w:left w:val="none" w:sz="0" w:space="0" w:color="auto"/>
                            <w:bottom w:val="none" w:sz="0" w:space="0" w:color="auto"/>
                            <w:right w:val="none" w:sz="0" w:space="0" w:color="auto"/>
                          </w:divBdr>
                        </w:div>
                        <w:div w:id="1288927751">
                          <w:marLeft w:val="0"/>
                          <w:marRight w:val="0"/>
                          <w:marTop w:val="0"/>
                          <w:marBottom w:val="0"/>
                          <w:divBdr>
                            <w:top w:val="none" w:sz="0" w:space="0" w:color="auto"/>
                            <w:left w:val="none" w:sz="0" w:space="0" w:color="auto"/>
                            <w:bottom w:val="none" w:sz="0" w:space="0" w:color="auto"/>
                            <w:right w:val="none" w:sz="0" w:space="0" w:color="auto"/>
                          </w:divBdr>
                        </w:div>
                        <w:div w:id="1288927753">
                          <w:marLeft w:val="0"/>
                          <w:marRight w:val="0"/>
                          <w:marTop w:val="0"/>
                          <w:marBottom w:val="0"/>
                          <w:divBdr>
                            <w:top w:val="none" w:sz="0" w:space="0" w:color="auto"/>
                            <w:left w:val="none" w:sz="0" w:space="0" w:color="auto"/>
                            <w:bottom w:val="none" w:sz="0" w:space="0" w:color="auto"/>
                            <w:right w:val="none" w:sz="0" w:space="0" w:color="auto"/>
                          </w:divBdr>
                        </w:div>
                        <w:div w:id="1288927776">
                          <w:marLeft w:val="0"/>
                          <w:marRight w:val="0"/>
                          <w:marTop w:val="0"/>
                          <w:marBottom w:val="0"/>
                          <w:divBdr>
                            <w:top w:val="none" w:sz="0" w:space="0" w:color="auto"/>
                            <w:left w:val="none" w:sz="0" w:space="0" w:color="auto"/>
                            <w:bottom w:val="none" w:sz="0" w:space="0" w:color="auto"/>
                            <w:right w:val="none" w:sz="0" w:space="0" w:color="auto"/>
                          </w:divBdr>
                        </w:div>
                        <w:div w:id="1288927786">
                          <w:marLeft w:val="0"/>
                          <w:marRight w:val="0"/>
                          <w:marTop w:val="0"/>
                          <w:marBottom w:val="0"/>
                          <w:divBdr>
                            <w:top w:val="none" w:sz="0" w:space="0" w:color="auto"/>
                            <w:left w:val="none" w:sz="0" w:space="0" w:color="auto"/>
                            <w:bottom w:val="none" w:sz="0" w:space="0" w:color="auto"/>
                            <w:right w:val="none" w:sz="0" w:space="0" w:color="auto"/>
                          </w:divBdr>
                        </w:div>
                        <w:div w:id="1288927819">
                          <w:marLeft w:val="0"/>
                          <w:marRight w:val="0"/>
                          <w:marTop w:val="0"/>
                          <w:marBottom w:val="0"/>
                          <w:divBdr>
                            <w:top w:val="none" w:sz="0" w:space="0" w:color="auto"/>
                            <w:left w:val="none" w:sz="0" w:space="0" w:color="auto"/>
                            <w:bottom w:val="none" w:sz="0" w:space="0" w:color="auto"/>
                            <w:right w:val="none" w:sz="0" w:space="0" w:color="auto"/>
                          </w:divBdr>
                        </w:div>
                        <w:div w:id="1288927845">
                          <w:marLeft w:val="0"/>
                          <w:marRight w:val="0"/>
                          <w:marTop w:val="0"/>
                          <w:marBottom w:val="0"/>
                          <w:divBdr>
                            <w:top w:val="none" w:sz="0" w:space="0" w:color="auto"/>
                            <w:left w:val="none" w:sz="0" w:space="0" w:color="auto"/>
                            <w:bottom w:val="none" w:sz="0" w:space="0" w:color="auto"/>
                            <w:right w:val="none" w:sz="0" w:space="0" w:color="auto"/>
                          </w:divBdr>
                        </w:div>
                        <w:div w:id="1288927860">
                          <w:marLeft w:val="0"/>
                          <w:marRight w:val="0"/>
                          <w:marTop w:val="0"/>
                          <w:marBottom w:val="0"/>
                          <w:divBdr>
                            <w:top w:val="none" w:sz="0" w:space="0" w:color="auto"/>
                            <w:left w:val="none" w:sz="0" w:space="0" w:color="auto"/>
                            <w:bottom w:val="none" w:sz="0" w:space="0" w:color="auto"/>
                            <w:right w:val="none" w:sz="0" w:space="0" w:color="auto"/>
                          </w:divBdr>
                        </w:div>
                        <w:div w:id="1288927873">
                          <w:marLeft w:val="0"/>
                          <w:marRight w:val="0"/>
                          <w:marTop w:val="0"/>
                          <w:marBottom w:val="0"/>
                          <w:divBdr>
                            <w:top w:val="none" w:sz="0" w:space="0" w:color="auto"/>
                            <w:left w:val="none" w:sz="0" w:space="0" w:color="auto"/>
                            <w:bottom w:val="none" w:sz="0" w:space="0" w:color="auto"/>
                            <w:right w:val="none" w:sz="0" w:space="0" w:color="auto"/>
                          </w:divBdr>
                        </w:div>
                        <w:div w:id="1288927887">
                          <w:marLeft w:val="0"/>
                          <w:marRight w:val="0"/>
                          <w:marTop w:val="0"/>
                          <w:marBottom w:val="0"/>
                          <w:divBdr>
                            <w:top w:val="none" w:sz="0" w:space="0" w:color="auto"/>
                            <w:left w:val="none" w:sz="0" w:space="0" w:color="auto"/>
                            <w:bottom w:val="none" w:sz="0" w:space="0" w:color="auto"/>
                            <w:right w:val="none" w:sz="0" w:space="0" w:color="auto"/>
                          </w:divBdr>
                        </w:div>
                        <w:div w:id="1288927902">
                          <w:marLeft w:val="0"/>
                          <w:marRight w:val="0"/>
                          <w:marTop w:val="0"/>
                          <w:marBottom w:val="0"/>
                          <w:divBdr>
                            <w:top w:val="none" w:sz="0" w:space="0" w:color="auto"/>
                            <w:left w:val="none" w:sz="0" w:space="0" w:color="auto"/>
                            <w:bottom w:val="none" w:sz="0" w:space="0" w:color="auto"/>
                            <w:right w:val="none" w:sz="0" w:space="0" w:color="auto"/>
                          </w:divBdr>
                        </w:div>
                        <w:div w:id="1288927913">
                          <w:marLeft w:val="0"/>
                          <w:marRight w:val="0"/>
                          <w:marTop w:val="0"/>
                          <w:marBottom w:val="0"/>
                          <w:divBdr>
                            <w:top w:val="none" w:sz="0" w:space="0" w:color="auto"/>
                            <w:left w:val="none" w:sz="0" w:space="0" w:color="auto"/>
                            <w:bottom w:val="none" w:sz="0" w:space="0" w:color="auto"/>
                            <w:right w:val="none" w:sz="0" w:space="0" w:color="auto"/>
                          </w:divBdr>
                        </w:div>
                        <w:div w:id="1288927929">
                          <w:marLeft w:val="0"/>
                          <w:marRight w:val="0"/>
                          <w:marTop w:val="0"/>
                          <w:marBottom w:val="0"/>
                          <w:divBdr>
                            <w:top w:val="none" w:sz="0" w:space="0" w:color="auto"/>
                            <w:left w:val="none" w:sz="0" w:space="0" w:color="auto"/>
                            <w:bottom w:val="none" w:sz="0" w:space="0" w:color="auto"/>
                            <w:right w:val="none" w:sz="0" w:space="0" w:color="auto"/>
                          </w:divBdr>
                        </w:div>
                        <w:div w:id="1288927937">
                          <w:marLeft w:val="0"/>
                          <w:marRight w:val="0"/>
                          <w:marTop w:val="0"/>
                          <w:marBottom w:val="0"/>
                          <w:divBdr>
                            <w:top w:val="single" w:sz="6" w:space="0" w:color="C2C3C4"/>
                            <w:left w:val="single" w:sz="6" w:space="0" w:color="C2C3C4"/>
                            <w:bottom w:val="none" w:sz="0" w:space="0" w:color="auto"/>
                            <w:right w:val="single" w:sz="6" w:space="0" w:color="C2C3C4"/>
                          </w:divBdr>
                          <w:divsChild>
                            <w:div w:id="1288927772">
                              <w:marLeft w:val="0"/>
                              <w:marRight w:val="0"/>
                              <w:marTop w:val="0"/>
                              <w:marBottom w:val="0"/>
                              <w:divBdr>
                                <w:top w:val="none" w:sz="0" w:space="0" w:color="auto"/>
                                <w:left w:val="none" w:sz="0" w:space="0" w:color="auto"/>
                                <w:bottom w:val="none" w:sz="0" w:space="0" w:color="auto"/>
                                <w:right w:val="none" w:sz="0" w:space="0" w:color="auto"/>
                              </w:divBdr>
                              <w:divsChild>
                                <w:div w:id="1288927773">
                                  <w:marLeft w:val="0"/>
                                  <w:marRight w:val="0"/>
                                  <w:marTop w:val="0"/>
                                  <w:marBottom w:val="0"/>
                                  <w:divBdr>
                                    <w:top w:val="none" w:sz="0" w:space="0" w:color="auto"/>
                                    <w:left w:val="none" w:sz="0" w:space="0" w:color="auto"/>
                                    <w:bottom w:val="none" w:sz="0" w:space="0" w:color="auto"/>
                                    <w:right w:val="none" w:sz="0" w:space="0" w:color="auto"/>
                                  </w:divBdr>
                                  <w:divsChild>
                                    <w:div w:id="1288927613">
                                      <w:marLeft w:val="90"/>
                                      <w:marRight w:val="0"/>
                                      <w:marTop w:val="0"/>
                                      <w:marBottom w:val="0"/>
                                      <w:divBdr>
                                        <w:top w:val="none" w:sz="0" w:space="0" w:color="auto"/>
                                        <w:left w:val="none" w:sz="0" w:space="0" w:color="auto"/>
                                        <w:bottom w:val="none" w:sz="0" w:space="0" w:color="auto"/>
                                        <w:right w:val="none" w:sz="0" w:space="0" w:color="auto"/>
                                      </w:divBdr>
                                    </w:div>
                                    <w:div w:id="1288927617">
                                      <w:marLeft w:val="90"/>
                                      <w:marRight w:val="0"/>
                                      <w:marTop w:val="0"/>
                                      <w:marBottom w:val="0"/>
                                      <w:divBdr>
                                        <w:top w:val="none" w:sz="0" w:space="0" w:color="auto"/>
                                        <w:left w:val="none" w:sz="0" w:space="0" w:color="auto"/>
                                        <w:bottom w:val="none" w:sz="0" w:space="0" w:color="auto"/>
                                        <w:right w:val="none" w:sz="0" w:space="0" w:color="auto"/>
                                      </w:divBdr>
                                    </w:div>
                                    <w:div w:id="1288927649">
                                      <w:marLeft w:val="90"/>
                                      <w:marRight w:val="0"/>
                                      <w:marTop w:val="0"/>
                                      <w:marBottom w:val="0"/>
                                      <w:divBdr>
                                        <w:top w:val="none" w:sz="0" w:space="0" w:color="auto"/>
                                        <w:left w:val="none" w:sz="0" w:space="0" w:color="auto"/>
                                        <w:bottom w:val="none" w:sz="0" w:space="0" w:color="auto"/>
                                        <w:right w:val="none" w:sz="0" w:space="0" w:color="auto"/>
                                      </w:divBdr>
                                    </w:div>
                                    <w:div w:id="1288927729">
                                      <w:marLeft w:val="90"/>
                                      <w:marRight w:val="0"/>
                                      <w:marTop w:val="0"/>
                                      <w:marBottom w:val="0"/>
                                      <w:divBdr>
                                        <w:top w:val="none" w:sz="0" w:space="0" w:color="auto"/>
                                        <w:left w:val="none" w:sz="0" w:space="0" w:color="auto"/>
                                        <w:bottom w:val="none" w:sz="0" w:space="0" w:color="auto"/>
                                        <w:right w:val="none" w:sz="0" w:space="0" w:color="auto"/>
                                      </w:divBdr>
                                    </w:div>
                                    <w:div w:id="1288927817">
                                      <w:marLeft w:val="90"/>
                                      <w:marRight w:val="0"/>
                                      <w:marTop w:val="0"/>
                                      <w:marBottom w:val="0"/>
                                      <w:divBdr>
                                        <w:top w:val="none" w:sz="0" w:space="0" w:color="auto"/>
                                        <w:left w:val="none" w:sz="0" w:space="0" w:color="auto"/>
                                        <w:bottom w:val="none" w:sz="0" w:space="0" w:color="auto"/>
                                        <w:right w:val="none" w:sz="0" w:space="0" w:color="auto"/>
                                      </w:divBdr>
                                    </w:div>
                                    <w:div w:id="128892783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7946">
                          <w:marLeft w:val="0"/>
                          <w:marRight w:val="0"/>
                          <w:marTop w:val="0"/>
                          <w:marBottom w:val="0"/>
                          <w:divBdr>
                            <w:top w:val="none" w:sz="0" w:space="0" w:color="auto"/>
                            <w:left w:val="none" w:sz="0" w:space="0" w:color="auto"/>
                            <w:bottom w:val="none" w:sz="0" w:space="0" w:color="auto"/>
                            <w:right w:val="none" w:sz="0" w:space="0" w:color="auto"/>
                          </w:divBdr>
                        </w:div>
                        <w:div w:id="12889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27908">
      <w:marLeft w:val="0"/>
      <w:marRight w:val="0"/>
      <w:marTop w:val="0"/>
      <w:marBottom w:val="0"/>
      <w:divBdr>
        <w:top w:val="none" w:sz="0" w:space="0" w:color="auto"/>
        <w:left w:val="none" w:sz="0" w:space="0" w:color="auto"/>
        <w:bottom w:val="none" w:sz="0" w:space="0" w:color="auto"/>
        <w:right w:val="none" w:sz="0" w:space="0" w:color="auto"/>
      </w:divBdr>
    </w:div>
    <w:div w:id="1288927909">
      <w:marLeft w:val="0"/>
      <w:marRight w:val="0"/>
      <w:marTop w:val="0"/>
      <w:marBottom w:val="0"/>
      <w:divBdr>
        <w:top w:val="none" w:sz="0" w:space="0" w:color="auto"/>
        <w:left w:val="none" w:sz="0" w:space="0" w:color="auto"/>
        <w:bottom w:val="none" w:sz="0" w:space="0" w:color="auto"/>
        <w:right w:val="none" w:sz="0" w:space="0" w:color="auto"/>
      </w:divBdr>
    </w:div>
    <w:div w:id="1288927911">
      <w:marLeft w:val="0"/>
      <w:marRight w:val="0"/>
      <w:marTop w:val="0"/>
      <w:marBottom w:val="0"/>
      <w:divBdr>
        <w:top w:val="none" w:sz="0" w:space="0" w:color="auto"/>
        <w:left w:val="none" w:sz="0" w:space="0" w:color="auto"/>
        <w:bottom w:val="none" w:sz="0" w:space="0" w:color="auto"/>
        <w:right w:val="none" w:sz="0" w:space="0" w:color="auto"/>
      </w:divBdr>
    </w:div>
    <w:div w:id="1288927912">
      <w:marLeft w:val="0"/>
      <w:marRight w:val="0"/>
      <w:marTop w:val="0"/>
      <w:marBottom w:val="0"/>
      <w:divBdr>
        <w:top w:val="none" w:sz="0" w:space="0" w:color="auto"/>
        <w:left w:val="none" w:sz="0" w:space="0" w:color="auto"/>
        <w:bottom w:val="none" w:sz="0" w:space="0" w:color="auto"/>
        <w:right w:val="none" w:sz="0" w:space="0" w:color="auto"/>
      </w:divBdr>
    </w:div>
    <w:div w:id="1288927914">
      <w:marLeft w:val="0"/>
      <w:marRight w:val="0"/>
      <w:marTop w:val="0"/>
      <w:marBottom w:val="0"/>
      <w:divBdr>
        <w:top w:val="none" w:sz="0" w:space="0" w:color="auto"/>
        <w:left w:val="none" w:sz="0" w:space="0" w:color="auto"/>
        <w:bottom w:val="none" w:sz="0" w:space="0" w:color="auto"/>
        <w:right w:val="none" w:sz="0" w:space="0" w:color="auto"/>
      </w:divBdr>
    </w:div>
    <w:div w:id="1288927916">
      <w:marLeft w:val="0"/>
      <w:marRight w:val="0"/>
      <w:marTop w:val="0"/>
      <w:marBottom w:val="0"/>
      <w:divBdr>
        <w:top w:val="none" w:sz="0" w:space="0" w:color="auto"/>
        <w:left w:val="none" w:sz="0" w:space="0" w:color="auto"/>
        <w:bottom w:val="none" w:sz="0" w:space="0" w:color="auto"/>
        <w:right w:val="none" w:sz="0" w:space="0" w:color="auto"/>
      </w:divBdr>
    </w:div>
    <w:div w:id="1288927917">
      <w:marLeft w:val="0"/>
      <w:marRight w:val="0"/>
      <w:marTop w:val="0"/>
      <w:marBottom w:val="0"/>
      <w:divBdr>
        <w:top w:val="none" w:sz="0" w:space="0" w:color="auto"/>
        <w:left w:val="none" w:sz="0" w:space="0" w:color="auto"/>
        <w:bottom w:val="none" w:sz="0" w:space="0" w:color="auto"/>
        <w:right w:val="none" w:sz="0" w:space="0" w:color="auto"/>
      </w:divBdr>
    </w:div>
    <w:div w:id="1288927918">
      <w:marLeft w:val="0"/>
      <w:marRight w:val="0"/>
      <w:marTop w:val="0"/>
      <w:marBottom w:val="0"/>
      <w:divBdr>
        <w:top w:val="none" w:sz="0" w:space="0" w:color="auto"/>
        <w:left w:val="none" w:sz="0" w:space="0" w:color="auto"/>
        <w:bottom w:val="none" w:sz="0" w:space="0" w:color="auto"/>
        <w:right w:val="none" w:sz="0" w:space="0" w:color="auto"/>
      </w:divBdr>
    </w:div>
    <w:div w:id="1288927921">
      <w:marLeft w:val="0"/>
      <w:marRight w:val="0"/>
      <w:marTop w:val="0"/>
      <w:marBottom w:val="0"/>
      <w:divBdr>
        <w:top w:val="none" w:sz="0" w:space="0" w:color="auto"/>
        <w:left w:val="none" w:sz="0" w:space="0" w:color="auto"/>
        <w:bottom w:val="none" w:sz="0" w:space="0" w:color="auto"/>
        <w:right w:val="none" w:sz="0" w:space="0" w:color="auto"/>
      </w:divBdr>
    </w:div>
    <w:div w:id="1288927922">
      <w:marLeft w:val="0"/>
      <w:marRight w:val="0"/>
      <w:marTop w:val="0"/>
      <w:marBottom w:val="0"/>
      <w:divBdr>
        <w:top w:val="none" w:sz="0" w:space="0" w:color="auto"/>
        <w:left w:val="none" w:sz="0" w:space="0" w:color="auto"/>
        <w:bottom w:val="none" w:sz="0" w:space="0" w:color="auto"/>
        <w:right w:val="none" w:sz="0" w:space="0" w:color="auto"/>
      </w:divBdr>
    </w:div>
    <w:div w:id="1288927923">
      <w:marLeft w:val="0"/>
      <w:marRight w:val="0"/>
      <w:marTop w:val="0"/>
      <w:marBottom w:val="0"/>
      <w:divBdr>
        <w:top w:val="none" w:sz="0" w:space="0" w:color="auto"/>
        <w:left w:val="none" w:sz="0" w:space="0" w:color="auto"/>
        <w:bottom w:val="none" w:sz="0" w:space="0" w:color="auto"/>
        <w:right w:val="none" w:sz="0" w:space="0" w:color="auto"/>
      </w:divBdr>
    </w:div>
    <w:div w:id="1288927924">
      <w:marLeft w:val="0"/>
      <w:marRight w:val="0"/>
      <w:marTop w:val="0"/>
      <w:marBottom w:val="0"/>
      <w:divBdr>
        <w:top w:val="none" w:sz="0" w:space="0" w:color="auto"/>
        <w:left w:val="none" w:sz="0" w:space="0" w:color="auto"/>
        <w:bottom w:val="none" w:sz="0" w:space="0" w:color="auto"/>
        <w:right w:val="none" w:sz="0" w:space="0" w:color="auto"/>
      </w:divBdr>
    </w:div>
    <w:div w:id="1288927925">
      <w:marLeft w:val="0"/>
      <w:marRight w:val="0"/>
      <w:marTop w:val="0"/>
      <w:marBottom w:val="0"/>
      <w:divBdr>
        <w:top w:val="none" w:sz="0" w:space="0" w:color="auto"/>
        <w:left w:val="none" w:sz="0" w:space="0" w:color="auto"/>
        <w:bottom w:val="none" w:sz="0" w:space="0" w:color="auto"/>
        <w:right w:val="none" w:sz="0" w:space="0" w:color="auto"/>
      </w:divBdr>
    </w:div>
    <w:div w:id="1288927927">
      <w:marLeft w:val="0"/>
      <w:marRight w:val="0"/>
      <w:marTop w:val="0"/>
      <w:marBottom w:val="0"/>
      <w:divBdr>
        <w:top w:val="none" w:sz="0" w:space="0" w:color="auto"/>
        <w:left w:val="none" w:sz="0" w:space="0" w:color="auto"/>
        <w:bottom w:val="none" w:sz="0" w:space="0" w:color="auto"/>
        <w:right w:val="none" w:sz="0" w:space="0" w:color="auto"/>
      </w:divBdr>
    </w:div>
    <w:div w:id="1288927928">
      <w:marLeft w:val="0"/>
      <w:marRight w:val="0"/>
      <w:marTop w:val="0"/>
      <w:marBottom w:val="0"/>
      <w:divBdr>
        <w:top w:val="none" w:sz="0" w:space="0" w:color="auto"/>
        <w:left w:val="none" w:sz="0" w:space="0" w:color="auto"/>
        <w:bottom w:val="none" w:sz="0" w:space="0" w:color="auto"/>
        <w:right w:val="none" w:sz="0" w:space="0" w:color="auto"/>
      </w:divBdr>
    </w:div>
    <w:div w:id="1288927930">
      <w:marLeft w:val="0"/>
      <w:marRight w:val="0"/>
      <w:marTop w:val="0"/>
      <w:marBottom w:val="0"/>
      <w:divBdr>
        <w:top w:val="none" w:sz="0" w:space="0" w:color="auto"/>
        <w:left w:val="none" w:sz="0" w:space="0" w:color="auto"/>
        <w:bottom w:val="none" w:sz="0" w:space="0" w:color="auto"/>
        <w:right w:val="none" w:sz="0" w:space="0" w:color="auto"/>
      </w:divBdr>
    </w:div>
    <w:div w:id="1288927931">
      <w:marLeft w:val="0"/>
      <w:marRight w:val="0"/>
      <w:marTop w:val="0"/>
      <w:marBottom w:val="0"/>
      <w:divBdr>
        <w:top w:val="none" w:sz="0" w:space="0" w:color="auto"/>
        <w:left w:val="none" w:sz="0" w:space="0" w:color="auto"/>
        <w:bottom w:val="none" w:sz="0" w:space="0" w:color="auto"/>
        <w:right w:val="none" w:sz="0" w:space="0" w:color="auto"/>
      </w:divBdr>
      <w:divsChild>
        <w:div w:id="1288927602">
          <w:marLeft w:val="0"/>
          <w:marRight w:val="0"/>
          <w:marTop w:val="0"/>
          <w:marBottom w:val="0"/>
          <w:divBdr>
            <w:top w:val="none" w:sz="0" w:space="0" w:color="auto"/>
            <w:left w:val="none" w:sz="0" w:space="0" w:color="auto"/>
            <w:bottom w:val="none" w:sz="0" w:space="0" w:color="auto"/>
            <w:right w:val="none" w:sz="0" w:space="0" w:color="auto"/>
          </w:divBdr>
        </w:div>
        <w:div w:id="1288927618">
          <w:marLeft w:val="0"/>
          <w:marRight w:val="0"/>
          <w:marTop w:val="0"/>
          <w:marBottom w:val="0"/>
          <w:divBdr>
            <w:top w:val="none" w:sz="0" w:space="0" w:color="auto"/>
            <w:left w:val="none" w:sz="0" w:space="0" w:color="auto"/>
            <w:bottom w:val="none" w:sz="0" w:space="0" w:color="auto"/>
            <w:right w:val="none" w:sz="0" w:space="0" w:color="auto"/>
          </w:divBdr>
        </w:div>
        <w:div w:id="1288927785">
          <w:marLeft w:val="0"/>
          <w:marRight w:val="0"/>
          <w:marTop w:val="0"/>
          <w:marBottom w:val="0"/>
          <w:divBdr>
            <w:top w:val="none" w:sz="0" w:space="0" w:color="auto"/>
            <w:left w:val="none" w:sz="0" w:space="0" w:color="auto"/>
            <w:bottom w:val="none" w:sz="0" w:space="0" w:color="auto"/>
            <w:right w:val="none" w:sz="0" w:space="0" w:color="auto"/>
          </w:divBdr>
        </w:div>
        <w:div w:id="1288927841">
          <w:marLeft w:val="0"/>
          <w:marRight w:val="0"/>
          <w:marTop w:val="0"/>
          <w:marBottom w:val="0"/>
          <w:divBdr>
            <w:top w:val="none" w:sz="0" w:space="0" w:color="auto"/>
            <w:left w:val="none" w:sz="0" w:space="0" w:color="auto"/>
            <w:bottom w:val="none" w:sz="0" w:space="0" w:color="auto"/>
            <w:right w:val="none" w:sz="0" w:space="0" w:color="auto"/>
          </w:divBdr>
        </w:div>
        <w:div w:id="1288927871">
          <w:marLeft w:val="0"/>
          <w:marRight w:val="0"/>
          <w:marTop w:val="0"/>
          <w:marBottom w:val="0"/>
          <w:divBdr>
            <w:top w:val="none" w:sz="0" w:space="0" w:color="auto"/>
            <w:left w:val="none" w:sz="0" w:space="0" w:color="auto"/>
            <w:bottom w:val="none" w:sz="0" w:space="0" w:color="auto"/>
            <w:right w:val="none" w:sz="0" w:space="0" w:color="auto"/>
          </w:divBdr>
        </w:div>
        <w:div w:id="1288927915">
          <w:marLeft w:val="0"/>
          <w:marRight w:val="0"/>
          <w:marTop w:val="0"/>
          <w:marBottom w:val="0"/>
          <w:divBdr>
            <w:top w:val="none" w:sz="0" w:space="0" w:color="auto"/>
            <w:left w:val="none" w:sz="0" w:space="0" w:color="auto"/>
            <w:bottom w:val="none" w:sz="0" w:space="0" w:color="auto"/>
            <w:right w:val="none" w:sz="0" w:space="0" w:color="auto"/>
          </w:divBdr>
        </w:div>
        <w:div w:id="1288927926">
          <w:marLeft w:val="0"/>
          <w:marRight w:val="0"/>
          <w:marTop w:val="0"/>
          <w:marBottom w:val="0"/>
          <w:divBdr>
            <w:top w:val="none" w:sz="0" w:space="0" w:color="auto"/>
            <w:left w:val="none" w:sz="0" w:space="0" w:color="auto"/>
            <w:bottom w:val="none" w:sz="0" w:space="0" w:color="auto"/>
            <w:right w:val="none" w:sz="0" w:space="0" w:color="auto"/>
          </w:divBdr>
        </w:div>
      </w:divsChild>
    </w:div>
    <w:div w:id="1288927933">
      <w:marLeft w:val="0"/>
      <w:marRight w:val="0"/>
      <w:marTop w:val="0"/>
      <w:marBottom w:val="0"/>
      <w:divBdr>
        <w:top w:val="none" w:sz="0" w:space="0" w:color="auto"/>
        <w:left w:val="none" w:sz="0" w:space="0" w:color="auto"/>
        <w:bottom w:val="none" w:sz="0" w:space="0" w:color="auto"/>
        <w:right w:val="none" w:sz="0" w:space="0" w:color="auto"/>
      </w:divBdr>
    </w:div>
    <w:div w:id="1288927935">
      <w:marLeft w:val="0"/>
      <w:marRight w:val="0"/>
      <w:marTop w:val="0"/>
      <w:marBottom w:val="0"/>
      <w:divBdr>
        <w:top w:val="none" w:sz="0" w:space="0" w:color="auto"/>
        <w:left w:val="none" w:sz="0" w:space="0" w:color="auto"/>
        <w:bottom w:val="none" w:sz="0" w:space="0" w:color="auto"/>
        <w:right w:val="none" w:sz="0" w:space="0" w:color="auto"/>
      </w:divBdr>
    </w:div>
    <w:div w:id="1288927938">
      <w:marLeft w:val="0"/>
      <w:marRight w:val="0"/>
      <w:marTop w:val="0"/>
      <w:marBottom w:val="0"/>
      <w:divBdr>
        <w:top w:val="none" w:sz="0" w:space="0" w:color="auto"/>
        <w:left w:val="none" w:sz="0" w:space="0" w:color="auto"/>
        <w:bottom w:val="none" w:sz="0" w:space="0" w:color="auto"/>
        <w:right w:val="none" w:sz="0" w:space="0" w:color="auto"/>
      </w:divBdr>
    </w:div>
    <w:div w:id="1288927939">
      <w:marLeft w:val="0"/>
      <w:marRight w:val="0"/>
      <w:marTop w:val="0"/>
      <w:marBottom w:val="0"/>
      <w:divBdr>
        <w:top w:val="none" w:sz="0" w:space="0" w:color="auto"/>
        <w:left w:val="none" w:sz="0" w:space="0" w:color="auto"/>
        <w:bottom w:val="none" w:sz="0" w:space="0" w:color="auto"/>
        <w:right w:val="none" w:sz="0" w:space="0" w:color="auto"/>
      </w:divBdr>
    </w:div>
    <w:div w:id="1288927940">
      <w:marLeft w:val="0"/>
      <w:marRight w:val="0"/>
      <w:marTop w:val="0"/>
      <w:marBottom w:val="0"/>
      <w:divBdr>
        <w:top w:val="none" w:sz="0" w:space="0" w:color="auto"/>
        <w:left w:val="none" w:sz="0" w:space="0" w:color="auto"/>
        <w:bottom w:val="none" w:sz="0" w:space="0" w:color="auto"/>
        <w:right w:val="none" w:sz="0" w:space="0" w:color="auto"/>
      </w:divBdr>
    </w:div>
    <w:div w:id="1288927941">
      <w:marLeft w:val="0"/>
      <w:marRight w:val="0"/>
      <w:marTop w:val="0"/>
      <w:marBottom w:val="0"/>
      <w:divBdr>
        <w:top w:val="none" w:sz="0" w:space="0" w:color="auto"/>
        <w:left w:val="none" w:sz="0" w:space="0" w:color="auto"/>
        <w:bottom w:val="none" w:sz="0" w:space="0" w:color="auto"/>
        <w:right w:val="none" w:sz="0" w:space="0" w:color="auto"/>
      </w:divBdr>
    </w:div>
    <w:div w:id="1288927942">
      <w:marLeft w:val="0"/>
      <w:marRight w:val="0"/>
      <w:marTop w:val="0"/>
      <w:marBottom w:val="0"/>
      <w:divBdr>
        <w:top w:val="none" w:sz="0" w:space="0" w:color="auto"/>
        <w:left w:val="none" w:sz="0" w:space="0" w:color="auto"/>
        <w:bottom w:val="none" w:sz="0" w:space="0" w:color="auto"/>
        <w:right w:val="none" w:sz="0" w:space="0" w:color="auto"/>
      </w:divBdr>
    </w:div>
    <w:div w:id="1288927945">
      <w:marLeft w:val="0"/>
      <w:marRight w:val="0"/>
      <w:marTop w:val="0"/>
      <w:marBottom w:val="0"/>
      <w:divBdr>
        <w:top w:val="none" w:sz="0" w:space="0" w:color="auto"/>
        <w:left w:val="none" w:sz="0" w:space="0" w:color="auto"/>
        <w:bottom w:val="none" w:sz="0" w:space="0" w:color="auto"/>
        <w:right w:val="none" w:sz="0" w:space="0" w:color="auto"/>
      </w:divBdr>
    </w:div>
    <w:div w:id="1288927947">
      <w:marLeft w:val="0"/>
      <w:marRight w:val="0"/>
      <w:marTop w:val="0"/>
      <w:marBottom w:val="0"/>
      <w:divBdr>
        <w:top w:val="none" w:sz="0" w:space="0" w:color="auto"/>
        <w:left w:val="none" w:sz="0" w:space="0" w:color="auto"/>
        <w:bottom w:val="none" w:sz="0" w:space="0" w:color="auto"/>
        <w:right w:val="none" w:sz="0" w:space="0" w:color="auto"/>
      </w:divBdr>
    </w:div>
    <w:div w:id="1288927950">
      <w:marLeft w:val="0"/>
      <w:marRight w:val="0"/>
      <w:marTop w:val="0"/>
      <w:marBottom w:val="0"/>
      <w:divBdr>
        <w:top w:val="none" w:sz="0" w:space="0" w:color="auto"/>
        <w:left w:val="none" w:sz="0" w:space="0" w:color="auto"/>
        <w:bottom w:val="none" w:sz="0" w:space="0" w:color="auto"/>
        <w:right w:val="none" w:sz="0" w:space="0" w:color="auto"/>
      </w:divBdr>
    </w:div>
    <w:div w:id="1288927951">
      <w:marLeft w:val="0"/>
      <w:marRight w:val="0"/>
      <w:marTop w:val="0"/>
      <w:marBottom w:val="0"/>
      <w:divBdr>
        <w:top w:val="none" w:sz="0" w:space="0" w:color="auto"/>
        <w:left w:val="none" w:sz="0" w:space="0" w:color="auto"/>
        <w:bottom w:val="none" w:sz="0" w:space="0" w:color="auto"/>
        <w:right w:val="none" w:sz="0" w:space="0" w:color="auto"/>
      </w:divBdr>
    </w:div>
    <w:div w:id="1288927952">
      <w:marLeft w:val="0"/>
      <w:marRight w:val="0"/>
      <w:marTop w:val="0"/>
      <w:marBottom w:val="0"/>
      <w:divBdr>
        <w:top w:val="none" w:sz="0" w:space="0" w:color="auto"/>
        <w:left w:val="none" w:sz="0" w:space="0" w:color="auto"/>
        <w:bottom w:val="none" w:sz="0" w:space="0" w:color="auto"/>
        <w:right w:val="none" w:sz="0" w:space="0" w:color="auto"/>
      </w:divBdr>
    </w:div>
    <w:div w:id="1288927953">
      <w:marLeft w:val="0"/>
      <w:marRight w:val="0"/>
      <w:marTop w:val="0"/>
      <w:marBottom w:val="0"/>
      <w:divBdr>
        <w:top w:val="none" w:sz="0" w:space="0" w:color="auto"/>
        <w:left w:val="none" w:sz="0" w:space="0" w:color="auto"/>
        <w:bottom w:val="none" w:sz="0" w:space="0" w:color="auto"/>
        <w:right w:val="none" w:sz="0" w:space="0" w:color="auto"/>
      </w:divBdr>
      <w:divsChild>
        <w:div w:id="1288927920">
          <w:marLeft w:val="0"/>
          <w:marRight w:val="0"/>
          <w:marTop w:val="0"/>
          <w:marBottom w:val="0"/>
          <w:divBdr>
            <w:top w:val="none" w:sz="0" w:space="0" w:color="auto"/>
            <w:left w:val="none" w:sz="0" w:space="0" w:color="auto"/>
            <w:bottom w:val="none" w:sz="0" w:space="0" w:color="auto"/>
            <w:right w:val="none" w:sz="0" w:space="0" w:color="auto"/>
          </w:divBdr>
        </w:div>
      </w:divsChild>
    </w:div>
    <w:div w:id="1288927954">
      <w:marLeft w:val="0"/>
      <w:marRight w:val="0"/>
      <w:marTop w:val="0"/>
      <w:marBottom w:val="0"/>
      <w:divBdr>
        <w:top w:val="none" w:sz="0" w:space="0" w:color="auto"/>
        <w:left w:val="none" w:sz="0" w:space="0" w:color="auto"/>
        <w:bottom w:val="none" w:sz="0" w:space="0" w:color="auto"/>
        <w:right w:val="none" w:sz="0" w:space="0" w:color="auto"/>
      </w:divBdr>
    </w:div>
    <w:div w:id="1288927955">
      <w:marLeft w:val="0"/>
      <w:marRight w:val="0"/>
      <w:marTop w:val="0"/>
      <w:marBottom w:val="0"/>
      <w:divBdr>
        <w:top w:val="none" w:sz="0" w:space="0" w:color="auto"/>
        <w:left w:val="none" w:sz="0" w:space="0" w:color="auto"/>
        <w:bottom w:val="none" w:sz="0" w:space="0" w:color="auto"/>
        <w:right w:val="none" w:sz="0" w:space="0" w:color="auto"/>
      </w:divBdr>
    </w:div>
    <w:div w:id="1288927957">
      <w:marLeft w:val="0"/>
      <w:marRight w:val="0"/>
      <w:marTop w:val="0"/>
      <w:marBottom w:val="0"/>
      <w:divBdr>
        <w:top w:val="none" w:sz="0" w:space="0" w:color="auto"/>
        <w:left w:val="none" w:sz="0" w:space="0" w:color="auto"/>
        <w:bottom w:val="none" w:sz="0" w:space="0" w:color="auto"/>
        <w:right w:val="none" w:sz="0" w:space="0" w:color="auto"/>
      </w:divBdr>
    </w:div>
    <w:div w:id="1288927958">
      <w:marLeft w:val="0"/>
      <w:marRight w:val="0"/>
      <w:marTop w:val="0"/>
      <w:marBottom w:val="0"/>
      <w:divBdr>
        <w:top w:val="none" w:sz="0" w:space="0" w:color="auto"/>
        <w:left w:val="none" w:sz="0" w:space="0" w:color="auto"/>
        <w:bottom w:val="none" w:sz="0" w:space="0" w:color="auto"/>
        <w:right w:val="none" w:sz="0" w:space="0" w:color="auto"/>
      </w:divBdr>
    </w:div>
    <w:div w:id="1298998955">
      <w:bodyDiv w:val="1"/>
      <w:marLeft w:val="0"/>
      <w:marRight w:val="0"/>
      <w:marTop w:val="0"/>
      <w:marBottom w:val="0"/>
      <w:divBdr>
        <w:top w:val="none" w:sz="0" w:space="0" w:color="auto"/>
        <w:left w:val="none" w:sz="0" w:space="0" w:color="auto"/>
        <w:bottom w:val="none" w:sz="0" w:space="0" w:color="auto"/>
        <w:right w:val="none" w:sz="0" w:space="0" w:color="auto"/>
      </w:divBdr>
    </w:div>
    <w:div w:id="1312976016">
      <w:bodyDiv w:val="1"/>
      <w:marLeft w:val="0"/>
      <w:marRight w:val="0"/>
      <w:marTop w:val="0"/>
      <w:marBottom w:val="0"/>
      <w:divBdr>
        <w:top w:val="none" w:sz="0" w:space="0" w:color="auto"/>
        <w:left w:val="none" w:sz="0" w:space="0" w:color="auto"/>
        <w:bottom w:val="none" w:sz="0" w:space="0" w:color="auto"/>
        <w:right w:val="none" w:sz="0" w:space="0" w:color="auto"/>
      </w:divBdr>
    </w:div>
    <w:div w:id="1317687509">
      <w:bodyDiv w:val="1"/>
      <w:marLeft w:val="0"/>
      <w:marRight w:val="0"/>
      <w:marTop w:val="0"/>
      <w:marBottom w:val="0"/>
      <w:divBdr>
        <w:top w:val="none" w:sz="0" w:space="0" w:color="auto"/>
        <w:left w:val="none" w:sz="0" w:space="0" w:color="auto"/>
        <w:bottom w:val="none" w:sz="0" w:space="0" w:color="auto"/>
        <w:right w:val="none" w:sz="0" w:space="0" w:color="auto"/>
      </w:divBdr>
    </w:div>
    <w:div w:id="1391928185">
      <w:bodyDiv w:val="1"/>
      <w:marLeft w:val="0"/>
      <w:marRight w:val="0"/>
      <w:marTop w:val="0"/>
      <w:marBottom w:val="0"/>
      <w:divBdr>
        <w:top w:val="none" w:sz="0" w:space="0" w:color="auto"/>
        <w:left w:val="none" w:sz="0" w:space="0" w:color="auto"/>
        <w:bottom w:val="none" w:sz="0" w:space="0" w:color="auto"/>
        <w:right w:val="none" w:sz="0" w:space="0" w:color="auto"/>
      </w:divBdr>
    </w:div>
    <w:div w:id="1420251387">
      <w:bodyDiv w:val="1"/>
      <w:marLeft w:val="0"/>
      <w:marRight w:val="0"/>
      <w:marTop w:val="0"/>
      <w:marBottom w:val="0"/>
      <w:divBdr>
        <w:top w:val="none" w:sz="0" w:space="0" w:color="auto"/>
        <w:left w:val="none" w:sz="0" w:space="0" w:color="auto"/>
        <w:bottom w:val="none" w:sz="0" w:space="0" w:color="auto"/>
        <w:right w:val="none" w:sz="0" w:space="0" w:color="auto"/>
      </w:divBdr>
    </w:div>
    <w:div w:id="1600022005">
      <w:bodyDiv w:val="1"/>
      <w:marLeft w:val="0"/>
      <w:marRight w:val="0"/>
      <w:marTop w:val="0"/>
      <w:marBottom w:val="0"/>
      <w:divBdr>
        <w:top w:val="none" w:sz="0" w:space="0" w:color="auto"/>
        <w:left w:val="none" w:sz="0" w:space="0" w:color="auto"/>
        <w:bottom w:val="none" w:sz="0" w:space="0" w:color="auto"/>
        <w:right w:val="none" w:sz="0" w:space="0" w:color="auto"/>
      </w:divBdr>
    </w:div>
    <w:div w:id="1687557552">
      <w:bodyDiv w:val="1"/>
      <w:marLeft w:val="0"/>
      <w:marRight w:val="0"/>
      <w:marTop w:val="0"/>
      <w:marBottom w:val="0"/>
      <w:divBdr>
        <w:top w:val="none" w:sz="0" w:space="0" w:color="auto"/>
        <w:left w:val="none" w:sz="0" w:space="0" w:color="auto"/>
        <w:bottom w:val="none" w:sz="0" w:space="0" w:color="auto"/>
        <w:right w:val="none" w:sz="0" w:space="0" w:color="auto"/>
      </w:divBdr>
    </w:div>
    <w:div w:id="1743136655">
      <w:bodyDiv w:val="1"/>
      <w:marLeft w:val="0"/>
      <w:marRight w:val="0"/>
      <w:marTop w:val="0"/>
      <w:marBottom w:val="0"/>
      <w:divBdr>
        <w:top w:val="none" w:sz="0" w:space="0" w:color="auto"/>
        <w:left w:val="none" w:sz="0" w:space="0" w:color="auto"/>
        <w:bottom w:val="none" w:sz="0" w:space="0" w:color="auto"/>
        <w:right w:val="none" w:sz="0" w:space="0" w:color="auto"/>
      </w:divBdr>
    </w:div>
    <w:div w:id="1758408145">
      <w:bodyDiv w:val="1"/>
      <w:marLeft w:val="0"/>
      <w:marRight w:val="0"/>
      <w:marTop w:val="0"/>
      <w:marBottom w:val="0"/>
      <w:divBdr>
        <w:top w:val="none" w:sz="0" w:space="0" w:color="auto"/>
        <w:left w:val="none" w:sz="0" w:space="0" w:color="auto"/>
        <w:bottom w:val="none" w:sz="0" w:space="0" w:color="auto"/>
        <w:right w:val="none" w:sz="0" w:space="0" w:color="auto"/>
      </w:divBdr>
    </w:div>
    <w:div w:id="1777407208">
      <w:bodyDiv w:val="1"/>
      <w:marLeft w:val="0"/>
      <w:marRight w:val="0"/>
      <w:marTop w:val="0"/>
      <w:marBottom w:val="0"/>
      <w:divBdr>
        <w:top w:val="none" w:sz="0" w:space="0" w:color="auto"/>
        <w:left w:val="none" w:sz="0" w:space="0" w:color="auto"/>
        <w:bottom w:val="none" w:sz="0" w:space="0" w:color="auto"/>
        <w:right w:val="none" w:sz="0" w:space="0" w:color="auto"/>
      </w:divBdr>
    </w:div>
    <w:div w:id="1826050455">
      <w:bodyDiv w:val="1"/>
      <w:marLeft w:val="0"/>
      <w:marRight w:val="0"/>
      <w:marTop w:val="0"/>
      <w:marBottom w:val="0"/>
      <w:divBdr>
        <w:top w:val="none" w:sz="0" w:space="0" w:color="auto"/>
        <w:left w:val="none" w:sz="0" w:space="0" w:color="auto"/>
        <w:bottom w:val="none" w:sz="0" w:space="0" w:color="auto"/>
        <w:right w:val="none" w:sz="0" w:space="0" w:color="auto"/>
      </w:divBdr>
    </w:div>
    <w:div w:id="19937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ur-lex.europa.eu/LexUriServ/LexUriServ.do?uri=CONSLEG:2006R1828:20091013:EN:HTML"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file:///C:\Users\Anna\Dropbox\AIO_OP%20DRAFTING\CP%20SECTION%20III\Section%20III_table%2016_IPA%201.500.000.xls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nergy-community.org/portal/page/portal/ENC_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Anna\Dropbox\AIO_OP%20DRAFTING\CP%20SECTION%20III\Section%20III_table%2016_IPA%201.500.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outheast-europe.net/" TargetMode="External"/><Relationship Id="rId10" Type="http://schemas.openxmlformats.org/officeDocument/2006/relationships/endnotes" Target="endnotes.xml"/><Relationship Id="rId19" Type="http://schemas.openxmlformats.org/officeDocument/2006/relationships/hyperlink" Target="http://eur-lex.europa.eu/LexUriServ/LexUriServ.do?uri=CONSLEG:2006R1828:20091013: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file:///C:\Users\Anna\Dropbox\AIO_OP%20DRAFTING\CP%20SECTION%20III\Section%20III_table%2016_IPA%201.500.000.xls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ta-project.eu/index.php/start" TargetMode="External"/><Relationship Id="rId2" Type="http://schemas.openxmlformats.org/officeDocument/2006/relationships/hyperlink" Target="http://www.seetac.eu/download/results.aspx" TargetMode="External"/><Relationship Id="rId1" Type="http://schemas.openxmlformats.org/officeDocument/2006/relationships/hyperlink" Target="http://www.southeast-europe.net/en/achievements/outputs_library/" TargetMode="External"/><Relationship Id="rId5" Type="http://schemas.openxmlformats.org/officeDocument/2006/relationships/hyperlink" Target="http://rail4see.eu/downloads/deliverables/" TargetMode="External"/><Relationship Id="rId4" Type="http://schemas.openxmlformats.org/officeDocument/2006/relationships/hyperlink" Target="http://www.watermo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C4679C5B751D45B608C025BF3E3C22" ma:contentTypeVersion="0" ma:contentTypeDescription="Creare un nuovo documento." ma:contentTypeScope="" ma:versionID="f9415189a562344dccf6b3cb7107eec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8BCB-57EA-4BAF-A5E2-165BB5D1B243}">
  <ds:schemaRefs>
    <ds:schemaRef ds:uri="http://schemas.microsoft.com/sharepoint/v3/contenttype/forms"/>
  </ds:schemaRefs>
</ds:datastoreItem>
</file>

<file path=customXml/itemProps2.xml><?xml version="1.0" encoding="utf-8"?>
<ds:datastoreItem xmlns:ds="http://schemas.openxmlformats.org/officeDocument/2006/customXml" ds:itemID="{57175029-CE33-4965-8A6E-06B402B3E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3949F7-A5A2-45BF-8656-414427F286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98B3F-334C-45C0-865F-7E6B03B1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45565</Words>
  <Characters>259722</Characters>
  <Application>Microsoft Office Word</Application>
  <DocSecurity>0</DocSecurity>
  <Lines>2164</Lines>
  <Paragraphs>609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304678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Dorangricchia</dc:creator>
  <cp:lastModifiedBy>klaudia.brojka</cp:lastModifiedBy>
  <cp:revision>2</cp:revision>
  <cp:lastPrinted>2015-06-16T07:32:00Z</cp:lastPrinted>
  <dcterms:created xsi:type="dcterms:W3CDTF">2015-11-18T10:59:00Z</dcterms:created>
  <dcterms:modified xsi:type="dcterms:W3CDTF">2015-11-18T10:59:00Z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0x0101002BC4679C5B751D45B608C025BF3E3C22</vt:lpwstr>
  </property>
</Properties>
</file>