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5075" w14:textId="77777777" w:rsidR="00651CD8" w:rsidRDefault="00651CD8"/>
    <w:p w14:paraId="5F8DD125" w14:textId="77777777" w:rsidR="00651CD8" w:rsidRDefault="00651CD8"/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2070"/>
        <w:gridCol w:w="1800"/>
        <w:gridCol w:w="6300"/>
        <w:gridCol w:w="1620"/>
      </w:tblGrid>
      <w:tr w:rsidR="001C0074" w:rsidRPr="005623BA" w14:paraId="31361480" w14:textId="77777777" w:rsidTr="001C0074">
        <w:tc>
          <w:tcPr>
            <w:tcW w:w="535" w:type="dxa"/>
          </w:tcPr>
          <w:p w14:paraId="34C355C9" w14:textId="34E31751" w:rsidR="0097002F" w:rsidRPr="005623BA" w:rsidRDefault="009700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</w:tc>
        <w:tc>
          <w:tcPr>
            <w:tcW w:w="1620" w:type="dxa"/>
          </w:tcPr>
          <w:p w14:paraId="44BEBD9C" w14:textId="7E13AF50" w:rsidR="0097002F" w:rsidRPr="005623BA" w:rsidRDefault="009700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e </w:t>
            </w: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regjistrimit</w:t>
            </w:r>
            <w:proofErr w:type="spellEnd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kërkesës</w:t>
            </w:r>
            <w:proofErr w:type="spellEnd"/>
          </w:p>
        </w:tc>
        <w:tc>
          <w:tcPr>
            <w:tcW w:w="2070" w:type="dxa"/>
          </w:tcPr>
          <w:p w14:paraId="647CEF59" w14:textId="2AAAE268" w:rsidR="0097002F" w:rsidRPr="005623BA" w:rsidRDefault="009700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e </w:t>
            </w: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kthimit</w:t>
            </w:r>
            <w:proofErr w:type="spellEnd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përgjigjes</w:t>
            </w:r>
            <w:proofErr w:type="spellEnd"/>
          </w:p>
        </w:tc>
        <w:tc>
          <w:tcPr>
            <w:tcW w:w="1800" w:type="dxa"/>
          </w:tcPr>
          <w:p w14:paraId="27F715D4" w14:textId="7057F434" w:rsidR="0097002F" w:rsidRPr="005623BA" w:rsidRDefault="009700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Kërkesa</w:t>
            </w:r>
            <w:proofErr w:type="spellEnd"/>
          </w:p>
        </w:tc>
        <w:tc>
          <w:tcPr>
            <w:tcW w:w="6300" w:type="dxa"/>
          </w:tcPr>
          <w:p w14:paraId="4D0D4074" w14:textId="3626D229" w:rsidR="0097002F" w:rsidRPr="005623BA" w:rsidRDefault="009700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Përgjigje</w:t>
            </w:r>
            <w:proofErr w:type="spellEnd"/>
          </w:p>
        </w:tc>
        <w:tc>
          <w:tcPr>
            <w:tcW w:w="1620" w:type="dxa"/>
          </w:tcPr>
          <w:p w14:paraId="106E8533" w14:textId="44A2E66E" w:rsidR="0097002F" w:rsidRPr="005623BA" w:rsidRDefault="009700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Mënyra</w:t>
            </w:r>
            <w:proofErr w:type="spellEnd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përfundimit</w:t>
            </w:r>
            <w:proofErr w:type="spellEnd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kërkesës</w:t>
            </w:r>
            <w:proofErr w:type="spellEnd"/>
          </w:p>
        </w:tc>
      </w:tr>
      <w:tr w:rsidR="00A21EDC" w:rsidRPr="005623BA" w14:paraId="496ED327" w14:textId="77777777" w:rsidTr="001C0074">
        <w:tc>
          <w:tcPr>
            <w:tcW w:w="535" w:type="dxa"/>
          </w:tcPr>
          <w:p w14:paraId="7193A54F" w14:textId="4FF88E3D" w:rsidR="00A21EDC" w:rsidRPr="005623BA" w:rsidRDefault="00283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14:paraId="4839B9BD" w14:textId="7E3FACAC" w:rsidR="00A21EDC" w:rsidRPr="005623BA" w:rsidRDefault="00A21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2070" w:type="dxa"/>
          </w:tcPr>
          <w:p w14:paraId="6997732E" w14:textId="338A6C31" w:rsidR="00A21EDC" w:rsidRPr="005623BA" w:rsidRDefault="00092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800" w:type="dxa"/>
          </w:tcPr>
          <w:p w14:paraId="722A9EA6" w14:textId="7C8521C6" w:rsidR="00A21EDC" w:rsidRPr="005623BA" w:rsidRDefault="009F7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Informcion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infermierë</w:t>
            </w:r>
            <w:proofErr w:type="spellEnd"/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Shqipërinë</w:t>
            </w:r>
            <w:proofErr w:type="spellEnd"/>
          </w:p>
        </w:tc>
        <w:tc>
          <w:tcPr>
            <w:tcW w:w="6300" w:type="dxa"/>
          </w:tcPr>
          <w:p w14:paraId="73969543" w14:textId="30D1BE0B" w:rsidR="00E75B7D" w:rsidRPr="005623BA" w:rsidRDefault="00E75B7D" w:rsidP="00E75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Procedurat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punësimit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profesionistet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shkencave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teknike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institucionet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shëndetësore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publike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Republikën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nëpermjet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platformës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elektronike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rregullohen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="00857DCD" w:rsidRPr="005623BA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dhëzim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7DCD" w:rsidRPr="005623B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r. 204,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09.04.2024.</w:t>
            </w:r>
          </w:p>
          <w:p w14:paraId="05B161C5" w14:textId="681AE256" w:rsidR="002A0E16" w:rsidRPr="005623BA" w:rsidRDefault="002A0E16" w:rsidP="002A0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Kandidatët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interesuar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regjistrohen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portalin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Infermier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ngarkojnë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portalin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Infermier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dokumentet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kërkuara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BCE1004" w14:textId="4C7027BD" w:rsidR="002A0E16" w:rsidRPr="005623BA" w:rsidRDefault="002A0E16" w:rsidP="002A0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Udhezimi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sipercituar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referon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noterizimin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diplomave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</w:p>
          <w:p w14:paraId="7B49223F" w14:textId="77777777" w:rsidR="002A0E16" w:rsidRPr="005623BA" w:rsidRDefault="002A0E16" w:rsidP="002A0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3BEF3" w14:textId="4AE490D2" w:rsidR="002A0E16" w:rsidRPr="005623BA" w:rsidRDefault="002A0E16" w:rsidP="002A0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Deklarata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vërtetësinë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dokumentacionit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ngarkuar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online </w:t>
            </w:r>
            <w:proofErr w:type="spellStart"/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sht</w:t>
            </w:r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pjes</w:t>
            </w:r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po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tij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</w:t>
            </w:r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zimi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htojca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r. 2,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publikuar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ubrik</w:t>
            </w:r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Legjislacioni</w:t>
            </w:r>
            <w:proofErr w:type="spellEnd"/>
            <w:r w:rsidR="003B1A84" w:rsidRPr="005623BA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DB1580D" w14:textId="77777777" w:rsidR="002A0E16" w:rsidRPr="005623BA" w:rsidRDefault="002A0E16" w:rsidP="002A0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A5647" w14:textId="77777777" w:rsidR="002A0E16" w:rsidRPr="005623BA" w:rsidRDefault="002A0E16" w:rsidP="00E75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53891" w14:textId="77777777" w:rsidR="00A21EDC" w:rsidRPr="005623BA" w:rsidRDefault="00A21EDC" w:rsidP="00D326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1281308" w14:textId="5A63F8EF" w:rsidR="00A21EDC" w:rsidRPr="005623BA" w:rsidRDefault="00092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1C0074" w:rsidRPr="005623BA" w14:paraId="4F85C01A" w14:textId="77777777" w:rsidTr="001C0074">
        <w:tc>
          <w:tcPr>
            <w:tcW w:w="535" w:type="dxa"/>
          </w:tcPr>
          <w:p w14:paraId="02BD4872" w14:textId="759894B1" w:rsidR="0097002F" w:rsidRPr="005623BA" w:rsidRDefault="00283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14:paraId="3290FE01" w14:textId="1CFE78B4" w:rsidR="0097002F" w:rsidRPr="005623BA" w:rsidRDefault="00AC3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02.09.2025</w:t>
            </w:r>
          </w:p>
        </w:tc>
        <w:tc>
          <w:tcPr>
            <w:tcW w:w="2070" w:type="dxa"/>
          </w:tcPr>
          <w:p w14:paraId="7F6D35DE" w14:textId="2C1DA296" w:rsidR="0097002F" w:rsidRPr="005623BA" w:rsidRDefault="00AC3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02.09.2025</w:t>
            </w:r>
          </w:p>
        </w:tc>
        <w:tc>
          <w:tcPr>
            <w:tcW w:w="1800" w:type="dxa"/>
          </w:tcPr>
          <w:p w14:paraId="1BB87DC3" w14:textId="2337C08F" w:rsidR="0097002F" w:rsidRPr="005623BA" w:rsidRDefault="00351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përfitimin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bonusit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bebes</w:t>
            </w:r>
            <w:proofErr w:type="spellEnd"/>
          </w:p>
        </w:tc>
        <w:tc>
          <w:tcPr>
            <w:tcW w:w="6300" w:type="dxa"/>
          </w:tcPr>
          <w:p w14:paraId="10029F89" w14:textId="337B3E71" w:rsidR="00D32649" w:rsidRPr="005623BA" w:rsidRDefault="00D32649" w:rsidP="00D326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Bazuar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ligjin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nr. 57/2019, 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asistencën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Republikën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”,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ndryshuar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neni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9, pika 1,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përfitues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ndihmës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menjëhershme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financiare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bonusi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bebes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foshnjën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porsalindur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prindi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prindërit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fëmijës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cilët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jetojnë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territorin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Republikës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FBD5BEA" w14:textId="15362425" w:rsidR="0097002F" w:rsidRPr="005623BA" w:rsidRDefault="00D32649" w:rsidP="00D326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Sipas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nenit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11, pika (a)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po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këtij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ligji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përfitojnë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shtetasit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shqiptarë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jetojnë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jashtë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territorit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Republikës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20" w:type="dxa"/>
          </w:tcPr>
          <w:p w14:paraId="6E7BCAB7" w14:textId="37E4E29E" w:rsidR="0097002F" w:rsidRPr="005623BA" w:rsidRDefault="00815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1C0074" w:rsidRPr="005623BA" w14:paraId="1AB0F4C7" w14:textId="77777777" w:rsidTr="001C0074">
        <w:tc>
          <w:tcPr>
            <w:tcW w:w="535" w:type="dxa"/>
          </w:tcPr>
          <w:p w14:paraId="5927752B" w14:textId="3A1D034E" w:rsidR="0097002F" w:rsidRPr="005623BA" w:rsidRDefault="00283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14:paraId="59C6D6A6" w14:textId="4D3AA2CE" w:rsidR="0097002F" w:rsidRPr="005623BA" w:rsidRDefault="00331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22.09.2025</w:t>
            </w:r>
          </w:p>
        </w:tc>
        <w:tc>
          <w:tcPr>
            <w:tcW w:w="2070" w:type="dxa"/>
          </w:tcPr>
          <w:p w14:paraId="3C258AF4" w14:textId="560C44B1" w:rsidR="0097002F" w:rsidRPr="005623BA" w:rsidRDefault="0061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22.09.2025</w:t>
            </w:r>
          </w:p>
        </w:tc>
        <w:tc>
          <w:tcPr>
            <w:tcW w:w="1800" w:type="dxa"/>
          </w:tcPr>
          <w:p w14:paraId="075074A8" w14:textId="5B432529" w:rsidR="0097002F" w:rsidRPr="005623BA" w:rsidRDefault="0012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mbrojtjen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veçantë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shteti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gratë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papuna</w:t>
            </w:r>
            <w:proofErr w:type="spellEnd"/>
          </w:p>
        </w:tc>
        <w:tc>
          <w:tcPr>
            <w:tcW w:w="6300" w:type="dxa"/>
          </w:tcPr>
          <w:p w14:paraId="65BD70BA" w14:textId="18E30765" w:rsidR="00F15DDE" w:rsidRPr="005623BA" w:rsidRDefault="00E43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Aplikimi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përfitim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bëhet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nëpërmjet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platformës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e-Albania,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konkretisht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shërbimin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Aplikim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përfitim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programi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veçantë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shteti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gratë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papuna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tre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apo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shumë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fëmijë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moshës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deri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18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vjeç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ju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mundëson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gjithë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grave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papuna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tre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apo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shumë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fëmijë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moshës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deri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18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vjeç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njëri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prej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nën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moshën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vjeç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familja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ka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ardhura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nën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100 000 (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njëqind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mijë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lekë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muaj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njohjen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periudhë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sigurimi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efekt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përfitimi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pensioni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pleqërie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barrëlindjeje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periudhën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kujdesit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ndaj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fëmijës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deri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>moshën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5-vjeçare. </w:t>
            </w:r>
          </w:p>
          <w:p w14:paraId="16168BDD" w14:textId="5DF072A2" w:rsidR="0097002F" w:rsidRPr="005623BA" w:rsidRDefault="00727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Bashkëlidhur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linku</w:t>
            </w:r>
            <w:proofErr w:type="spellEnd"/>
            <w:r w:rsidR="00F15DD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5" w:history="1">
              <w:r w:rsidRPr="005623B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https://ealbania.al/eAlbaniaServices/UseService.aspx?service_code=15191</w:t>
              </w:r>
            </w:hyperlink>
          </w:p>
          <w:p w14:paraId="3498057B" w14:textId="42976F78" w:rsidR="007279E3" w:rsidRPr="005623BA" w:rsidRDefault="007279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7171F38" w14:textId="3FBE62EC" w:rsidR="0097002F" w:rsidRPr="005623BA" w:rsidRDefault="00E43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1C0074" w:rsidRPr="005623BA" w14:paraId="411E7654" w14:textId="77777777" w:rsidTr="001C0074">
        <w:tc>
          <w:tcPr>
            <w:tcW w:w="535" w:type="dxa"/>
          </w:tcPr>
          <w:p w14:paraId="11AB3AA1" w14:textId="61C57E04" w:rsidR="0097002F" w:rsidRPr="005623BA" w:rsidRDefault="00283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</w:tcPr>
          <w:p w14:paraId="70F4FF23" w14:textId="4F0B4C20" w:rsidR="0097002F" w:rsidRPr="005623BA" w:rsidRDefault="00FF3C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23.09.2025</w:t>
            </w:r>
          </w:p>
        </w:tc>
        <w:tc>
          <w:tcPr>
            <w:tcW w:w="2070" w:type="dxa"/>
          </w:tcPr>
          <w:p w14:paraId="01ECDAF4" w14:textId="71A1DB93" w:rsidR="0097002F" w:rsidRPr="005623BA" w:rsidRDefault="00980D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800" w:type="dxa"/>
          </w:tcPr>
          <w:p w14:paraId="76987238" w14:textId="2A797CA2" w:rsidR="0097002F" w:rsidRPr="005623BA" w:rsidRDefault="00980D77" w:rsidP="00980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marrjen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medikamenti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shtetas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huaj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Republikën</w:t>
            </w:r>
            <w:proofErr w:type="spellEnd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A867C2"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</w:p>
        </w:tc>
        <w:tc>
          <w:tcPr>
            <w:tcW w:w="6300" w:type="dxa"/>
          </w:tcPr>
          <w:p w14:paraId="366BBC97" w14:textId="347B9D3E" w:rsidR="00BE40A0" w:rsidRPr="005623BA" w:rsidRDefault="00BE40A0" w:rsidP="00BE4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përputhje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Ligjin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nr. 7975,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26.07.1995, 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narkotike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psikotrope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substancat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kontrolluara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”,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ndryshuar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8A466E" w:rsidRPr="005623BA">
              <w:rPr>
                <w:rFonts w:ascii="Times New Roman" w:hAnsi="Times New Roman" w:cs="Times New Roman"/>
                <w:sz w:val="18"/>
                <w:szCs w:val="18"/>
              </w:rPr>
              <w:t>informohet</w:t>
            </w:r>
            <w:proofErr w:type="spellEnd"/>
            <w:r w:rsidR="008A466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substanca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metilfenidat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klasifikohet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Grupin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II, Lista II,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përfshihen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substancat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psikotrope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përdorim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mjekësor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miratuar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E2EBC0E" w14:textId="77777777" w:rsidR="00BE40A0" w:rsidRPr="005623BA" w:rsidRDefault="00BE40A0" w:rsidP="00BE4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Sipas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nenit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78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ligjit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sipërpërmendur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1F13EB3" w14:textId="77777777" w:rsidR="00BE40A0" w:rsidRPr="005623BA" w:rsidRDefault="00BE40A0" w:rsidP="00BE4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Pacientët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trajtim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udhëtojnë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brenda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territorit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Republikës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lejohen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mbajnë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përdorim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personal preparate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përmbajnë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substanca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psikotrope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Grupit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III,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sasi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kalon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trajtimin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7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substancat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Grupit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30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substancat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Grupit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III.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Këta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pacientë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duhet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mbajnë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kopje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recetave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përkatëse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.”</w:t>
            </w:r>
          </w:p>
          <w:p w14:paraId="5EFF3C28" w14:textId="77777777" w:rsidR="00BE40A0" w:rsidRPr="005623BA" w:rsidRDefault="00BE40A0" w:rsidP="00BE4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këtë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kuadër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personat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mbajnë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preparate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përmbajnë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metilfenidat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duhet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tejkalojnë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sasi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7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trajtim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duhet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kenë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vete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kopje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recetës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justifikon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përdorimin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sasinë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mbajtur</w:t>
            </w:r>
            <w:proofErr w:type="spellEnd"/>
          </w:p>
          <w:p w14:paraId="5162B54C" w14:textId="77777777" w:rsidR="0097002F" w:rsidRPr="005623BA" w:rsidRDefault="009700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2D20531" w14:textId="26A9D338" w:rsidR="0097002F" w:rsidRPr="005623BA" w:rsidRDefault="00BE4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1C0074" w:rsidRPr="005623BA" w14:paraId="1730CF36" w14:textId="77777777" w:rsidTr="001C0074">
        <w:tc>
          <w:tcPr>
            <w:tcW w:w="535" w:type="dxa"/>
          </w:tcPr>
          <w:p w14:paraId="48AE3E18" w14:textId="052AE101" w:rsidR="0097002F" w:rsidRPr="005623BA" w:rsidRDefault="00283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</w:tcPr>
          <w:p w14:paraId="5F9106CB" w14:textId="472761E8" w:rsidR="0097002F" w:rsidRPr="005623BA" w:rsidRDefault="00CA6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07.10.2025</w:t>
            </w:r>
          </w:p>
        </w:tc>
        <w:tc>
          <w:tcPr>
            <w:tcW w:w="2070" w:type="dxa"/>
          </w:tcPr>
          <w:p w14:paraId="59BE7F0C" w14:textId="51506EF1" w:rsidR="0097002F" w:rsidRPr="005623BA" w:rsidRDefault="00CA6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07.10.2025</w:t>
            </w:r>
          </w:p>
        </w:tc>
        <w:tc>
          <w:tcPr>
            <w:tcW w:w="1800" w:type="dxa"/>
          </w:tcPr>
          <w:p w14:paraId="7C1CDF60" w14:textId="756858CB" w:rsidR="0097002F" w:rsidRPr="005623BA" w:rsidRDefault="00ED0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procedur</w:t>
            </w:r>
            <w:r w:rsidR="00390804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legalizimit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90804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spellEnd"/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>dokumentat</w:t>
            </w:r>
            <w:proofErr w:type="spellEnd"/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>profesionale</w:t>
            </w:r>
            <w:proofErr w:type="spellEnd"/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F3125" w:rsidRPr="005623BA">
              <w:rPr>
                <w:rFonts w:ascii="Times New Roman" w:hAnsi="Times New Roman" w:cs="Times New Roman"/>
                <w:sz w:val="18"/>
                <w:szCs w:val="18"/>
              </w:rPr>
              <w:t>akademike</w:t>
            </w:r>
            <w:proofErr w:type="spellEnd"/>
          </w:p>
        </w:tc>
        <w:tc>
          <w:tcPr>
            <w:tcW w:w="6300" w:type="dxa"/>
          </w:tcPr>
          <w:p w14:paraId="6E34A813" w14:textId="77777777" w:rsidR="00390804" w:rsidRPr="005623BA" w:rsidRDefault="00390804" w:rsidP="0039080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Dokumentacionet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legalizon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Ministria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Shendetesise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jane: </w:t>
            </w:r>
          </w:p>
          <w:p w14:paraId="7520D410" w14:textId="77777777" w:rsidR="00390804" w:rsidRPr="005623BA" w:rsidRDefault="00390804" w:rsidP="0039080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Licenca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ushtrimit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profesionit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mjekut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Urdhri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Mjekut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7747110" w14:textId="77777777" w:rsidR="00390804" w:rsidRPr="005623BA" w:rsidRDefault="00390804" w:rsidP="0039080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2.Vërtetimi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punës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përvoja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profesionale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institucione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publike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ose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private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shëndetësore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922210C" w14:textId="77777777" w:rsidR="00390804" w:rsidRPr="005623BA" w:rsidRDefault="00390804" w:rsidP="0039080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Dëshmia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praktikës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Pflichtpraktikum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5A7F9B" w14:textId="77777777" w:rsidR="00390804" w:rsidRPr="005623BA" w:rsidRDefault="00390804" w:rsidP="0039080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Vërtetimi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“Good Standing” 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Urdhri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Mjekut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B254EA" w14:textId="77777777" w:rsidR="0097002F" w:rsidRPr="005623BA" w:rsidRDefault="009700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6709CB4" w14:textId="750330A2" w:rsidR="0097002F" w:rsidRPr="005623BA" w:rsidRDefault="00BD7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1C0074" w:rsidRPr="005623BA" w14:paraId="246D5114" w14:textId="77777777" w:rsidTr="001C0074">
        <w:tc>
          <w:tcPr>
            <w:tcW w:w="535" w:type="dxa"/>
          </w:tcPr>
          <w:p w14:paraId="468A13D2" w14:textId="6CBE88CF" w:rsidR="0097002F" w:rsidRPr="005623BA" w:rsidRDefault="00283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</w:tcPr>
          <w:p w14:paraId="3A274AE3" w14:textId="5D57B4F0" w:rsidR="0097002F" w:rsidRPr="005623BA" w:rsidRDefault="00330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09.10.2025</w:t>
            </w:r>
          </w:p>
        </w:tc>
        <w:tc>
          <w:tcPr>
            <w:tcW w:w="2070" w:type="dxa"/>
          </w:tcPr>
          <w:p w14:paraId="1070BA03" w14:textId="04DF8D3D" w:rsidR="0097002F" w:rsidRPr="005623BA" w:rsidRDefault="00330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10.10.2025</w:t>
            </w:r>
          </w:p>
        </w:tc>
        <w:tc>
          <w:tcPr>
            <w:tcW w:w="1800" w:type="dxa"/>
          </w:tcPr>
          <w:p w14:paraId="4F9CCCDF" w14:textId="5A369557" w:rsidR="0097002F" w:rsidRPr="005623BA" w:rsidRDefault="00330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="00B5426C" w:rsidRPr="005623BA">
              <w:rPr>
                <w:rFonts w:ascii="Times New Roman" w:hAnsi="Times New Roman" w:cs="Times New Roman"/>
                <w:sz w:val="18"/>
                <w:szCs w:val="18"/>
              </w:rPr>
              <w:t>skem</w:t>
            </w:r>
            <w:r w:rsidR="00BD7B7A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="00B5426C" w:rsidRPr="005623B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="00B5426C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B5426C" w:rsidRPr="005623BA">
              <w:rPr>
                <w:rFonts w:ascii="Times New Roman" w:hAnsi="Times New Roman" w:cs="Times New Roman"/>
                <w:sz w:val="18"/>
                <w:szCs w:val="18"/>
              </w:rPr>
              <w:t>ndihm</w:t>
            </w:r>
            <w:r w:rsidR="00BD7B7A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="00B5426C" w:rsidRPr="005623B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proofErr w:type="spellEnd"/>
            <w:r w:rsidR="00B5426C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426C" w:rsidRPr="005623BA"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</w:p>
        </w:tc>
        <w:tc>
          <w:tcPr>
            <w:tcW w:w="6300" w:type="dxa"/>
          </w:tcPr>
          <w:p w14:paraId="4D6C614D" w14:textId="33D2C333" w:rsidR="0097002F" w:rsidRPr="005623BA" w:rsidRDefault="00D81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D7B7A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rcjellje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D7B7A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kompetenc</w:t>
            </w:r>
            <w:r w:rsidR="00BD7B7A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trajtim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D36F31">
              <w:rPr>
                <w:rFonts w:ascii="Times New Roman" w:hAnsi="Times New Roman" w:cs="Times New Roman"/>
                <w:sz w:val="18"/>
                <w:szCs w:val="18"/>
              </w:rPr>
              <w:t>hërbimi</w:t>
            </w:r>
            <w:proofErr w:type="spellEnd"/>
            <w:r w:rsidR="00D36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Social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Shtet</w:t>
            </w:r>
            <w:r w:rsidR="00BD7B7A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ror</w:t>
            </w:r>
            <w:proofErr w:type="spellEnd"/>
          </w:p>
        </w:tc>
        <w:tc>
          <w:tcPr>
            <w:tcW w:w="1620" w:type="dxa"/>
          </w:tcPr>
          <w:p w14:paraId="51DD9C17" w14:textId="08345B5C" w:rsidR="0097002F" w:rsidRPr="005623BA" w:rsidRDefault="00BD7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BD7B7A" w:rsidRPr="005623BA" w14:paraId="33CDD0BF" w14:textId="77777777" w:rsidTr="001C0074">
        <w:tc>
          <w:tcPr>
            <w:tcW w:w="535" w:type="dxa"/>
          </w:tcPr>
          <w:p w14:paraId="49C7D2F4" w14:textId="1C617A97" w:rsidR="00BD7B7A" w:rsidRPr="005623BA" w:rsidRDefault="00BD7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</w:tcPr>
          <w:p w14:paraId="11F4C604" w14:textId="01C9D745" w:rsidR="00BD7B7A" w:rsidRPr="005623BA" w:rsidRDefault="00012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CE0BCE" w:rsidRPr="005623B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2070" w:type="dxa"/>
          </w:tcPr>
          <w:p w14:paraId="765D4617" w14:textId="1E518C9A" w:rsidR="00BD7B7A" w:rsidRPr="005623BA" w:rsidRDefault="00CE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800" w:type="dxa"/>
          </w:tcPr>
          <w:p w14:paraId="7356DADC" w14:textId="1FE3FC05" w:rsidR="00BD7B7A" w:rsidRPr="005623BA" w:rsidRDefault="00012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 w:rsidR="00537377" w:rsidRPr="005623BA">
              <w:rPr>
                <w:rFonts w:ascii="Times New Roman" w:hAnsi="Times New Roman" w:cs="Times New Roman"/>
                <w:sz w:val="18"/>
                <w:szCs w:val="18"/>
              </w:rPr>
              <w:t>mbursueshme</w:t>
            </w:r>
            <w:proofErr w:type="spellEnd"/>
          </w:p>
        </w:tc>
        <w:tc>
          <w:tcPr>
            <w:tcW w:w="6300" w:type="dxa"/>
          </w:tcPr>
          <w:p w14:paraId="6960DC99" w14:textId="7170B8CF" w:rsidR="00CD2E43" w:rsidRPr="005623BA" w:rsidRDefault="00A60848" w:rsidP="00CD2E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Ne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faqen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web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Fondit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Detyrueshëm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Kujdesit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Shëndetësor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(fsdksh.gov.al)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mund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gjeni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publikuar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gjitha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Listat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Rimbursueshme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viti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2021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deri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sot.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Specifikisht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objekt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rimbursimi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shpërndahen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farmacinë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QSUT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gjeni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Lista 1.</w:t>
            </w:r>
            <w:r w:rsidR="00D751F9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FSDKSH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cdo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muaj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vitit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kalendarik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publikon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faqen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saj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zyrtare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konsumin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gjitha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rimbursueshme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rubrikën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Statistika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Mujore</w:t>
            </w:r>
            <w:proofErr w:type="spellEnd"/>
            <w:r w:rsidR="00CD2E43" w:rsidRPr="005623BA">
              <w:rPr>
                <w:rFonts w:ascii="Times New Roman" w:hAnsi="Times New Roman" w:cs="Times New Roman"/>
                <w:sz w:val="18"/>
                <w:szCs w:val="18"/>
              </w:rPr>
              <w:t>”).</w:t>
            </w:r>
          </w:p>
          <w:p w14:paraId="64C644D7" w14:textId="77777777" w:rsidR="005A12B7" w:rsidRPr="005623BA" w:rsidRDefault="00D751F9" w:rsidP="005A12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Duhet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keni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parasysh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regjistrimi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republikën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bëhet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Mbajtësit</w:t>
            </w:r>
            <w:proofErr w:type="spellEnd"/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Autorizimit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(MAH) apo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zyrat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përfaqësuesive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tyre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. Pasi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bar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merr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miratimin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qenë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Listën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Rimbursueshme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(LBR),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atëherë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MAH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këtij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jep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drejtën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importimit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barit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fjalë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apo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edhe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depove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ndryshme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farmaceutike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Prandaj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Listën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Rimbursueshme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 (</w:t>
            </w:r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cila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miratohet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VKM)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evidentohet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vetëm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Mbajtësi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Autorizimit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Tregëtim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jo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importuesi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këto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kushte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munt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t’Ju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themi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importuesit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bar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caktuar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ndryshojnë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vazhdimisht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varësi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flexibilitetit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tregut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farmaceutik</w:t>
            </w:r>
            <w:proofErr w:type="spellEnd"/>
          </w:p>
          <w:p w14:paraId="216CBBCD" w14:textId="3F84CD56" w:rsidR="005A12B7" w:rsidRPr="005623BA" w:rsidRDefault="005A12B7" w:rsidP="005A12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Buxheti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vjetor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rimbursimit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përcaktuar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ligjin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buxhetor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shpërndahet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njësitë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shpenzuese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6D7A44" w14:textId="4E834670" w:rsidR="005A12B7" w:rsidRPr="005623BA" w:rsidRDefault="005A12B7" w:rsidP="005A12B7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Njësitë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shpenzuese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hartojnë</w:t>
            </w:r>
            <w:proofErr w:type="spellEnd"/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planin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mujor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detajuar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nivel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qendre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shëndetësore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mjeku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spitali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listës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tregtohen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farmacitë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spitaleve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bazuar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negocimin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bërë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ofruesit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shërbimit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lëshimin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recetës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rimbursim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9F877E3" w14:textId="78DFDA92" w:rsidR="005A12B7" w:rsidRPr="005623BA" w:rsidRDefault="005A12B7" w:rsidP="005A12B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Monitorimi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treguesve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rimbursimit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sëmundshmërisë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nivel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qendre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shëndetësore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mjeku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spitali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listës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tregtohen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farmacitë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spitaleve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konsumit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tjerë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tregues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rimbursimit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bazuar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ne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recetat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ekzekutuara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ndiqet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sipas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planit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mësipërm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njësitë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shpenzuese</w:t>
            </w:r>
            <w:proofErr w:type="spellEnd"/>
          </w:p>
          <w:p w14:paraId="4C1C42F7" w14:textId="2F0D7229" w:rsidR="005A12B7" w:rsidRPr="005623BA" w:rsidRDefault="005A12B7" w:rsidP="005A12B7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Likujdimi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realizohet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njësitë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shpenzuese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B46E56A" w14:textId="77777777" w:rsidR="000A3D8F" w:rsidRPr="005623BA" w:rsidRDefault="005A12B7" w:rsidP="000A3D8F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Urdhër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Drejtorit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Përgjithshëm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Fondit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percaktohen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tregtohen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farmacinë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QSUT,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tregtohen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farmacinë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spitaleve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rajonale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bashkiake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EB5DC32" w14:textId="1F124752" w:rsidR="005A12B7" w:rsidRPr="005623BA" w:rsidRDefault="005A12B7" w:rsidP="000A3D8F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bar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mund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ketë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kontratë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 me</w:t>
            </w:r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disa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depo 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mund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ketë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2 – 3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importues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61CD44E7" w14:textId="2F7B89AC" w:rsidR="005A12B7" w:rsidRPr="005623BA" w:rsidRDefault="005A12B7" w:rsidP="005A12B7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Ne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Fond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monitorojmë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shpenzimet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rimbursimit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nivel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qendre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shëndetësore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mjeku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spitali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nivel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apo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diagnoze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1EED41D" w14:textId="77777777" w:rsidR="00A60848" w:rsidRPr="005623BA" w:rsidRDefault="00A60848" w:rsidP="005A12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72986" w14:textId="77777777" w:rsidR="00BD7B7A" w:rsidRPr="005623BA" w:rsidRDefault="00BD7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1A0E069" w14:textId="5DB2DA18" w:rsidR="00BD7B7A" w:rsidRPr="005623BA" w:rsidRDefault="000A3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8B1214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="008B1214"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BD7B7A" w:rsidRPr="005623BA" w14:paraId="37E9B8C0" w14:textId="77777777" w:rsidTr="001C0074">
        <w:tc>
          <w:tcPr>
            <w:tcW w:w="535" w:type="dxa"/>
          </w:tcPr>
          <w:p w14:paraId="4C9BB87F" w14:textId="62A8A85A" w:rsidR="00BD7B7A" w:rsidRPr="005623BA" w:rsidRDefault="00BD7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</w:tcPr>
          <w:p w14:paraId="0D01CDC3" w14:textId="3BD8A9BA" w:rsidR="00BD7B7A" w:rsidRPr="005623BA" w:rsidRDefault="00520E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2070" w:type="dxa"/>
          </w:tcPr>
          <w:p w14:paraId="193F5B5A" w14:textId="04CAA2F9" w:rsidR="00BD7B7A" w:rsidRPr="005623BA" w:rsidRDefault="00520E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800" w:type="dxa"/>
          </w:tcPr>
          <w:p w14:paraId="2EA0574D" w14:textId="7CEC9B94" w:rsidR="00BD7B7A" w:rsidRPr="005623BA" w:rsidRDefault="00EA0E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 w:rsidR="004B478A" w:rsidRPr="005623BA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="004B478A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="00B356A5" w:rsidRPr="005623BA">
              <w:rPr>
                <w:rFonts w:ascii="Times New Roman" w:hAnsi="Times New Roman" w:cs="Times New Roman"/>
                <w:sz w:val="18"/>
                <w:szCs w:val="18"/>
              </w:rPr>
              <w:t>aplikimin</w:t>
            </w:r>
            <w:proofErr w:type="spellEnd"/>
            <w:r w:rsidR="00B356A5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356A5"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="00B356A5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356A5" w:rsidRPr="005623BA">
              <w:rPr>
                <w:rFonts w:ascii="Times New Roman" w:hAnsi="Times New Roman" w:cs="Times New Roman"/>
                <w:sz w:val="18"/>
                <w:szCs w:val="18"/>
              </w:rPr>
              <w:t>licencë</w:t>
            </w:r>
            <w:proofErr w:type="spellEnd"/>
            <w:r w:rsidR="00B356A5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356A5"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="00B356A5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depo </w:t>
            </w:r>
            <w:proofErr w:type="spellStart"/>
            <w:r w:rsidR="00B356A5" w:rsidRPr="005623BA">
              <w:rPr>
                <w:rFonts w:ascii="Times New Roman" w:hAnsi="Times New Roman" w:cs="Times New Roman"/>
                <w:sz w:val="18"/>
                <w:szCs w:val="18"/>
              </w:rPr>
              <w:t>farmaceutike</w:t>
            </w:r>
            <w:proofErr w:type="spellEnd"/>
          </w:p>
        </w:tc>
        <w:tc>
          <w:tcPr>
            <w:tcW w:w="6300" w:type="dxa"/>
          </w:tcPr>
          <w:p w14:paraId="030554A6" w14:textId="5F9614E6" w:rsidR="003410CF" w:rsidRPr="005623BA" w:rsidRDefault="003410CF" w:rsidP="00341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</w:t>
            </w:r>
            <w:r w:rsidR="00EF4B79" w:rsidRPr="005623BA">
              <w:rPr>
                <w:rFonts w:ascii="Times New Roman" w:hAnsi="Times New Roman" w:cs="Times New Roman"/>
                <w:sz w:val="18"/>
                <w:szCs w:val="18"/>
              </w:rPr>
              <w:t>feruar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nenit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28, pika 1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Ligjit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Nr. 95/2022 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Barnat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Shërbimin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Farmaceutik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” 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ndryshuar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përcaktuar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se 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shumicë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kryhet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importuesi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eksportuesi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shpërndarësi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farmaceutik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person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ose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fizik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vendas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ose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huaj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pajisur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licencën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përkatëse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këtë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veprimtari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sipas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legjislacionit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përkatës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licencimin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”. 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Subjekti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interesuar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ushtruar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veprimtarinë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shumicë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njerëz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)”,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kodin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II.7.B,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aplikon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online,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nëpërmjet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portalit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e-Albania.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Shqyrtimi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paraprak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bëhet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Qendra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Kombëtare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Biznesit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 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cila</w:t>
            </w:r>
            <w:proofErr w:type="spellEnd"/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vlerëson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vetëm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përmbushjen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kritereve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kompetencë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sipas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legjislacionit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posaçëm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lejet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licencat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(VKM 538/2009).  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Vendimi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65A34"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QKB  ka</w:t>
            </w:r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paraqitur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mangësitë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konstatuara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ne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dokumentacion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Bashkëngjitur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kriteret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shumice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barnash</w:t>
            </w:r>
            <w:proofErr w:type="spellEnd"/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publikuara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ne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portalin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QKB-se.   </w:t>
            </w:r>
            <w:proofErr w:type="spellStart"/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Gjithashtu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,  depo</w:t>
            </w:r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parafarmaceutike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 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ka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kategori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licencimi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prandaj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bashk</w:t>
            </w:r>
            <w:r w:rsidR="004A409C" w:rsidRPr="005623BA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ngjitur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jane per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shumice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="0030606A"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841E303" w14:textId="77777777" w:rsidR="00BD7B7A" w:rsidRPr="005623BA" w:rsidRDefault="00BD7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2AED336" w14:textId="0C216821" w:rsidR="00BD7B7A" w:rsidRPr="005623BA" w:rsidRDefault="003410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422046" w:rsidRPr="005623BA" w14:paraId="64623737" w14:textId="77777777" w:rsidTr="001C0074">
        <w:tc>
          <w:tcPr>
            <w:tcW w:w="535" w:type="dxa"/>
          </w:tcPr>
          <w:p w14:paraId="5289C79A" w14:textId="271AF3BC" w:rsidR="00422046" w:rsidRPr="005623BA" w:rsidRDefault="00422046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14:paraId="0ABB48D3" w14:textId="7326CF47" w:rsidR="00422046" w:rsidRPr="005623BA" w:rsidRDefault="00422046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2070" w:type="dxa"/>
          </w:tcPr>
          <w:p w14:paraId="4DE58405" w14:textId="74E61486" w:rsidR="00422046" w:rsidRPr="005623BA" w:rsidRDefault="00422046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800" w:type="dxa"/>
          </w:tcPr>
          <w:p w14:paraId="79068496" w14:textId="18DAC97D" w:rsidR="00422046" w:rsidRPr="005623BA" w:rsidRDefault="00422046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përfitimin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bonusit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bebes</w:t>
            </w:r>
            <w:proofErr w:type="spellEnd"/>
          </w:p>
        </w:tc>
        <w:tc>
          <w:tcPr>
            <w:tcW w:w="6300" w:type="dxa"/>
          </w:tcPr>
          <w:p w14:paraId="13A876B0" w14:textId="77777777" w:rsidR="00422046" w:rsidRPr="005623BA" w:rsidRDefault="00422046" w:rsidP="004220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Ligji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përfitimin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bonusit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bebes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ka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ndryshuar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sipas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ligjit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fuqi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ndryshuar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nr. 79/2023,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publikuar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 31.10.2023,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neni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2.</w:t>
            </w:r>
          </w:p>
          <w:p w14:paraId="4445FB7C" w14:textId="43E7189F" w:rsidR="00422046" w:rsidRPr="005623BA" w:rsidRDefault="00422046" w:rsidP="004220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zbatim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VKM nr. 824, dt. 28.12.2023, "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përfitimin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ndihmës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menjëhershme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financiare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foshnjat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porsalindura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",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çdo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rast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prindi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prindërit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krahas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dokumentacionit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përcaktuar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paraqesin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edhe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formularin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vetëdeklarimit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(TIMS)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pranë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drejtorisë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rajonale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gjendjes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tuaj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civile,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cili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dërgohet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verifikim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pranë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Drejtorisë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Kufirit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Migracionit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vërteton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se 180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ditë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kalendarike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shtetasi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ka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qenë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brenda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territorit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Republikes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BCDA202" w14:textId="77777777" w:rsidR="00422046" w:rsidRPr="005623BA" w:rsidRDefault="00422046" w:rsidP="004220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CF806" w14:textId="18516A67" w:rsidR="00422046" w:rsidRPr="005623BA" w:rsidRDefault="00422046" w:rsidP="004220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Jetesa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jashtë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terrritorit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periudhe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180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ditore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vitit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paraardhës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lindjes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fëmijës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përfitoni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bonusin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bebes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453DB18" w14:textId="77777777" w:rsidR="00422046" w:rsidRPr="005623BA" w:rsidRDefault="00422046" w:rsidP="004220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8E42F" w14:textId="77777777" w:rsidR="00422046" w:rsidRPr="005623BA" w:rsidRDefault="00422046" w:rsidP="004220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rast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kundërt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nëse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plotësoni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kushtet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dokumentat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nevojiten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026CF52" w14:textId="77777777" w:rsidR="00422046" w:rsidRPr="005623BA" w:rsidRDefault="00422046" w:rsidP="00422046">
            <w:pPr>
              <w:numPr>
                <w:ilvl w:val="0"/>
                <w:numId w:val="4"/>
              </w:num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Certifikata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familjare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personale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shënimin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bonusin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proofErr w:type="gram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bebes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BEC342A" w14:textId="77777777" w:rsidR="00422046" w:rsidRPr="005623BA" w:rsidRDefault="00422046" w:rsidP="00422046">
            <w:pPr>
              <w:numPr>
                <w:ilvl w:val="0"/>
                <w:numId w:val="4"/>
              </w:num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Fotokopje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ID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prindërve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bebes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mjete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identifikimi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shqiptare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valide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F99EBA5" w14:textId="77777777" w:rsidR="00422046" w:rsidRPr="005623BA" w:rsidRDefault="00422046" w:rsidP="00422046">
            <w:pPr>
              <w:numPr>
                <w:ilvl w:val="0"/>
                <w:numId w:val="4"/>
              </w:num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Formulari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vetëdeklarimit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TIMS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prindërve</w:t>
            </w:r>
            <w:proofErr w:type="spellEnd"/>
          </w:p>
          <w:p w14:paraId="4EF22894" w14:textId="77777777" w:rsidR="00422046" w:rsidRPr="005623BA" w:rsidRDefault="00422046" w:rsidP="004220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B978C" w14:textId="77777777" w:rsidR="00422046" w:rsidRPr="005623BA" w:rsidRDefault="00422046" w:rsidP="004220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Dokumentat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duhen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dërguar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fizikisht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keni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kohë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 1 vit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kalendarik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lindja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fëmijës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tërheqjen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bonusit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A19675B" w14:textId="77777777" w:rsidR="00422046" w:rsidRPr="005623BA" w:rsidRDefault="00422046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B9EC117" w14:textId="7E2BC59A" w:rsidR="00422046" w:rsidRPr="005623BA" w:rsidRDefault="00422046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422046" w:rsidRPr="005623BA" w14:paraId="71064422" w14:textId="77777777" w:rsidTr="001C0074">
        <w:tc>
          <w:tcPr>
            <w:tcW w:w="535" w:type="dxa"/>
          </w:tcPr>
          <w:p w14:paraId="00EE0101" w14:textId="74A11E13" w:rsidR="00422046" w:rsidRPr="005623BA" w:rsidRDefault="00422046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14:paraId="45A93916" w14:textId="27EBFD51" w:rsidR="00422046" w:rsidRPr="005623BA" w:rsidRDefault="00734A31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2070" w:type="dxa"/>
          </w:tcPr>
          <w:p w14:paraId="07FFE3E7" w14:textId="4F0310B8" w:rsidR="00422046" w:rsidRPr="005623BA" w:rsidRDefault="00734A31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31.10.2025</w:t>
            </w:r>
          </w:p>
        </w:tc>
        <w:tc>
          <w:tcPr>
            <w:tcW w:w="1800" w:type="dxa"/>
          </w:tcPr>
          <w:p w14:paraId="7ED6CADD" w14:textId="37368739" w:rsidR="00422046" w:rsidRPr="005623BA" w:rsidRDefault="00734A31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="00277FCE" w:rsidRPr="005623BA">
              <w:rPr>
                <w:rFonts w:ascii="Times New Roman" w:hAnsi="Times New Roman" w:cs="Times New Roman"/>
                <w:sz w:val="18"/>
                <w:szCs w:val="18"/>
              </w:rPr>
              <w:t>autorizimin</w:t>
            </w:r>
            <w:proofErr w:type="spellEnd"/>
            <w:r w:rsidR="00277FC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277FCE"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="00277FC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77FCE" w:rsidRPr="005623BA">
              <w:rPr>
                <w:rFonts w:ascii="Times New Roman" w:hAnsi="Times New Roman" w:cs="Times New Roman"/>
                <w:sz w:val="18"/>
                <w:szCs w:val="18"/>
              </w:rPr>
              <w:t>narkotike</w:t>
            </w:r>
            <w:proofErr w:type="spellEnd"/>
            <w:r w:rsidR="00277FC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77FCE"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="00277FCE"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77FCE" w:rsidRPr="005623BA">
              <w:rPr>
                <w:rFonts w:ascii="Times New Roman" w:hAnsi="Times New Roman" w:cs="Times New Roman"/>
                <w:sz w:val="18"/>
                <w:szCs w:val="18"/>
              </w:rPr>
              <w:t>psikotrope</w:t>
            </w:r>
            <w:proofErr w:type="spellEnd"/>
          </w:p>
        </w:tc>
        <w:tc>
          <w:tcPr>
            <w:tcW w:w="6300" w:type="dxa"/>
          </w:tcPr>
          <w:p w14:paraId="11317819" w14:textId="41EE59E4" w:rsidR="00422046" w:rsidRPr="005623BA" w:rsidRDefault="00F3464B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Autorizimi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vlefshëm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përputhje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licencën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ushtrimin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aktivitetit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kohë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ka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ndryshime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licencën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ushtrimin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aktivitetit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Republikën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autorizimi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mbetet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vlefshëm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623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Ministria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verifikon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aktualisht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Autorizimi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importimin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eksportimin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kushtet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magazinimit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tregtimin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barnave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narkotike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psikotrope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”, nr. 27,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02.11.2020,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lëshuar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Ministria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Shëndetësisë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="005623BA" w:rsidRPr="005623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20" w:type="dxa"/>
          </w:tcPr>
          <w:p w14:paraId="31D91BA5" w14:textId="537689E5" w:rsidR="00422046" w:rsidRPr="005623BA" w:rsidRDefault="005623BA" w:rsidP="00422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E72ACC" w:rsidRPr="005623BA" w14:paraId="74C9837A" w14:textId="77777777" w:rsidTr="001C0074">
        <w:tc>
          <w:tcPr>
            <w:tcW w:w="535" w:type="dxa"/>
          </w:tcPr>
          <w:p w14:paraId="604CFD3E" w14:textId="32B1F4EB" w:rsidR="00E72ACC" w:rsidRPr="005623BA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</w:tcPr>
          <w:p w14:paraId="049C20FF" w14:textId="4AC3536D" w:rsidR="00E72ACC" w:rsidRPr="005623BA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2070" w:type="dxa"/>
          </w:tcPr>
          <w:p w14:paraId="74AA9892" w14:textId="6A5B7EB3" w:rsidR="00E72ACC" w:rsidRPr="005623BA" w:rsidRDefault="00DC64F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800" w:type="dxa"/>
          </w:tcPr>
          <w:p w14:paraId="4FAC133F" w14:textId="4C386087" w:rsidR="00E72ACC" w:rsidRPr="005623BA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5949">
              <w:rPr>
                <w:rFonts w:ascii="Times New Roman" w:hAnsi="Times New Roman" w:cs="Times New Roman"/>
                <w:sz w:val="18"/>
                <w:szCs w:val="18"/>
              </w:rPr>
              <w:t xml:space="preserve">me </w:t>
            </w:r>
            <w:proofErr w:type="spellStart"/>
            <w:r w:rsidR="00CE5949">
              <w:rPr>
                <w:rFonts w:ascii="Times New Roman" w:hAnsi="Times New Roman" w:cs="Times New Roman"/>
                <w:sz w:val="18"/>
                <w:szCs w:val="18"/>
              </w:rPr>
              <w:t>licensimin</w:t>
            </w:r>
            <w:proofErr w:type="spellEnd"/>
          </w:p>
        </w:tc>
        <w:tc>
          <w:tcPr>
            <w:tcW w:w="6300" w:type="dxa"/>
          </w:tcPr>
          <w:p w14:paraId="68F2739F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Referuar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VKM nr. 538,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26.05.2009, “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licencat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lejet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trajtohen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apo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nëpërmjet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Qendrës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Kombëtare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Licensimit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(QKL)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disa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rregulla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tjera</w:t>
            </w:r>
            <w:proofErr w:type="spellEnd"/>
            <w:proofErr w:type="gram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nënligjore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përbashkëta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”,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licencat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fushën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shëndetësisë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 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veprimtaritë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poshtë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vijon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84A7D98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II.6.A.1    </w:t>
            </w:r>
            <w:proofErr w:type="spellStart"/>
            <w:proofErr w:type="gram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Shërbime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laboratorike</w:t>
            </w:r>
            <w:proofErr w:type="spellEnd"/>
            <w:proofErr w:type="gram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: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mikrobiologjik</w:t>
            </w:r>
            <w:proofErr w:type="spellEnd"/>
          </w:p>
          <w:p w14:paraId="1CC0FA1A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II.6.A.1    </w:t>
            </w:r>
            <w:proofErr w:type="spellStart"/>
            <w:proofErr w:type="gram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Shërbime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laboratorike</w:t>
            </w:r>
            <w:proofErr w:type="spellEnd"/>
            <w:proofErr w:type="gram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: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klinik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biokimik</w:t>
            </w:r>
            <w:proofErr w:type="spellEnd"/>
          </w:p>
          <w:p w14:paraId="32476EAB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II.6.A.1    </w:t>
            </w:r>
            <w:proofErr w:type="spellStart"/>
            <w:proofErr w:type="gram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Shërbime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laboratorike</w:t>
            </w:r>
            <w:proofErr w:type="spellEnd"/>
            <w:proofErr w:type="gram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: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gjenetik</w:t>
            </w:r>
            <w:proofErr w:type="spellEnd"/>
          </w:p>
          <w:p w14:paraId="796D6AF0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II.6.A.1    </w:t>
            </w:r>
            <w:proofErr w:type="spellStart"/>
            <w:proofErr w:type="gram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Shërbime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laboratorike</w:t>
            </w:r>
            <w:proofErr w:type="spellEnd"/>
            <w:proofErr w:type="gram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: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dentar</w:t>
            </w:r>
            <w:proofErr w:type="spellEnd"/>
          </w:p>
          <w:p w14:paraId="75AC6AB3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II.6.A.1    </w:t>
            </w:r>
            <w:proofErr w:type="spellStart"/>
            <w:proofErr w:type="gram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Shërbime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laboratorike</w:t>
            </w:r>
            <w:proofErr w:type="spellEnd"/>
            <w:proofErr w:type="gram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: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Laborator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Optik</w:t>
            </w:r>
          </w:p>
          <w:p w14:paraId="72865C6C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II.6.A.2    </w:t>
            </w:r>
            <w:proofErr w:type="spellStart"/>
            <w:proofErr w:type="gram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Kabinet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mjekësor</w:t>
            </w:r>
            <w:proofErr w:type="spellEnd"/>
            <w:proofErr w:type="gramEnd"/>
          </w:p>
          <w:p w14:paraId="27947DC4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II.6.A.3    </w:t>
            </w:r>
            <w:proofErr w:type="spellStart"/>
            <w:proofErr w:type="gram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Klinikë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stomatologjike</w:t>
            </w:r>
            <w:proofErr w:type="spellEnd"/>
            <w:proofErr w:type="gramEnd"/>
          </w:p>
          <w:p w14:paraId="06A99CA7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II.6.A.3  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Kabinet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stomatologjik</w:t>
            </w:r>
            <w:proofErr w:type="spellEnd"/>
          </w:p>
          <w:p w14:paraId="33EB5AFB" w14:textId="77777777" w:rsidR="00E72ACC" w:rsidRPr="00E453CC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II.6.A.4   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Qendër</w:t>
            </w:r>
            <w:proofErr w:type="spellEnd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53CC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</w:p>
          <w:p w14:paraId="23B06F38" w14:textId="4F2A17A7" w:rsidR="00E72ACC" w:rsidRPr="00E453CC" w:rsidRDefault="00C7051D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illimisht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bëhet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regjistrimi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proofErr w:type="spellEnd"/>
            <w:proofErr w:type="gram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Urdhri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nfermierit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Konkretisht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infermier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parashikuar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meret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licencë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vete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vetëm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jeni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punësuar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veprimtaritë</w:t>
            </w:r>
            <w:proofErr w:type="spellEnd"/>
            <w:proofErr w:type="gram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72ACC" w:rsidRPr="00E453CC">
              <w:rPr>
                <w:rFonts w:ascii="Times New Roman" w:hAnsi="Times New Roman" w:cs="Times New Roman"/>
                <w:sz w:val="18"/>
                <w:szCs w:val="18"/>
              </w:rPr>
              <w:t>sipërcituara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6B3B9E" w14:textId="77777777" w:rsidR="00E72ACC" w:rsidRPr="005623BA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7DAED2D" w14:textId="2BC43B40" w:rsidR="00E72ACC" w:rsidRPr="005623BA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E72ACC" w:rsidRPr="005623BA" w14:paraId="35C3798D" w14:textId="77777777" w:rsidTr="001C0074">
        <w:tc>
          <w:tcPr>
            <w:tcW w:w="535" w:type="dxa"/>
          </w:tcPr>
          <w:p w14:paraId="324C5E58" w14:textId="5610AB44" w:rsidR="00E72ACC" w:rsidRPr="005623BA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14:paraId="36CC18A8" w14:textId="78C906ED" w:rsidR="00E72ACC" w:rsidRPr="005623BA" w:rsidRDefault="00840687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14.11.2025</w:t>
            </w:r>
          </w:p>
        </w:tc>
        <w:tc>
          <w:tcPr>
            <w:tcW w:w="2070" w:type="dxa"/>
          </w:tcPr>
          <w:p w14:paraId="4EDAB1D5" w14:textId="593FE067" w:rsidR="00E72ACC" w:rsidRPr="005623BA" w:rsidRDefault="00E9459F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800" w:type="dxa"/>
          </w:tcPr>
          <w:p w14:paraId="36E51930" w14:textId="4EEB9214" w:rsidR="00E72ACC" w:rsidRPr="005623BA" w:rsidRDefault="00E9459F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provimin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>portalin</w:t>
            </w:r>
            <w:proofErr w:type="spellEnd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>Infermier</w:t>
            </w:r>
            <w:proofErr w:type="spellEnd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>Shqipërinë</w:t>
            </w:r>
            <w:proofErr w:type="spellEnd"/>
            <w:r w:rsidR="009864FE" w:rsidRPr="000D587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6300" w:type="dxa"/>
          </w:tcPr>
          <w:p w14:paraId="61B02ACE" w14:textId="77777777" w:rsidR="000D5870" w:rsidRPr="000D5870" w:rsidRDefault="000D5870" w:rsidP="000D5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Bazuar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udhëzimin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nr. 204,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09.04.2024 "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procedurat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punësimit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emërimit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pezullimit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lirimit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disiplinës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profesionet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shkencave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teknike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institucionet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shëndetësore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publike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Republikën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nëpërmjet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platformës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elektronike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Ministrit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Shëndetësisë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thirrja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konkurrim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profesionet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shkencave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teknike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organizohet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shpallet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Drejtoria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Qendrore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Operatorit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Shërbimeve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Kujdesit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Shëndetësor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</w:p>
          <w:p w14:paraId="3E66FD00" w14:textId="77777777" w:rsidR="000D5870" w:rsidRPr="000D5870" w:rsidRDefault="000D5870" w:rsidP="000D5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04AC83" w14:textId="77777777" w:rsidR="000D5870" w:rsidRPr="000D5870" w:rsidRDefault="000D5870" w:rsidP="000D5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Procesi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organizohet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faza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vlerësimi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dosjes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testimi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informatizuar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</w:p>
          <w:p w14:paraId="1E5AEA52" w14:textId="77777777" w:rsidR="000D5870" w:rsidRPr="000D5870" w:rsidRDefault="000D5870" w:rsidP="000D5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BFF44" w14:textId="77777777" w:rsidR="000D5870" w:rsidRPr="000D5870" w:rsidRDefault="000D5870" w:rsidP="000D5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Faza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II,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testimi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informatizuar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organizohet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bashkëpunim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Qendrën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Shërbimeve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Arsimore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ky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institucion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cili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harton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kalendarin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testimit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profilet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ndryshme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publikon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atë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faqen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zyrtare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tij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. DQOSHKSH, e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publikon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atë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 pas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portalin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Infermier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Shqipërinë</w:t>
            </w:r>
            <w:proofErr w:type="spellEnd"/>
            <w:r w:rsidRPr="000D5870">
              <w:rPr>
                <w:rFonts w:ascii="Times New Roman" w:hAnsi="Times New Roman" w:cs="Times New Roman"/>
                <w:sz w:val="18"/>
                <w:szCs w:val="18"/>
              </w:rPr>
              <w:t>". </w:t>
            </w:r>
          </w:p>
          <w:p w14:paraId="0E0413FE" w14:textId="77777777" w:rsidR="00E72ACC" w:rsidRPr="005623BA" w:rsidRDefault="00E72ACC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D7FAAAC" w14:textId="64B6C51A" w:rsidR="00E72ACC" w:rsidRPr="005623BA" w:rsidRDefault="009864FE" w:rsidP="00E7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3106D3" w:rsidRPr="005623BA" w14:paraId="7E77E959" w14:textId="77777777" w:rsidTr="001C0074">
        <w:tc>
          <w:tcPr>
            <w:tcW w:w="535" w:type="dxa"/>
          </w:tcPr>
          <w:p w14:paraId="5D80F168" w14:textId="05C71259" w:rsidR="003106D3" w:rsidRPr="005623BA" w:rsidRDefault="003106D3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20" w:type="dxa"/>
          </w:tcPr>
          <w:p w14:paraId="36BA0550" w14:textId="4C76884D" w:rsidR="003106D3" w:rsidRDefault="003106D3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2070" w:type="dxa"/>
          </w:tcPr>
          <w:p w14:paraId="196AA26F" w14:textId="240555C6" w:rsidR="003106D3" w:rsidRDefault="003106D3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03.12.2025</w:t>
            </w:r>
          </w:p>
        </w:tc>
        <w:tc>
          <w:tcPr>
            <w:tcW w:w="1800" w:type="dxa"/>
          </w:tcPr>
          <w:p w14:paraId="2AE64408" w14:textId="7597E6A4" w:rsidR="003106D3" w:rsidRDefault="003106D3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transferimin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institucionet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shëndetësore</w:t>
            </w:r>
            <w:proofErr w:type="spellEnd"/>
          </w:p>
        </w:tc>
        <w:tc>
          <w:tcPr>
            <w:tcW w:w="6300" w:type="dxa"/>
          </w:tcPr>
          <w:p w14:paraId="4FE123F8" w14:textId="7A47E3E6" w:rsidR="00F6072C" w:rsidRPr="00F6072C" w:rsidRDefault="00F6072C" w:rsidP="00F607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Bazuar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Ligjin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nr. 55/ 2022 "</w:t>
            </w:r>
            <w:proofErr w:type="spellStart"/>
            <w:r w:rsidRPr="00F607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Për</w:t>
            </w:r>
            <w:proofErr w:type="spellEnd"/>
            <w:r w:rsidRPr="00F607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Shërbimin</w:t>
            </w:r>
            <w:proofErr w:type="spellEnd"/>
            <w:r w:rsidRPr="00F607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Spitalor</w:t>
            </w:r>
            <w:proofErr w:type="spellEnd"/>
            <w:r w:rsidRPr="00F607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"</w:t>
            </w:r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zbatim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Rregullores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Studimeve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afatgjata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ciklit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tretë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fushën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mjekësisë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Univerisiteti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Mjekësisë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me nr. 6636/1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prot.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04.05.2014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Ministrisë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Shëndetësisë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me nr. 9095/1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prot.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04.12.2014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Ministrisë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Arsimit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Sportit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",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ndryshuar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, pas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shpalljes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vendeve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vakante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nevojave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shëndetësore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Ministria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Shëndetësisë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mjekët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zgjidhnin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bazë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renditjes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pikë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sipas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kritereve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tilla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: nota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mesatare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përfundimit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specializimit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apo nota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mesatare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përfundimit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mjekësisë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përgjithshme</w:t>
            </w:r>
            <w:proofErr w:type="spellEnd"/>
            <w:r w:rsidRPr="00F6072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14:paraId="0B2DB398" w14:textId="77777777" w:rsidR="00F6072C" w:rsidRPr="00F6072C" w:rsidRDefault="00F6072C" w:rsidP="00F607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CBA3A" w14:textId="77777777" w:rsidR="003106D3" w:rsidRPr="000D5870" w:rsidRDefault="003106D3" w:rsidP="00096AC6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F111C4F" w14:textId="50E8B1F2" w:rsidR="003106D3" w:rsidRPr="005623BA" w:rsidRDefault="003106D3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096AC6" w:rsidRPr="005623BA" w14:paraId="07ED98D0" w14:textId="77777777" w:rsidTr="001C0074">
        <w:tc>
          <w:tcPr>
            <w:tcW w:w="535" w:type="dxa"/>
          </w:tcPr>
          <w:p w14:paraId="41200253" w14:textId="0AB10BB8" w:rsidR="00096AC6" w:rsidRDefault="00096AC6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20" w:type="dxa"/>
          </w:tcPr>
          <w:p w14:paraId="04060A97" w14:textId="2EBF1C23" w:rsidR="00096AC6" w:rsidRDefault="007C3A65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2070" w:type="dxa"/>
          </w:tcPr>
          <w:p w14:paraId="76D0ED90" w14:textId="62353F5D" w:rsidR="00096AC6" w:rsidRDefault="007C3A65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800" w:type="dxa"/>
          </w:tcPr>
          <w:p w14:paraId="48369BAF" w14:textId="6DE0154B" w:rsidR="00096AC6" w:rsidRDefault="00FE0A33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="0090620A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>shtrim</w:t>
            </w:r>
            <w:r w:rsidR="0090620A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="0090620A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>veprimtarisë</w:t>
            </w:r>
            <w:proofErr w:type="spellEnd"/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>shërbimeve</w:t>
            </w:r>
            <w:proofErr w:type="spellEnd"/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5361" w:rsidRPr="00AE5361">
              <w:rPr>
                <w:rFonts w:ascii="Times New Roman" w:hAnsi="Times New Roman" w:cs="Times New Roman"/>
                <w:sz w:val="18"/>
                <w:szCs w:val="18"/>
              </w:rPr>
              <w:t>ambulatore</w:t>
            </w:r>
            <w:proofErr w:type="spellEnd"/>
          </w:p>
        </w:tc>
        <w:tc>
          <w:tcPr>
            <w:tcW w:w="6300" w:type="dxa"/>
          </w:tcPr>
          <w:p w14:paraId="1E44F0D1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shtojcën</w:t>
            </w:r>
            <w:proofErr w:type="spellEnd"/>
            <w:proofErr w:type="gram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1 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Ligjit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nr.10081,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23.02.2009 “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Licencat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Autorizimet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Lejet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Republikën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përcaktohen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kategoritë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veprimtarive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licencohen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fushën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shëndetësisë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konkretisht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kategoria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"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Shërbime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parësore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spitalore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ose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stomatologjisë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". </w:t>
            </w:r>
            <w:proofErr w:type="spellStart"/>
            <w:proofErr w:type="gram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VKM</w:t>
            </w:r>
            <w:proofErr w:type="gram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Nr.538,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26.05.2009 “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Licencat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Lejet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trajtohen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apo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nëpërmjet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Qendrës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Kombëtare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Licencimit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(QKL)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disa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rregulla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tjera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nënligjoretë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përbashkëta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”,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ndryshuar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përcaktohen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veprimtaritë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licencohen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kriteret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licencimit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5D743C9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06942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Veprimtaritë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nënkategorisë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II.6.A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specifikohen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DE2F0C1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AE58A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a) “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Shërbime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laboratorike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”: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mikrobiologjik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klinik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biokimik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imunologjik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gjenetik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anatomopatologjik,citologjik</w:t>
            </w:r>
            <w:proofErr w:type="spellEnd"/>
            <w:proofErr w:type="gram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stomatologjik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optik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specialitete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tjera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kodin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II.6.A.1;</w:t>
            </w:r>
          </w:p>
          <w:p w14:paraId="4C84DFA2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43779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b) “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Kabinete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”: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vetëm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specialitet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mjekësor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tilla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kabinete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imazherie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kabinet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optik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opticien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kabinet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diagnozës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endoskopike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specialitete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tjera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me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kodin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II.6.A.</w:t>
            </w:r>
            <w:proofErr w:type="gram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2;</w:t>
            </w:r>
            <w:proofErr w:type="gramEnd"/>
          </w:p>
          <w:p w14:paraId="0B50ECD6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A72FB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c) “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Shërbime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stomatologjike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”: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klinika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ose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kabinet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stomatologjik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me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kodin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II.6.A.</w:t>
            </w:r>
            <w:proofErr w:type="gram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3;</w:t>
            </w:r>
            <w:proofErr w:type="gramEnd"/>
          </w:p>
          <w:p w14:paraId="5239EB96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FC29F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d) “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Qendër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”: me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disa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specialitete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vizita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konsulta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diagnostifikim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trajtime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ambulatore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trajtime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mikrokirurgjikale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me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kodin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II.6.A.</w:t>
            </w:r>
            <w:proofErr w:type="gram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4;</w:t>
            </w:r>
            <w:proofErr w:type="gramEnd"/>
          </w:p>
          <w:p w14:paraId="5EA9FB2B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57D4F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e) “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Shërbime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tjera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shëndetësore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kurative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”: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fizioterapi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qendra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estetike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afrohet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shërbim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mjekësor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qendra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trajtimit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vartësisë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droga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qendra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balneare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kujdesit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paliativ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tjera,me</w:t>
            </w:r>
            <w:proofErr w:type="spellEnd"/>
            <w:proofErr w:type="gram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kodin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II.6.A.5.</w:t>
            </w:r>
          </w:p>
          <w:p w14:paraId="65750D9F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98895E" w14:textId="77777777" w:rsidR="00BD30AC" w:rsidRPr="00BD30AC" w:rsidRDefault="00BD30AC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Kriteret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e 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licencimit</w:t>
            </w:r>
            <w:proofErr w:type="spellEnd"/>
            <w:proofErr w:type="gram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veprimtarinë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Kabinet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mjekësor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” 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Qendër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mjekësore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publikuara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faqen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zyrtare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Qendrës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Kombëtare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Biznesit</w:t>
            </w:r>
            <w:proofErr w:type="spellEnd"/>
            <w:r w:rsidRPr="00BD30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4DAB79C" w14:textId="40B23148" w:rsidR="00BD30AC" w:rsidRPr="00BD30AC" w:rsidRDefault="00C150AA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bjekti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aplikon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nëpërmjet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e-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albania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Qendrën</w:t>
            </w:r>
            <w:proofErr w:type="spellEnd"/>
            <w:proofErr w:type="gram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Kombëtare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Biznesit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cili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institucioni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përgjegjës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shqyrtimin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vendimmarrjen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kësaj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veprimtarie</w:t>
            </w:r>
            <w:proofErr w:type="spellEnd"/>
            <w:r w:rsidR="00BD30AC" w:rsidRPr="00BD30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1FF517A" w14:textId="2A62F76A" w:rsidR="00096AC6" w:rsidRPr="00F6072C" w:rsidRDefault="00096AC6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AE5AB68" w14:textId="7B8A3E95" w:rsidR="00096AC6" w:rsidRPr="005623BA" w:rsidRDefault="007C3A65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EF2DC5" w:rsidRPr="005623BA" w14:paraId="12010B78" w14:textId="77777777" w:rsidTr="001C0074">
        <w:tc>
          <w:tcPr>
            <w:tcW w:w="535" w:type="dxa"/>
          </w:tcPr>
          <w:p w14:paraId="51698CD0" w14:textId="64062172" w:rsidR="00EF2DC5" w:rsidRDefault="00057846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14:paraId="594BD94F" w14:textId="7C903D87" w:rsidR="00EF2DC5" w:rsidRDefault="0090620A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2070" w:type="dxa"/>
          </w:tcPr>
          <w:p w14:paraId="4DDC8C0E" w14:textId="72BB810F" w:rsidR="00EF2DC5" w:rsidRDefault="0090620A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800" w:type="dxa"/>
          </w:tcPr>
          <w:p w14:paraId="20F5E58E" w14:textId="0AF3B0A2" w:rsidR="00EF2DC5" w:rsidRDefault="0090620A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aksidentet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rrugore</w:t>
            </w:r>
            <w:proofErr w:type="spellEnd"/>
          </w:p>
        </w:tc>
        <w:tc>
          <w:tcPr>
            <w:tcW w:w="6300" w:type="dxa"/>
          </w:tcPr>
          <w:p w14:paraId="147444B7" w14:textId="6386DA62" w:rsidR="00EF2DC5" w:rsidRPr="00BD30AC" w:rsidRDefault="0090620A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Përcjellje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kompetencë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23BA">
              <w:rPr>
                <w:rFonts w:ascii="Times New Roman" w:hAnsi="Times New Roman" w:cs="Times New Roman"/>
                <w:sz w:val="18"/>
                <w:szCs w:val="18"/>
              </w:rPr>
              <w:t>trajtim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Polic</w:t>
            </w:r>
            <w:r w:rsidR="00A44555">
              <w:rPr>
                <w:rFonts w:ascii="Times New Roman" w:hAnsi="Times New Roman" w:cs="Times New Roman"/>
                <w:sz w:val="18"/>
                <w:szCs w:val="18"/>
              </w:rPr>
              <w:t>isë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44555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Shtetit</w:t>
            </w:r>
            <w:proofErr w:type="spellEnd"/>
          </w:p>
        </w:tc>
        <w:tc>
          <w:tcPr>
            <w:tcW w:w="1620" w:type="dxa"/>
          </w:tcPr>
          <w:p w14:paraId="4B7CE8F0" w14:textId="63A7F375" w:rsidR="00EF2DC5" w:rsidRPr="005623BA" w:rsidRDefault="0090620A" w:rsidP="00A21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EF2DC5" w:rsidRPr="005623BA" w14:paraId="22D803C0" w14:textId="77777777" w:rsidTr="001C0074">
        <w:tc>
          <w:tcPr>
            <w:tcW w:w="535" w:type="dxa"/>
          </w:tcPr>
          <w:p w14:paraId="3B2B20E6" w14:textId="06C2AF4B" w:rsidR="00EF2DC5" w:rsidRDefault="0090620A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20" w:type="dxa"/>
          </w:tcPr>
          <w:p w14:paraId="0099F06D" w14:textId="342B3FFA" w:rsidR="00EF2DC5" w:rsidRDefault="00AC3185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2070" w:type="dxa"/>
          </w:tcPr>
          <w:p w14:paraId="2CA9230C" w14:textId="59F534EB" w:rsidR="00EF2DC5" w:rsidRDefault="00AC3185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800" w:type="dxa"/>
          </w:tcPr>
          <w:p w14:paraId="6FB24598" w14:textId="364C1149" w:rsidR="00EF2DC5" w:rsidRDefault="001559E5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procedur</w:t>
            </w:r>
            <w:r w:rsidR="00A21FE7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bursës</w:t>
            </w:r>
            <w:proofErr w:type="spellEnd"/>
          </w:p>
        </w:tc>
        <w:tc>
          <w:tcPr>
            <w:tcW w:w="6300" w:type="dxa"/>
          </w:tcPr>
          <w:p w14:paraId="2524D371" w14:textId="10628ED7" w:rsidR="00EF2DC5" w:rsidRPr="00BD30AC" w:rsidRDefault="00AC3185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bazë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Kontratës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Kolektive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punës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ndërmjet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Ministrisë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Shëndetësisë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Konfederatës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Sindikatës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së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Shqipërisë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me nr. 1448/2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prot.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04.07.2024, </w:t>
            </w:r>
            <w:proofErr w:type="spellStart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>neni</w:t>
            </w:r>
            <w:proofErr w:type="spellEnd"/>
            <w:r w:rsidRPr="00AC3185">
              <w:rPr>
                <w:rFonts w:ascii="Times New Roman" w:hAnsi="Times New Roman" w:cs="Times New Roman"/>
                <w:sz w:val="18"/>
                <w:szCs w:val="18"/>
              </w:rPr>
              <w:t xml:space="preserve"> 15, pika 5: 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rastet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kur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punonjësi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ndjek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kualifikim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ose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specializim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brenda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ose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jashtë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vendit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për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çështje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lidhen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me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profesionin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dhe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aftësimin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tij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kjo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bëhet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me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miratimin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titullarit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institucionit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nëpërmjet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lidhjes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një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kontrate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veçantë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kontratë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përcaktohen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periudha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vendi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specialiteti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kushtet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financiare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ruajtja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vendit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punës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dhe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detyrimi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ose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drejta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për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t’u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rikthyer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vendin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punës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pas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përfundimit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të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kualifikimit</w:t>
            </w:r>
            <w:proofErr w:type="spellEnd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</w:t>
            </w:r>
            <w:proofErr w:type="spellStart"/>
            <w:r w:rsidRPr="00AC31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specializimit</w:t>
            </w:r>
            <w:proofErr w:type="spellEnd"/>
          </w:p>
        </w:tc>
        <w:tc>
          <w:tcPr>
            <w:tcW w:w="1620" w:type="dxa"/>
          </w:tcPr>
          <w:p w14:paraId="10D0519F" w14:textId="5D331D17" w:rsidR="00EF2DC5" w:rsidRPr="005623BA" w:rsidRDefault="00AC3185" w:rsidP="00022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  <w:tr w:rsidR="006C2719" w:rsidRPr="005623BA" w14:paraId="47C0B3AC" w14:textId="77777777" w:rsidTr="001C0074">
        <w:tc>
          <w:tcPr>
            <w:tcW w:w="535" w:type="dxa"/>
          </w:tcPr>
          <w:p w14:paraId="1CA974A5" w14:textId="2EFB4470" w:rsidR="006C2719" w:rsidRDefault="00B3691D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20" w:type="dxa"/>
          </w:tcPr>
          <w:p w14:paraId="2BECA726" w14:textId="30D6C84B" w:rsidR="006C2719" w:rsidRDefault="007059DF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2070" w:type="dxa"/>
          </w:tcPr>
          <w:p w14:paraId="30D5220A" w14:textId="1D4BF83E" w:rsidR="006C2719" w:rsidRDefault="005C3AB8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</w:t>
            </w:r>
            <w:r w:rsidR="00914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14:paraId="7B87AD2D" w14:textId="0E6B96F1" w:rsidR="006C2719" w:rsidRDefault="00F3039D" w:rsidP="00310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Informacion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bonusin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fundvitit</w:t>
            </w:r>
            <w:proofErr w:type="spellEnd"/>
          </w:p>
        </w:tc>
        <w:tc>
          <w:tcPr>
            <w:tcW w:w="6300" w:type="dxa"/>
          </w:tcPr>
          <w:p w14:paraId="721DB382" w14:textId="1AF2742D" w:rsidR="002D6A70" w:rsidRPr="002D6A70" w:rsidRDefault="002D6A70" w:rsidP="002D6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azuar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VKM-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nr. 835,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30.12.2025 (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mbështetjen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financiare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kategorive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veçanta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vitin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2025).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jësi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administrative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B51EC">
              <w:rPr>
                <w:rFonts w:ascii="Times New Roman" w:hAnsi="Times New Roman" w:cs="Times New Roman"/>
                <w:sz w:val="18"/>
                <w:szCs w:val="18"/>
              </w:rPr>
              <w:t>përkatëse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kanë</w:t>
            </w:r>
            <w:proofErr w:type="spellEnd"/>
            <w:r w:rsidR="002B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B51EC">
              <w:rPr>
                <w:rFonts w:ascii="Times New Roman" w:hAnsi="Times New Roman" w:cs="Times New Roman"/>
                <w:sz w:val="18"/>
                <w:szCs w:val="18"/>
              </w:rPr>
              <w:t>bërë</w:t>
            </w:r>
            <w:proofErr w:type="spellEnd"/>
            <w:r w:rsidR="002B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borderot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shpërndarjen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fondeve</w:t>
            </w:r>
            <w:proofErr w:type="spellEnd"/>
            <w:r w:rsidRPr="002D6A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F0B857F" w14:textId="77777777" w:rsidR="006C2719" w:rsidRPr="00BD30AC" w:rsidRDefault="006C2719" w:rsidP="00BD3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80D0D37" w14:textId="1C98144B" w:rsidR="006C2719" w:rsidRPr="005623BA" w:rsidRDefault="002B51EC" w:rsidP="002B5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plotë</w:t>
            </w:r>
            <w:proofErr w:type="spellEnd"/>
          </w:p>
        </w:tc>
      </w:tr>
    </w:tbl>
    <w:p w14:paraId="1287E46E" w14:textId="1A41D363" w:rsidR="0097002F" w:rsidRDefault="0097002F"/>
    <w:sectPr w:rsidR="0097002F" w:rsidSect="009700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14"/>
    <w:multiLevelType w:val="multilevel"/>
    <w:tmpl w:val="AF8A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7D90"/>
    <w:multiLevelType w:val="multilevel"/>
    <w:tmpl w:val="8A14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56341"/>
    <w:multiLevelType w:val="hybridMultilevel"/>
    <w:tmpl w:val="0F8E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7E40"/>
    <w:multiLevelType w:val="hybridMultilevel"/>
    <w:tmpl w:val="C5887FBE"/>
    <w:lvl w:ilvl="0" w:tplc="F9B08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E000D"/>
    <w:multiLevelType w:val="hybridMultilevel"/>
    <w:tmpl w:val="76FE648C"/>
    <w:lvl w:ilvl="0" w:tplc="1B9A310E">
      <w:numFmt w:val="bullet"/>
      <w:lvlText w:val="·"/>
      <w:lvlJc w:val="left"/>
      <w:pPr>
        <w:ind w:left="870" w:hanging="51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B544D"/>
    <w:multiLevelType w:val="multilevel"/>
    <w:tmpl w:val="C8D2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239658">
    <w:abstractNumId w:val="3"/>
  </w:num>
  <w:num w:numId="2" w16cid:durableId="248319147">
    <w:abstractNumId w:val="2"/>
  </w:num>
  <w:num w:numId="3" w16cid:durableId="672882190">
    <w:abstractNumId w:val="4"/>
  </w:num>
  <w:num w:numId="4" w16cid:durableId="300811497">
    <w:abstractNumId w:val="0"/>
  </w:num>
  <w:num w:numId="5" w16cid:durableId="588080498">
    <w:abstractNumId w:val="5"/>
  </w:num>
  <w:num w:numId="6" w16cid:durableId="111640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2F"/>
    <w:rsid w:val="00012CD5"/>
    <w:rsid w:val="000228A5"/>
    <w:rsid w:val="00057846"/>
    <w:rsid w:val="000927A5"/>
    <w:rsid w:val="00093C29"/>
    <w:rsid w:val="00095C60"/>
    <w:rsid w:val="00096AC6"/>
    <w:rsid w:val="000A3D8F"/>
    <w:rsid w:val="000D0075"/>
    <w:rsid w:val="000D5870"/>
    <w:rsid w:val="0011036C"/>
    <w:rsid w:val="00126A7D"/>
    <w:rsid w:val="00132DAF"/>
    <w:rsid w:val="001448C5"/>
    <w:rsid w:val="00150389"/>
    <w:rsid w:val="00154F23"/>
    <w:rsid w:val="001559E5"/>
    <w:rsid w:val="001B2216"/>
    <w:rsid w:val="001C0074"/>
    <w:rsid w:val="001F6C57"/>
    <w:rsid w:val="002024B4"/>
    <w:rsid w:val="0022533F"/>
    <w:rsid w:val="00277FCE"/>
    <w:rsid w:val="00283F97"/>
    <w:rsid w:val="00296FD7"/>
    <w:rsid w:val="002971E2"/>
    <w:rsid w:val="002A0E16"/>
    <w:rsid w:val="002A20B1"/>
    <w:rsid w:val="002B51EC"/>
    <w:rsid w:val="002B52E1"/>
    <w:rsid w:val="002D6A70"/>
    <w:rsid w:val="002F1578"/>
    <w:rsid w:val="002F7AEF"/>
    <w:rsid w:val="0030606A"/>
    <w:rsid w:val="003106D3"/>
    <w:rsid w:val="00330396"/>
    <w:rsid w:val="00331775"/>
    <w:rsid w:val="003341CE"/>
    <w:rsid w:val="003410CF"/>
    <w:rsid w:val="003518B2"/>
    <w:rsid w:val="00352D29"/>
    <w:rsid w:val="00390804"/>
    <w:rsid w:val="003B1A84"/>
    <w:rsid w:val="003E2DB2"/>
    <w:rsid w:val="003F421C"/>
    <w:rsid w:val="003F6264"/>
    <w:rsid w:val="00406BA0"/>
    <w:rsid w:val="00422046"/>
    <w:rsid w:val="00452BC0"/>
    <w:rsid w:val="00460A98"/>
    <w:rsid w:val="004A409C"/>
    <w:rsid w:val="004B478A"/>
    <w:rsid w:val="00502A13"/>
    <w:rsid w:val="00506973"/>
    <w:rsid w:val="00520EFB"/>
    <w:rsid w:val="00535177"/>
    <w:rsid w:val="00537377"/>
    <w:rsid w:val="005623BA"/>
    <w:rsid w:val="00566033"/>
    <w:rsid w:val="005660E3"/>
    <w:rsid w:val="005663DB"/>
    <w:rsid w:val="005A12B7"/>
    <w:rsid w:val="005C3AB8"/>
    <w:rsid w:val="00602B3E"/>
    <w:rsid w:val="006072E1"/>
    <w:rsid w:val="0061209B"/>
    <w:rsid w:val="00614E07"/>
    <w:rsid w:val="00651CD8"/>
    <w:rsid w:val="006702E9"/>
    <w:rsid w:val="006C2719"/>
    <w:rsid w:val="006D0122"/>
    <w:rsid w:val="006D5444"/>
    <w:rsid w:val="007059DF"/>
    <w:rsid w:val="00720D1D"/>
    <w:rsid w:val="007279E3"/>
    <w:rsid w:val="00734A31"/>
    <w:rsid w:val="00737EB2"/>
    <w:rsid w:val="007B3EAB"/>
    <w:rsid w:val="007C028A"/>
    <w:rsid w:val="007C3A65"/>
    <w:rsid w:val="007C728A"/>
    <w:rsid w:val="007D680E"/>
    <w:rsid w:val="007E4C1F"/>
    <w:rsid w:val="007E5D81"/>
    <w:rsid w:val="00800C0E"/>
    <w:rsid w:val="008153E8"/>
    <w:rsid w:val="0082437B"/>
    <w:rsid w:val="00840687"/>
    <w:rsid w:val="00857DCD"/>
    <w:rsid w:val="00882FD7"/>
    <w:rsid w:val="00894C10"/>
    <w:rsid w:val="008A466E"/>
    <w:rsid w:val="008B1214"/>
    <w:rsid w:val="0090620A"/>
    <w:rsid w:val="0090735B"/>
    <w:rsid w:val="009120D5"/>
    <w:rsid w:val="00914FD8"/>
    <w:rsid w:val="009153AB"/>
    <w:rsid w:val="009529B3"/>
    <w:rsid w:val="0097002F"/>
    <w:rsid w:val="00972331"/>
    <w:rsid w:val="00980D77"/>
    <w:rsid w:val="009864FE"/>
    <w:rsid w:val="009A70DB"/>
    <w:rsid w:val="009B2028"/>
    <w:rsid w:val="009C6342"/>
    <w:rsid w:val="009D0602"/>
    <w:rsid w:val="009D1ED8"/>
    <w:rsid w:val="009D783B"/>
    <w:rsid w:val="009D7EDF"/>
    <w:rsid w:val="009F7CF7"/>
    <w:rsid w:val="00A05DC7"/>
    <w:rsid w:val="00A06FD1"/>
    <w:rsid w:val="00A1113A"/>
    <w:rsid w:val="00A21EDC"/>
    <w:rsid w:val="00A21FE7"/>
    <w:rsid w:val="00A44555"/>
    <w:rsid w:val="00A51E97"/>
    <w:rsid w:val="00A548EA"/>
    <w:rsid w:val="00A60848"/>
    <w:rsid w:val="00A70065"/>
    <w:rsid w:val="00A77CAC"/>
    <w:rsid w:val="00A867C2"/>
    <w:rsid w:val="00AB1CB1"/>
    <w:rsid w:val="00AB2C8F"/>
    <w:rsid w:val="00AB419C"/>
    <w:rsid w:val="00AC3185"/>
    <w:rsid w:val="00AC3E7F"/>
    <w:rsid w:val="00AE5361"/>
    <w:rsid w:val="00B356A5"/>
    <w:rsid w:val="00B3691D"/>
    <w:rsid w:val="00B53B7C"/>
    <w:rsid w:val="00B5426C"/>
    <w:rsid w:val="00BD30AC"/>
    <w:rsid w:val="00BD7B7A"/>
    <w:rsid w:val="00BE40A0"/>
    <w:rsid w:val="00C150AA"/>
    <w:rsid w:val="00C7051D"/>
    <w:rsid w:val="00C70C54"/>
    <w:rsid w:val="00CA67ED"/>
    <w:rsid w:val="00CD2E43"/>
    <w:rsid w:val="00CE0BCE"/>
    <w:rsid w:val="00CE5949"/>
    <w:rsid w:val="00D226D9"/>
    <w:rsid w:val="00D229B1"/>
    <w:rsid w:val="00D32649"/>
    <w:rsid w:val="00D36B96"/>
    <w:rsid w:val="00D36F31"/>
    <w:rsid w:val="00D50EED"/>
    <w:rsid w:val="00D751F9"/>
    <w:rsid w:val="00D81837"/>
    <w:rsid w:val="00D87847"/>
    <w:rsid w:val="00DC64FC"/>
    <w:rsid w:val="00DD3254"/>
    <w:rsid w:val="00DE6B8C"/>
    <w:rsid w:val="00E05A4B"/>
    <w:rsid w:val="00E07520"/>
    <w:rsid w:val="00E30DFC"/>
    <w:rsid w:val="00E42196"/>
    <w:rsid w:val="00E43021"/>
    <w:rsid w:val="00E453CC"/>
    <w:rsid w:val="00E50021"/>
    <w:rsid w:val="00E72ACC"/>
    <w:rsid w:val="00E75B7D"/>
    <w:rsid w:val="00E87585"/>
    <w:rsid w:val="00E9408B"/>
    <w:rsid w:val="00E9459F"/>
    <w:rsid w:val="00E96886"/>
    <w:rsid w:val="00EA0E41"/>
    <w:rsid w:val="00EA2D13"/>
    <w:rsid w:val="00EA5CC3"/>
    <w:rsid w:val="00EC69F8"/>
    <w:rsid w:val="00ED0009"/>
    <w:rsid w:val="00EF2DC5"/>
    <w:rsid w:val="00EF3125"/>
    <w:rsid w:val="00EF4B79"/>
    <w:rsid w:val="00F00CB0"/>
    <w:rsid w:val="00F15DDE"/>
    <w:rsid w:val="00F3039D"/>
    <w:rsid w:val="00F3464B"/>
    <w:rsid w:val="00F6072C"/>
    <w:rsid w:val="00F60D27"/>
    <w:rsid w:val="00F65A34"/>
    <w:rsid w:val="00F71A4E"/>
    <w:rsid w:val="00F84F33"/>
    <w:rsid w:val="00FB616F"/>
    <w:rsid w:val="00FE0A33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3B6E"/>
  <w15:chartTrackingRefBased/>
  <w15:docId w15:val="{25BCA924-A9B7-429D-874B-B803167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0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9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9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027">
          <w:marLeft w:val="11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853">
          <w:marLeft w:val="117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091">
          <w:marLeft w:val="11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2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658">
          <w:marLeft w:val="11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322">
          <w:marLeft w:val="11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551">
          <w:marLeft w:val="117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6095">
          <w:marLeft w:val="11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29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015">
          <w:marLeft w:val="11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0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7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0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0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4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5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6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2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2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9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8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047">
          <w:marLeft w:val="11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617">
          <w:marLeft w:val="117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238">
          <w:marLeft w:val="11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8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162">
          <w:marLeft w:val="11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2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9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9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39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6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albania.al/eAlbaniaServices/UseService.aspx?service_code=151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2213</Words>
  <Characters>12618</Characters>
  <Application>Microsoft Office Word</Application>
  <DocSecurity>0</DocSecurity>
  <Lines>105</Lines>
  <Paragraphs>29</Paragraphs>
  <ScaleCrop>false</ScaleCrop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Myftaraj</dc:creator>
  <cp:keywords/>
  <dc:description/>
  <cp:lastModifiedBy>Elena Myftaraj</cp:lastModifiedBy>
  <cp:revision>2</cp:revision>
  <dcterms:created xsi:type="dcterms:W3CDTF">2026-02-11T15:16:00Z</dcterms:created>
  <dcterms:modified xsi:type="dcterms:W3CDTF">2026-02-11T15:16:00Z</dcterms:modified>
</cp:coreProperties>
</file>