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1925257719"/>
        <w:docPartObj>
          <w:docPartGallery w:val="Cover Pages"/>
          <w:docPartUnique/>
        </w:docPartObj>
      </w:sdtPr>
      <w:sdtEndPr>
        <w:rPr>
          <w:sz w:val="72"/>
          <w:szCs w:val="72"/>
        </w:rPr>
      </w:sdtEndPr>
      <w:sdtContent>
        <w:p w14:paraId="59D90F2A" w14:textId="249C5A73" w:rsidR="005F2AC9" w:rsidRDefault="00B56839">
          <w:pPr>
            <w:pStyle w:val="NoSpacing"/>
            <w:tabs>
              <w:tab w:val="center" w:pos="4815"/>
              <w:tab w:val="left" w:pos="7080"/>
            </w:tabs>
            <w:spacing w:before="1540" w:after="240"/>
            <w:rPr>
              <w:color w:val="000000" w:themeColor="text1"/>
            </w:rPr>
          </w:pPr>
          <w:r>
            <w:rPr>
              <w:color w:val="000000" w:themeColor="text1"/>
            </w:rPr>
            <w:tab/>
          </w:r>
          <w:r>
            <w:rPr>
              <w:noProof/>
            </w:rPr>
            <w:drawing>
              <wp:inline distT="0" distB="0" distL="0" distR="0" wp14:anchorId="15826613" wp14:editId="4692A3F8">
                <wp:extent cx="2247900" cy="179070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9"/>
                        <a:stretch>
                          <a:fillRect/>
                        </a:stretch>
                      </pic:blipFill>
                      <pic:spPr bwMode="auto">
                        <a:xfrm>
                          <a:off x="0" y="0"/>
                          <a:ext cx="2247900" cy="1790700"/>
                        </a:xfrm>
                        <a:prstGeom prst="rect">
                          <a:avLst/>
                        </a:prstGeom>
                        <a:noFill/>
                      </pic:spPr>
                    </pic:pic>
                  </a:graphicData>
                </a:graphic>
              </wp:inline>
            </w:drawing>
          </w:r>
          <w:r w:rsidR="004F2BA4">
            <w:rPr>
              <w:noProof/>
            </w:rPr>
            <mc:AlternateContent>
              <mc:Choice Requires="wps">
                <w:drawing>
                  <wp:inline distT="0" distB="0" distL="0" distR="0" wp14:anchorId="10DF7620" wp14:editId="2CCBE1A6">
                    <wp:extent cx="304800" cy="304800"/>
                    <wp:effectExtent l="0" t="0" r="0" b="0"/>
                    <wp:docPr id="24364516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4800" cy="3048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29CD39" id="Rectangl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" filled="f" stroked="f" strokeweight="0">
                    <w10:anchorlock/>
                  </v:rect>
                </w:pict>
              </mc:Fallback>
            </mc:AlternateContent>
          </w:r>
          <w:r>
            <w:rPr>
              <w:color w:val="000000" w:themeColor="text1"/>
            </w:rPr>
            <w:tab/>
          </w:r>
        </w:p>
        <w:p w14:paraId="77279492" w14:textId="52C10733" w:rsidR="005F2AC9" w:rsidRPr="00205E6E" w:rsidRDefault="00320C75" w:rsidP="00205E6E">
          <w:pPr>
            <w:pStyle w:val="NoSpacing"/>
            <w:pBdr>
              <w:top w:val="single" w:sz="6" w:space="6" w:color="F0A22E" w:themeColor="accent1"/>
              <w:bottom w:val="single" w:sz="6" w:space="6" w:color="F0A22E" w:themeColor="accent1"/>
            </w:pBdr>
            <w:spacing w:after="240"/>
            <w:jc w:val="center"/>
            <w:rPr>
              <w:rFonts w:asciiTheme="majorHAnsi" w:eastAsiaTheme="majorEastAsia" w:hAnsiTheme="majorHAnsi" w:cstheme="majorBidi"/>
              <w:caps/>
              <w:color w:val="000000" w:themeColor="text1"/>
              <w:sz w:val="72"/>
              <w:szCs w:val="72"/>
              <w:lang w:val="fr-FR"/>
            </w:rPr>
          </w:pPr>
          <w:sdt>
            <w:sdtPr>
              <w:rPr>
                <w:sz w:val="72"/>
                <w:szCs w:val="72"/>
              </w:rPr>
              <w:alias w:val="Title"/>
              <w:id w:val="1735040861"/>
              <w:dataBinding w:prefixMappings="xmlns:ns0='http://purl.org/dc/elements/1.1/' xmlns:ns1='http://schemas.openxmlformats.org/package/2006/metadata/core-properties' " w:xpath="/ns1:coreProperties[1]/ns0:title[1]" w:storeItemID="{6C3C8BC8-F283-45AE-878A-BAB7291924A1}"/>
              <w:text/>
            </w:sdtPr>
            <w:sdtEndPr/>
            <w:sdtContent>
              <w:r w:rsidR="00205E6E" w:rsidRPr="00205E6E">
                <w:rPr>
                  <w:sz w:val="72"/>
                  <w:szCs w:val="72"/>
                </w:rPr>
                <w:t>NATIONAL SOCIAL PROTECTION STRATEGY 2024</w:t>
              </w:r>
              <w:r w:rsidR="00536312">
                <w:rPr>
                  <w:sz w:val="72"/>
                  <w:szCs w:val="72"/>
                </w:rPr>
                <w:t>-</w:t>
              </w:r>
              <w:r w:rsidR="00205E6E" w:rsidRPr="00205E6E">
                <w:rPr>
                  <w:sz w:val="72"/>
                  <w:szCs w:val="72"/>
                </w:rPr>
                <w:t>2030</w:t>
              </w:r>
            </w:sdtContent>
          </w:sdt>
        </w:p>
      </w:sdtContent>
    </w:sdt>
    <w:p w14:paraId="57EEFCB7" w14:textId="2074119B" w:rsidR="005F2AC9" w:rsidRPr="00205E6E" w:rsidRDefault="00205E6E">
      <w:pPr>
        <w:pStyle w:val="NoSpacing"/>
        <w:spacing w:before="480"/>
        <w:jc w:val="center"/>
        <w:rPr>
          <w:color w:val="000000" w:themeColor="text1"/>
          <w:sz w:val="32"/>
          <w:szCs w:val="32"/>
          <w:lang w:val="fr-FR"/>
        </w:rPr>
      </w:pPr>
      <w:r w:rsidRPr="00205E6E">
        <w:rPr>
          <w:sz w:val="32"/>
          <w:szCs w:val="32"/>
        </w:rPr>
        <w:t>PROGRESS REPORT 2025</w:t>
      </w:r>
    </w:p>
    <w:p w14:paraId="0661E26F" w14:textId="77777777" w:rsidR="005F2AC9" w:rsidRDefault="005F2AC9">
      <w:pPr>
        <w:pStyle w:val="NoSpacing"/>
        <w:spacing w:before="480"/>
        <w:jc w:val="center"/>
        <w:rPr>
          <w:color w:val="000000" w:themeColor="text1"/>
          <w:lang w:val="fr-FR"/>
        </w:rPr>
      </w:pPr>
    </w:p>
    <w:p w14:paraId="743869A7" w14:textId="77777777" w:rsidR="005F2AC9" w:rsidRDefault="005F2AC9">
      <w:pPr>
        <w:pStyle w:val="NoSpacing"/>
        <w:spacing w:before="480"/>
        <w:jc w:val="center"/>
        <w:rPr>
          <w:color w:val="000000" w:themeColor="text1"/>
          <w:lang w:val="fr-FR"/>
        </w:rPr>
      </w:pPr>
    </w:p>
    <w:p w14:paraId="333A27C0" w14:textId="77777777" w:rsidR="005F2AC9" w:rsidRDefault="005F2AC9">
      <w:pPr>
        <w:pStyle w:val="NoSpacing"/>
        <w:spacing w:before="480"/>
        <w:jc w:val="center"/>
        <w:rPr>
          <w:color w:val="000000" w:themeColor="text1"/>
          <w:lang w:val="fr-FR"/>
        </w:rPr>
      </w:pPr>
    </w:p>
    <w:p w14:paraId="5913C2CC" w14:textId="77777777" w:rsidR="005F2AC9" w:rsidRDefault="005F2AC9">
      <w:pPr>
        <w:pStyle w:val="NoSpacing"/>
        <w:spacing w:before="480"/>
        <w:jc w:val="center"/>
        <w:rPr>
          <w:color w:val="000000" w:themeColor="text1"/>
          <w:lang w:val="fr-FR"/>
        </w:rPr>
      </w:pPr>
    </w:p>
    <w:p w14:paraId="6624E1FA" w14:textId="77777777" w:rsidR="005F2AC9" w:rsidRDefault="005F2AC9">
      <w:pPr>
        <w:pStyle w:val="NoSpacing"/>
        <w:spacing w:before="480"/>
        <w:jc w:val="center"/>
        <w:rPr>
          <w:color w:val="000000" w:themeColor="text1"/>
          <w:lang w:val="fr-FR"/>
        </w:rPr>
      </w:pPr>
    </w:p>
    <w:p w14:paraId="4C0BD19D" w14:textId="77777777" w:rsidR="00205E6E" w:rsidRDefault="00205E6E">
      <w:pPr>
        <w:pStyle w:val="NoSpacing"/>
        <w:spacing w:before="480"/>
        <w:jc w:val="center"/>
        <w:rPr>
          <w:color w:val="000000" w:themeColor="text1"/>
          <w:lang w:val="fr-FR"/>
        </w:rPr>
      </w:pPr>
    </w:p>
    <w:p w14:paraId="1FE54BEA" w14:textId="77777777" w:rsidR="00205E6E" w:rsidRDefault="00205E6E" w:rsidP="00205E6E">
      <w:pPr>
        <w:pStyle w:val="NoSpacing"/>
        <w:spacing w:before="480"/>
        <w:rPr>
          <w:color w:val="000000" w:themeColor="text1"/>
          <w:lang w:val="fr-FR"/>
        </w:rPr>
      </w:pPr>
    </w:p>
    <w:p w14:paraId="6437044B" w14:textId="18C6CDE9" w:rsidR="00205E6E" w:rsidRDefault="004F2BA4" w:rsidP="00A166D4">
      <w:pPr>
        <w:pStyle w:val="NoSpacing"/>
        <w:spacing w:before="480" w:line="276" w:lineRule="auto"/>
        <w:jc w:val="both"/>
        <w:rPr>
          <w:rFonts w:ascii="Times New Roman" w:eastAsia="Times New Roman" w:hAnsi="Times New Roman" w:cs="Times New Roman"/>
          <w:b/>
          <w:bCs/>
          <w:sz w:val="24"/>
          <w:szCs w:val="24"/>
        </w:rPr>
      </w:pPr>
      <w:r w:rsidRPr="00A166D4">
        <w:rPr>
          <w:rFonts w:ascii="Times New Roman" w:hAnsi="Times New Roman" w:cs="Times New Roman"/>
          <w:b/>
          <w:bCs/>
          <w:noProof/>
          <w:sz w:val="24"/>
          <w:szCs w:val="24"/>
        </w:rPr>
        <w:lastRenderedPageBreak/>
        <mc:AlternateContent>
          <mc:Choice Requires="wps">
            <w:drawing>
              <wp:anchor distT="0" distB="12065" distL="0" distR="0" simplePos="0" relativeHeight="25" behindDoc="0" locked="0" layoutInCell="0" allowOverlap="1" wp14:anchorId="6E6115AA" wp14:editId="4C767E43">
                <wp:simplePos x="0" y="0"/>
                <wp:positionH relativeFrom="margin">
                  <wp:align>center</wp:align>
                </wp:positionH>
                <wp:positionV relativeFrom="page">
                  <wp:posOffset>8549640</wp:posOffset>
                </wp:positionV>
                <wp:extent cx="6115050" cy="212725"/>
                <wp:effectExtent l="0" t="0" r="0" b="0"/>
                <wp:wrapNone/>
                <wp:docPr id="5956813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15050" cy="212725"/>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7AC9213A" w14:textId="77777777" w:rsidR="00AC7D34" w:rsidRDefault="00AC7D34">
                            <w:pPr>
                              <w:pStyle w:val="NoSpacing"/>
                              <w:jc w:val="center"/>
                              <w:rPr>
                                <w:color w:val="F0A22E" w:themeColor="accent1"/>
                              </w:rPr>
                            </w:pPr>
                          </w:p>
                        </w:txbxContent>
                      </wps:txbx>
                      <wps:bodyPr lIns="0" tIns="0" rIns="0" bIns="0" anchor="b">
                        <a:prstTxWarp prst="textNoShape">
                          <a:avLst/>
                        </a:prstTxWarp>
                        <a:spAutoFit/>
                      </wps:bodyPr>
                    </wps:wsp>
                  </a:graphicData>
                </a:graphic>
                <wp14:sizeRelH relativeFrom="margin">
                  <wp14:pctWidth>100000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6115AA" id="Rectangle 3" o:spid="_x0000_s1026" style="position:absolute;left:0;text-align:left;margin-left:0;margin-top:673.2pt;width:481.5pt;height:16.75pt;z-index:25;visibility:visible;mso-wrap-style:square;mso-width-percent:1000;mso-height-percent:0;mso-wrap-distance-left:0;mso-wrap-distance-top:0;mso-wrap-distance-right:0;mso-wrap-distance-bottom:.95pt;mso-position-horizontal:center;mso-position-horizontal-relative:margin;mso-position-vertical:absolute;mso-position-vertical-relative:page;mso-width-percent:100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" o:allowincell="f" filled="f" stroked="f" strokeweight=".5pt">
                <v:textbox style="mso-fit-shape-to-text:t" inset="0,0,0,0">
                  <w:txbxContent>
                    <w:p w14:paraId="7AC9213A" w14:textId="77777777" w:rsidR="00AC7D34" w:rsidRDefault="00AC7D34">
                      <w:pPr>
                        <w:pStyle w:val="NoSpacing"/>
                        <w:jc w:val="center"/>
                        <w:rPr>
                          <w:color w:val="F0A22E" w:themeColor="accent1"/>
                        </w:rPr>
                      </w:pPr>
                    </w:p>
                  </w:txbxContent>
                </v:textbox>
                <w10:wrap anchorx="margin" anchory="page"/>
              </v:rect>
            </w:pict>
          </mc:Fallback>
        </mc:AlternateContent>
      </w:r>
      <w:bookmarkStart w:id="1" w:name="_Toc136161823"/>
      <w:bookmarkStart w:id="2" w:name="_Toc136161812"/>
      <w:bookmarkStart w:id="3" w:name="_Toc136159067"/>
      <w:r w:rsidR="00205E6E" w:rsidRPr="00A166D4">
        <w:rPr>
          <w:rFonts w:ascii="Times New Roman" w:eastAsia="Times New Roman" w:hAnsi="Times New Roman" w:cs="Times New Roman"/>
          <w:b/>
          <w:bCs/>
          <w:sz w:val="24"/>
          <w:szCs w:val="24"/>
        </w:rPr>
        <w:t>ABBREVIATIONS</w:t>
      </w:r>
    </w:p>
    <w:p w14:paraId="636CD8B2" w14:textId="77777777" w:rsidR="00A166D4" w:rsidRPr="00A166D4" w:rsidRDefault="00A166D4" w:rsidP="00A166D4">
      <w:pPr>
        <w:pStyle w:val="NoSpacing"/>
        <w:spacing w:before="480" w:line="276" w:lineRule="auto"/>
        <w:jc w:val="both"/>
        <w:rPr>
          <w:rFonts w:ascii="Times New Roman" w:eastAsia="Times New Roman" w:hAnsi="Times New Roman" w:cs="Times New Roman"/>
          <w:b/>
          <w:bCs/>
          <w:sz w:val="24"/>
          <w:szCs w:val="24"/>
        </w:rPr>
      </w:pPr>
    </w:p>
    <w:p w14:paraId="52300179" w14:textId="3E843C44"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MHSW</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Ministry of Health and Social Welfare</w:t>
      </w:r>
    </w:p>
    <w:p w14:paraId="16B55CD8" w14:textId="51852F67"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MoF</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Ministry of Finance</w:t>
      </w:r>
    </w:p>
    <w:p w14:paraId="46B794CC" w14:textId="45049B0B"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SSS</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State Social Service</w:t>
      </w:r>
    </w:p>
    <w:p w14:paraId="0BD43725" w14:textId="6C316438"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LGU</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Local Self-Government Units</w:t>
      </w:r>
    </w:p>
    <w:p w14:paraId="67544288" w14:textId="7F72BBBC"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RNAU</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Regional Needs Assessment Unit</w:t>
      </w:r>
    </w:p>
    <w:p w14:paraId="26894F2C" w14:textId="05726C6A"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SSSS</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Special Social Service Structures</w:t>
      </w:r>
    </w:p>
    <w:p w14:paraId="7CAF16CF" w14:textId="724C4ED1"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NAES</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National Agency for Employment and Skills</w:t>
      </w:r>
    </w:p>
    <w:p w14:paraId="640AFC82" w14:textId="419961E1"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INSTAT</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Institute of Statistics</w:t>
      </w:r>
    </w:p>
    <w:p w14:paraId="1485E411" w14:textId="23B7ED80"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PwD</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Persons with Disabilities</w:t>
      </w:r>
    </w:p>
    <w:p w14:paraId="6F8B15AC" w14:textId="66FBA5E6"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EA</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Economic Assistance</w:t>
      </w:r>
    </w:p>
    <w:p w14:paraId="45CB5BD9" w14:textId="44B79AE4"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ISS</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Integrated Social Services</w:t>
      </w:r>
    </w:p>
    <w:p w14:paraId="258F711F" w14:textId="1F3C70F5"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SILC</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Survey on Income and Living Conditions</w:t>
      </w:r>
    </w:p>
    <w:p w14:paraId="0AF36B36" w14:textId="1EA534CF"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DBA</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Disability Benefit Payment</w:t>
      </w:r>
    </w:p>
    <w:p w14:paraId="3764ABE4" w14:textId="4998634F"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MTBP</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Medium-Term Budget Program</w:t>
      </w:r>
    </w:p>
    <w:p w14:paraId="2C23294A" w14:textId="48C85083"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UNDP</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United Nations Development Programme</w:t>
      </w:r>
    </w:p>
    <w:p w14:paraId="2736405B" w14:textId="69DE1842" w:rsidR="00205E6E" w:rsidRPr="00A166D4" w:rsidRDefault="00205E6E" w:rsidP="00A166D4">
      <w:pPr>
        <w:suppressAutoHyphens w:val="0"/>
        <w:spacing w:beforeAutospacing="1"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UNICEF</w:t>
      </w:r>
      <w:r w:rsidRPr="00A166D4">
        <w:rPr>
          <w:rFonts w:ascii="Times New Roman" w:eastAsia="Times New Roman" w:hAnsi="Times New Roman" w:cs="Times New Roman"/>
          <w:sz w:val="24"/>
          <w:szCs w:val="24"/>
        </w:rPr>
        <w:tab/>
      </w:r>
      <w:r w:rsidRPr="00A166D4">
        <w:rPr>
          <w:rFonts w:ascii="Times New Roman" w:eastAsia="Times New Roman" w:hAnsi="Times New Roman" w:cs="Times New Roman"/>
          <w:sz w:val="24"/>
          <w:szCs w:val="24"/>
        </w:rPr>
        <w:tab/>
        <w:t>United Nations International Children's Emergency Fund</w:t>
      </w:r>
    </w:p>
    <w:p w14:paraId="674FB40E" w14:textId="1A30D88B" w:rsidR="00205E6E" w:rsidRPr="00A166D4" w:rsidRDefault="00205E6E" w:rsidP="00A166D4">
      <w:pPr>
        <w:suppressAutoHyphens w:val="0"/>
        <w:spacing w:before="0" w:after="0"/>
        <w:jc w:val="both"/>
        <w:rPr>
          <w:rFonts w:ascii="Times New Roman" w:eastAsia="Times New Roman" w:hAnsi="Times New Roman" w:cs="Times New Roman"/>
          <w:sz w:val="24"/>
          <w:szCs w:val="24"/>
        </w:rPr>
      </w:pPr>
    </w:p>
    <w:p w14:paraId="3C07596B" w14:textId="77777777" w:rsidR="00205E6E" w:rsidRPr="00A166D4" w:rsidRDefault="00205E6E" w:rsidP="00A166D4">
      <w:pPr>
        <w:suppressAutoHyphens w:val="0"/>
        <w:spacing w:before="0" w:after="0"/>
        <w:jc w:val="both"/>
        <w:rPr>
          <w:rFonts w:ascii="Times New Roman" w:eastAsia="Times New Roman" w:hAnsi="Times New Roman" w:cs="Times New Roman"/>
          <w:sz w:val="24"/>
          <w:szCs w:val="24"/>
        </w:rPr>
      </w:pPr>
    </w:p>
    <w:p w14:paraId="1DF31705" w14:textId="77777777" w:rsidR="00205E6E" w:rsidRPr="00A166D4" w:rsidRDefault="00205E6E" w:rsidP="00A166D4">
      <w:pPr>
        <w:suppressAutoHyphens w:val="0"/>
        <w:spacing w:before="0" w:after="0"/>
        <w:jc w:val="both"/>
        <w:rPr>
          <w:rFonts w:ascii="Times New Roman" w:eastAsia="Times New Roman" w:hAnsi="Times New Roman" w:cs="Times New Roman"/>
          <w:sz w:val="24"/>
          <w:szCs w:val="24"/>
        </w:rPr>
      </w:pPr>
    </w:p>
    <w:p w14:paraId="151E0B50" w14:textId="77777777" w:rsidR="00205E6E" w:rsidRPr="00A166D4" w:rsidRDefault="00205E6E" w:rsidP="00A166D4">
      <w:pPr>
        <w:suppressAutoHyphens w:val="0"/>
        <w:spacing w:before="0" w:after="0"/>
        <w:jc w:val="both"/>
        <w:rPr>
          <w:rFonts w:ascii="Times New Roman" w:eastAsia="Times New Roman" w:hAnsi="Times New Roman" w:cs="Times New Roman"/>
          <w:sz w:val="24"/>
          <w:szCs w:val="24"/>
        </w:rPr>
      </w:pPr>
    </w:p>
    <w:p w14:paraId="1910E337" w14:textId="77777777" w:rsidR="00205E6E" w:rsidRDefault="00205E6E" w:rsidP="00A166D4">
      <w:pPr>
        <w:suppressAutoHyphens w:val="0"/>
        <w:spacing w:before="0" w:after="0"/>
        <w:jc w:val="both"/>
        <w:rPr>
          <w:rFonts w:ascii="Times New Roman" w:eastAsia="Times New Roman" w:hAnsi="Times New Roman" w:cs="Times New Roman"/>
          <w:sz w:val="24"/>
          <w:szCs w:val="24"/>
        </w:rPr>
      </w:pPr>
    </w:p>
    <w:p w14:paraId="19F90DFB" w14:textId="77777777" w:rsidR="00A166D4" w:rsidRDefault="00A166D4" w:rsidP="00A166D4">
      <w:pPr>
        <w:suppressAutoHyphens w:val="0"/>
        <w:spacing w:before="0" w:after="0"/>
        <w:jc w:val="both"/>
        <w:rPr>
          <w:rFonts w:ascii="Times New Roman" w:eastAsia="Times New Roman" w:hAnsi="Times New Roman" w:cs="Times New Roman"/>
          <w:sz w:val="24"/>
          <w:szCs w:val="24"/>
        </w:rPr>
      </w:pPr>
    </w:p>
    <w:p w14:paraId="6E4E3D93" w14:textId="77777777" w:rsidR="00A166D4" w:rsidRPr="00A166D4" w:rsidRDefault="00A166D4" w:rsidP="00A166D4">
      <w:pPr>
        <w:suppressAutoHyphens w:val="0"/>
        <w:spacing w:before="0" w:after="0"/>
        <w:jc w:val="both"/>
        <w:rPr>
          <w:rFonts w:ascii="Times New Roman" w:eastAsia="Times New Roman" w:hAnsi="Times New Roman" w:cs="Times New Roman"/>
          <w:sz w:val="24"/>
          <w:szCs w:val="24"/>
        </w:rPr>
      </w:pPr>
    </w:p>
    <w:p w14:paraId="28121EF1" w14:textId="77777777" w:rsidR="00205E6E" w:rsidRPr="00A166D4" w:rsidRDefault="00205E6E" w:rsidP="00A166D4">
      <w:pPr>
        <w:suppressAutoHyphens w:val="0"/>
        <w:spacing w:before="0" w:after="0"/>
        <w:jc w:val="both"/>
        <w:rPr>
          <w:rFonts w:ascii="Times New Roman" w:eastAsia="Times New Roman" w:hAnsi="Times New Roman" w:cs="Times New Roman"/>
          <w:sz w:val="24"/>
          <w:szCs w:val="24"/>
        </w:rPr>
      </w:pPr>
    </w:p>
    <w:p w14:paraId="71DFC2AF" w14:textId="77777777" w:rsidR="00205E6E" w:rsidRPr="00A166D4" w:rsidRDefault="00205E6E" w:rsidP="00A166D4">
      <w:pPr>
        <w:suppressAutoHyphens w:val="0"/>
        <w:spacing w:before="0" w:after="0"/>
        <w:jc w:val="both"/>
        <w:rPr>
          <w:rFonts w:ascii="Times New Roman" w:eastAsia="Times New Roman" w:hAnsi="Times New Roman" w:cs="Times New Roman"/>
          <w:sz w:val="24"/>
          <w:szCs w:val="24"/>
        </w:rPr>
      </w:pPr>
    </w:p>
    <w:p w14:paraId="77BB647C" w14:textId="77777777" w:rsidR="00205E6E" w:rsidRPr="00A166D4" w:rsidRDefault="00205E6E" w:rsidP="00A166D4">
      <w:pPr>
        <w:suppressAutoHyphens w:val="0"/>
        <w:spacing w:beforeAutospacing="1" w:after="100" w:afterAutospacing="1"/>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lastRenderedPageBreak/>
        <w:t>FOREWORD</w:t>
      </w:r>
    </w:p>
    <w:p w14:paraId="6B0ADC5C" w14:textId="77777777" w:rsidR="00205E6E" w:rsidRPr="00A166D4" w:rsidRDefault="00205E6E"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National Social Protection Strategy 2024–2030, approved by DCM No. 152/2024, represents the main policy framework for strengthening the social protection system in Albania, aiming to guarantee a dignified standard of living, reduce poverty, and promote the social inclusion of individuals and families in need throughout the life cycle. At its core lies the transition from a purely supportive approach towards a more active, preventive, and empowering system, which combines financial benefits with integrated services and mechanisms for social and economic reintegration.</w:t>
      </w:r>
    </w:p>
    <w:p w14:paraId="1AB4A43E" w14:textId="77777777" w:rsidR="00205E6E" w:rsidRPr="00A166D4" w:rsidRDefault="00205E6E"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This monitoring report assesses the progress achieved in the implementation of the Strategy during the reporting period, analysing the level of fulfilment of objectives, priority measures, and performance indicators. The report focuses on three key dimensions: (i) the functioning and effectiveness of income protection schemes, (ii) the expansion and quality of social care services at the local level, and (iii) the strengthening of cross-sectoral mechanisms that link social protection with employment, education, health, and justice.</w:t>
      </w:r>
    </w:p>
    <w:p w14:paraId="1F0DAAE1" w14:textId="77777777" w:rsidR="00205E6E" w:rsidRPr="00A166D4" w:rsidRDefault="00205E6E"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 line with the strategic directions of NSDEI 2030 and commitments within the framework of the European integration process, the monitoring of the Strategy places particular emphasis on the real impact of interventions on the lives of beneficiaries, not merely on the formal completion of activities. For this reason, the analysis includes not only administrative data on coverage and expenditure, but also elements of service quality, access for the most vulnerable groups, and the functioning of referral and inter-institutional coordination mechanisms.</w:t>
      </w:r>
    </w:p>
    <w:p w14:paraId="6A6130BC" w14:textId="77777777" w:rsidR="00205E6E" w:rsidRPr="00A166D4" w:rsidRDefault="00205E6E"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Special attention is devoted to groups facing a higher risk of social exclusion, including children without parental care, persons with disabilities, families in deep poverty, victims of violence and trafficking, as well as individuals affected by economic crises or emergencies. The monitoring analyses whether the measures undertaken have contributed to increasing access to integrated services, improving coordination between local and central structures, and strengthening the individual- and family-centred approach.</w:t>
      </w:r>
    </w:p>
    <w:p w14:paraId="2D978293" w14:textId="77777777" w:rsidR="00205E6E" w:rsidRPr="00A166D4" w:rsidRDefault="00205E6E"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report also examines the institutional capacities for implementing the Strategy, including the role of local government in planning and delivering services, the functioning of financing mechanisms, and partnerships with civil society organisations and non-public providers. In this context, progress towards a more decentralised system, territorially balanced and more responsive to the specific needs of communities, is assessed.</w:t>
      </w:r>
    </w:p>
    <w:p w14:paraId="287918EC" w14:textId="77777777" w:rsidR="00205E6E" w:rsidRPr="00A166D4" w:rsidRDefault="00205E6E"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An important element of this monitoring is the analysis of the social protection system's response to crisis situations and external shocks. The experience of recent years has underscored the need for flexible and rapid support mechanisms, and the report assesses the extent to which the instruments envisaged by the Strategy have increased the preparedness and resilience of the system.</w:t>
      </w:r>
    </w:p>
    <w:p w14:paraId="3B63BC19" w14:textId="77777777" w:rsidR="0076344A" w:rsidRPr="00A166D4" w:rsidRDefault="00205E6E"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lastRenderedPageBreak/>
        <w:t>In conclusion, the report identifies the main challenges that have affected the pace and quality of implementation of the measures, including gaps in human and financial resources, the need for improvement of data systems, and the strengthening of inter-institutional cooperation. The findings and recommendations of this report aim to support the further improvement of social protection policies and instruments, contributing to a more effective, more inclusive, and more sustainable system.</w:t>
      </w:r>
    </w:p>
    <w:p w14:paraId="6C18F7F7" w14:textId="77777777" w:rsidR="0076344A" w:rsidRPr="00A166D4" w:rsidRDefault="0076344A" w:rsidP="00A166D4">
      <w:pPr>
        <w:suppressAutoHyphens w:val="0"/>
        <w:spacing w:beforeAutospacing="1" w:after="100" w:afterAutospacing="1"/>
        <w:jc w:val="both"/>
        <w:rPr>
          <w:rFonts w:ascii="Times New Roman" w:eastAsia="Times New Roman" w:hAnsi="Times New Roman" w:cs="Times New Roman"/>
          <w:sz w:val="24"/>
          <w:szCs w:val="24"/>
        </w:rPr>
      </w:pPr>
    </w:p>
    <w:p w14:paraId="002A23EB" w14:textId="6BB0AD75" w:rsidR="0076344A" w:rsidRPr="00A166D4" w:rsidRDefault="00205E6E" w:rsidP="00A166D4">
      <w:pPr>
        <w:suppressAutoHyphens w:val="0"/>
        <w:spacing w:beforeAutospacing="1" w:after="100" w:afterAutospacing="1"/>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t>STRATEGIC FRAMEWORK</w:t>
      </w:r>
    </w:p>
    <w:p w14:paraId="0D8A009F" w14:textId="77777777" w:rsidR="0076344A" w:rsidRPr="00A166D4" w:rsidRDefault="0076344A" w:rsidP="00A166D4">
      <w:pPr>
        <w:suppressAutoHyphens w:val="0"/>
        <w:spacing w:beforeAutospacing="1" w:after="100" w:afterAutospacing="1"/>
        <w:jc w:val="both"/>
        <w:rPr>
          <w:rFonts w:ascii="Times New Roman" w:eastAsia="Times New Roman" w:hAnsi="Times New Roman" w:cs="Times New Roman"/>
          <w:b/>
          <w:bCs/>
          <w:sz w:val="24"/>
          <w:szCs w:val="24"/>
        </w:rPr>
      </w:pPr>
    </w:p>
    <w:p w14:paraId="6E6F69E0" w14:textId="77777777" w:rsidR="00205E6E" w:rsidRPr="00A166D4" w:rsidRDefault="00205E6E"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National Social Protection Strategy 2024–2030 is directly linked to 16 strategies, policy documents, or national action plans. Specifically:</w:t>
      </w:r>
    </w:p>
    <w:p w14:paraId="08536779" w14:textId="1A8B6BD0" w:rsidR="0076344A" w:rsidRPr="00A166D4" w:rsidRDefault="00205E6E" w:rsidP="00320C75">
      <w:pPr>
        <w:pStyle w:val="ListParagraph"/>
        <w:numPr>
          <w:ilvl w:val="0"/>
          <w:numId w:val="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The National Strategy for Development and Integration 2030</w:t>
      </w:r>
      <w:r w:rsidR="00A166D4">
        <w:rPr>
          <w:rStyle w:val="FootnoteReference"/>
          <w:rFonts w:ascii="Times New Roman" w:eastAsia="Times New Roman" w:hAnsi="Times New Roman" w:cs="Times New Roman"/>
          <w:sz w:val="24"/>
          <w:szCs w:val="24"/>
        </w:rPr>
        <w:footnoteReference w:id="1"/>
      </w:r>
      <w:r w:rsidRPr="00A166D4">
        <w:rPr>
          <w:rFonts w:ascii="Times New Roman" w:eastAsia="Times New Roman" w:hAnsi="Times New Roman" w:cs="Times New Roman"/>
          <w:sz w:val="24"/>
          <w:szCs w:val="24"/>
        </w:rPr>
        <w:t xml:space="preserve">, the third pillar of which focuses on human resources as the most valuable capital in the country, aiming to provide basic public services, combat poverty, promote employment, strengthen the social protection system, and support the most vulnerable segments of society. </w:t>
      </w:r>
    </w:p>
    <w:p w14:paraId="433D9B4E" w14:textId="150BFF72" w:rsidR="00205E6E" w:rsidRPr="00A166D4" w:rsidRDefault="00205E6E" w:rsidP="00A166D4">
      <w:pPr>
        <w:suppressAutoHyphens w:val="0"/>
        <w:spacing w:beforeAutospacing="1" w:after="100" w:afterAutospacing="1"/>
        <w:ind w:left="720"/>
        <w:jc w:val="both"/>
        <w:rPr>
          <w:rFonts w:ascii="Times New Roman" w:eastAsia="Times New Roman" w:hAnsi="Times New Roman" w:cs="Times New Roman"/>
          <w:i/>
          <w:iCs/>
          <w:sz w:val="24"/>
          <w:szCs w:val="24"/>
        </w:rPr>
      </w:pPr>
      <w:r w:rsidRPr="00A166D4">
        <w:rPr>
          <w:rFonts w:ascii="Times New Roman" w:eastAsia="Times New Roman" w:hAnsi="Times New Roman" w:cs="Times New Roman"/>
          <w:sz w:val="24"/>
          <w:szCs w:val="24"/>
        </w:rPr>
        <w:t xml:space="preserve">One of the directions of Social Protection under the Social Cohesion pillar is </w:t>
      </w:r>
      <w:r w:rsidRPr="00A166D4">
        <w:rPr>
          <w:rFonts w:ascii="Times New Roman" w:eastAsia="Times New Roman" w:hAnsi="Times New Roman" w:cs="Times New Roman"/>
          <w:i/>
          <w:iCs/>
          <w:sz w:val="24"/>
          <w:szCs w:val="24"/>
        </w:rPr>
        <w:t>the Development of Integrated Social Services;</w:t>
      </w:r>
    </w:p>
    <w:p w14:paraId="2D7BCC97" w14:textId="058FC19E" w:rsidR="00205E6E" w:rsidRPr="00A166D4" w:rsidRDefault="00205E6E" w:rsidP="00320C75">
      <w:pPr>
        <w:pStyle w:val="ListParagraph"/>
        <w:numPr>
          <w:ilvl w:val="0"/>
          <w:numId w:val="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 </w:t>
      </w:r>
      <w:r w:rsidRPr="00A166D4">
        <w:rPr>
          <w:rFonts w:ascii="Times New Roman" w:eastAsia="Times New Roman" w:hAnsi="Times New Roman" w:cs="Times New Roman"/>
          <w:b/>
          <w:bCs/>
          <w:sz w:val="24"/>
          <w:szCs w:val="24"/>
        </w:rPr>
        <w:t>The National Plan for European Integration (NPEI) 2023, Chapter 19</w:t>
      </w:r>
      <w:r w:rsidR="00A166D4">
        <w:rPr>
          <w:rStyle w:val="FootnoteReference"/>
          <w:rFonts w:ascii="Times New Roman" w:eastAsia="Times New Roman" w:hAnsi="Times New Roman" w:cs="Times New Roman"/>
          <w:sz w:val="24"/>
          <w:szCs w:val="24"/>
        </w:rPr>
        <w:footnoteReference w:id="2"/>
      </w:r>
      <w:r w:rsidRPr="00A166D4">
        <w:rPr>
          <w:rFonts w:ascii="Times New Roman" w:eastAsia="Times New Roman" w:hAnsi="Times New Roman" w:cs="Times New Roman"/>
          <w:sz w:val="24"/>
          <w:szCs w:val="24"/>
        </w:rPr>
        <w:t xml:space="preserve"> "Social Policies and Employment", sub-chapter on equal opportunities and anti-discrimination, social inclusion, social protection, disability, and employment opportunities, which devotes particular focus to local decentralisation and the development of integrated social and community care services for all vulnerable categories; </w:t>
      </w:r>
      <w:r w:rsidRPr="00A166D4">
        <w:rPr>
          <w:rFonts w:ascii="Times New Roman" w:eastAsia="Times New Roman" w:hAnsi="Times New Roman" w:cs="Times New Roman"/>
          <w:b/>
          <w:bCs/>
          <w:sz w:val="24"/>
          <w:szCs w:val="24"/>
        </w:rPr>
        <w:t xml:space="preserve">Chapter 23 </w:t>
      </w:r>
      <w:r w:rsidRPr="00A166D4">
        <w:rPr>
          <w:rFonts w:ascii="Times New Roman" w:eastAsia="Times New Roman" w:hAnsi="Times New Roman" w:cs="Times New Roman"/>
          <w:sz w:val="24"/>
          <w:szCs w:val="24"/>
        </w:rPr>
        <w:t xml:space="preserve">"Judiciary and Fundamental Rights", which emphasises the need for expanding the network of integrated social care services with the aim of vocational training and employment of vulnerable groups (economic assistance beneficiaries, persons with disabilities, abused women, LGBTI+ persons, Roma and Egyptians, etc.); </w:t>
      </w:r>
      <w:r w:rsidRPr="00A166D4">
        <w:rPr>
          <w:rFonts w:ascii="Times New Roman" w:eastAsia="Times New Roman" w:hAnsi="Times New Roman" w:cs="Times New Roman"/>
          <w:b/>
          <w:bCs/>
          <w:sz w:val="24"/>
          <w:szCs w:val="24"/>
        </w:rPr>
        <w:t>Chapter 28</w:t>
      </w:r>
      <w:r w:rsidRPr="00A166D4">
        <w:rPr>
          <w:rFonts w:ascii="Times New Roman" w:eastAsia="Times New Roman" w:hAnsi="Times New Roman" w:cs="Times New Roman"/>
          <w:sz w:val="24"/>
          <w:szCs w:val="24"/>
        </w:rPr>
        <w:t xml:space="preserve"> – "Health and Consumer Protection", which stresses the need to guarantee equal access to quality integrated socio-health services for vulnerable groups, including the Roma and Egyptian minority, the elderly, persons with mental health problems, persons with disabilities, rural populations and those living in remote areas, and in particular women and girls belonging to groups that are often the subject of multiple forms of discrimination;</w:t>
      </w:r>
    </w:p>
    <w:p w14:paraId="2736DF8E" w14:textId="00155646" w:rsidR="0076344A" w:rsidRPr="00A166D4" w:rsidRDefault="00205E6E" w:rsidP="00320C75">
      <w:pPr>
        <w:pStyle w:val="ListParagraph"/>
        <w:numPr>
          <w:ilvl w:val="0"/>
          <w:numId w:val="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lastRenderedPageBreak/>
        <w:t>The National Strategy for Gender Equality 2021–2030 and its Action Plan</w:t>
      </w:r>
      <w:r w:rsidR="00A166D4" w:rsidRPr="00A166D4">
        <w:rPr>
          <w:rStyle w:val="FootnoteReference"/>
          <w:rFonts w:ascii="Times New Roman" w:eastAsia="Times New Roman" w:hAnsi="Times New Roman" w:cs="Times New Roman"/>
          <w:sz w:val="24"/>
          <w:szCs w:val="24"/>
        </w:rPr>
        <w:footnoteReference w:id="3"/>
      </w:r>
      <w:r w:rsidRPr="00A166D4">
        <w:rPr>
          <w:rFonts w:ascii="Times New Roman" w:eastAsia="Times New Roman" w:hAnsi="Times New Roman" w:cs="Times New Roman"/>
          <w:sz w:val="24"/>
          <w:szCs w:val="24"/>
        </w:rPr>
        <w:t>, strategic direction 3 "Reduction of all harmful forms and practices, gender-based violence and domestic violence", specific objective II.2 "Increasing access to specialised support services for women, men, young people, girls and boys from all groups, who experience harmful practices, sexual violence and other forms of gender-based violence and domestic violence, both in normal situations and in humanitarian crisis situations and natural disaster emergencies". Some of the envisaged measures include the expansion/improvement of specialised support services for survivors of sexual assault and trafficking for the purpose of sexual exploitation, from all groups; expansion/improvement of specialised emergency shelter support services; expansion/improvement of specialised long-term shelter support services; financial support for NPOs that provide specialised services of various forms for cases of gender-based violence, domestic violence and trafficking;</w:t>
      </w:r>
    </w:p>
    <w:p w14:paraId="38120583" w14:textId="69A4773D" w:rsidR="0076344A" w:rsidRPr="00A166D4" w:rsidRDefault="00205E6E" w:rsidP="00320C75">
      <w:pPr>
        <w:pStyle w:val="ListParagraph"/>
        <w:numPr>
          <w:ilvl w:val="0"/>
          <w:numId w:val="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The Cross-Sectoral Strategy for Decentralisation and Local Governance 2023–2030</w:t>
      </w:r>
      <w:r w:rsidR="00A166D4">
        <w:rPr>
          <w:rStyle w:val="FootnoteReference"/>
          <w:rFonts w:ascii="Times New Roman" w:eastAsia="Times New Roman" w:hAnsi="Times New Roman" w:cs="Times New Roman"/>
          <w:b/>
          <w:bCs/>
          <w:sz w:val="24"/>
          <w:szCs w:val="24"/>
        </w:rPr>
        <w:footnoteReference w:id="4"/>
      </w:r>
      <w:r w:rsidRPr="00A166D4">
        <w:rPr>
          <w:rFonts w:ascii="Times New Roman" w:eastAsia="Times New Roman" w:hAnsi="Times New Roman" w:cs="Times New Roman"/>
          <w:sz w:val="24"/>
          <w:szCs w:val="24"/>
        </w:rPr>
        <w:t>, second strategic direction – quality delivery of local services in accordance with national standards, accompanied by increased performance of municipalities and human resources management. Consolidation of the role of Local Self-Government Units in exercising their functions, by clarifying legislative and institutional gaps and overlaps and financing mechanisms in intergovernmental relations; improvement of human resources management at the local level, accompanied by increased local administrative capacities with the aim of improving the delivery of public services; improvement of service efficiency; improvement of local governance performance are some of the objectives. In this strategy, specific indicators linked to the establishment of social services at the local level through financing from the Social Fund have been set;</w:t>
      </w:r>
    </w:p>
    <w:p w14:paraId="45CBDFE7" w14:textId="012954D3" w:rsidR="0076344A" w:rsidRPr="00A166D4" w:rsidRDefault="00205E6E" w:rsidP="00320C75">
      <w:pPr>
        <w:pStyle w:val="ListParagraph"/>
        <w:numPr>
          <w:ilvl w:val="0"/>
          <w:numId w:val="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The National Plan for Persons with Disabilities 2021–2025</w:t>
      </w:r>
      <w:r w:rsidR="00A166D4">
        <w:rPr>
          <w:rStyle w:val="FootnoteReference"/>
          <w:rFonts w:ascii="Times New Roman" w:eastAsia="Times New Roman" w:hAnsi="Times New Roman" w:cs="Times New Roman"/>
          <w:b/>
          <w:bCs/>
          <w:sz w:val="24"/>
          <w:szCs w:val="24"/>
        </w:rPr>
        <w:footnoteReference w:id="5"/>
      </w:r>
      <w:r w:rsidRPr="00A166D4">
        <w:rPr>
          <w:rFonts w:ascii="Times New Roman" w:eastAsia="Times New Roman" w:hAnsi="Times New Roman" w:cs="Times New Roman"/>
          <w:sz w:val="24"/>
          <w:szCs w:val="24"/>
        </w:rPr>
        <w:t>, which is oriented towards 8 strategic objectives for improving the living conditions and accessibility of persons with disabilities. Strategic objective 5 "Improving the quality of life of persons with disabilities through accessible, affordable, and client-centred services/benefits" envisages several objectives, such as monitoring the effects of disability assessment by the new commissions, according to the human rights model defined by the CRPD, provision of integrated social services through the combination of cash payments with quality social care, and promotion and encouragement of independent living through the provision of new types of community services;</w:t>
      </w:r>
    </w:p>
    <w:p w14:paraId="1F9F615B" w14:textId="3DC21EE6" w:rsidR="0076344A" w:rsidRPr="00A166D4" w:rsidRDefault="00205E6E" w:rsidP="00320C75">
      <w:pPr>
        <w:pStyle w:val="ListParagraph"/>
        <w:numPr>
          <w:ilvl w:val="0"/>
          <w:numId w:val="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The National Action Plan for Equality, Inclusion and Participation of Roma and Egyptians 2021–2025</w:t>
      </w:r>
      <w:r w:rsidR="00A166D4">
        <w:rPr>
          <w:rStyle w:val="FootnoteReference"/>
          <w:rFonts w:ascii="Times New Roman" w:eastAsia="Times New Roman" w:hAnsi="Times New Roman" w:cs="Times New Roman"/>
          <w:b/>
          <w:bCs/>
          <w:sz w:val="24"/>
          <w:szCs w:val="24"/>
        </w:rPr>
        <w:footnoteReference w:id="6"/>
      </w:r>
      <w:r w:rsidRPr="00A166D4">
        <w:rPr>
          <w:rFonts w:ascii="Times New Roman" w:eastAsia="Times New Roman" w:hAnsi="Times New Roman" w:cs="Times New Roman"/>
          <w:sz w:val="24"/>
          <w:szCs w:val="24"/>
        </w:rPr>
        <w:t xml:space="preserve">, strategic objective 6, which envisages improving access and increasing the </w:t>
      </w:r>
      <w:r w:rsidRPr="00A166D4">
        <w:rPr>
          <w:rFonts w:ascii="Times New Roman" w:eastAsia="Times New Roman" w:hAnsi="Times New Roman" w:cs="Times New Roman"/>
          <w:sz w:val="24"/>
          <w:szCs w:val="24"/>
        </w:rPr>
        <w:lastRenderedPageBreak/>
        <w:t>access of Roma and Egyptians to social protection programmes, and specific objective 3, increasing the access of Roma and Egyptians to social care services and modelling of new services provided in the community;</w:t>
      </w:r>
    </w:p>
    <w:p w14:paraId="0F41C8AC" w14:textId="21306766" w:rsidR="0076344A" w:rsidRPr="00A166D4" w:rsidRDefault="00205E6E" w:rsidP="00320C75">
      <w:pPr>
        <w:pStyle w:val="ListParagraph"/>
        <w:numPr>
          <w:ilvl w:val="0"/>
          <w:numId w:val="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The Policy Document on Ageing 2025–2030</w:t>
      </w:r>
      <w:r w:rsidR="00A166D4">
        <w:rPr>
          <w:rStyle w:val="FootnoteReference"/>
          <w:rFonts w:ascii="Times New Roman" w:eastAsia="Times New Roman" w:hAnsi="Times New Roman" w:cs="Times New Roman"/>
          <w:b/>
          <w:bCs/>
          <w:sz w:val="24"/>
          <w:szCs w:val="24"/>
        </w:rPr>
        <w:footnoteReference w:id="7"/>
      </w:r>
      <w:r w:rsidRPr="00A166D4">
        <w:rPr>
          <w:rFonts w:ascii="Times New Roman" w:eastAsia="Times New Roman" w:hAnsi="Times New Roman" w:cs="Times New Roman"/>
          <w:sz w:val="24"/>
          <w:szCs w:val="24"/>
        </w:rPr>
        <w:t>, approved by DCM 315/2025, which envisages that social services for the elderly are provided through social care services offered in public service centres, such as community centres, residential centres, day care centres or home-based services, and are financed from the state budget and from local budgets of local government bodies, as well as social care services provided in non-public centres by for-profit and non-profit organisations;</w:t>
      </w:r>
    </w:p>
    <w:p w14:paraId="72DC8D3B" w14:textId="10864E56" w:rsidR="0076344A" w:rsidRPr="00A166D4" w:rsidRDefault="00205E6E" w:rsidP="00320C75">
      <w:pPr>
        <w:pStyle w:val="ListParagraph"/>
        <w:numPr>
          <w:ilvl w:val="0"/>
          <w:numId w:val="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The National Action Plan for LGBTI+ Persons, 2021–2027</w:t>
      </w:r>
      <w:r w:rsidR="00A166D4">
        <w:rPr>
          <w:rStyle w:val="FootnoteReference"/>
          <w:rFonts w:ascii="Times New Roman" w:eastAsia="Times New Roman" w:hAnsi="Times New Roman" w:cs="Times New Roman"/>
          <w:b/>
          <w:bCs/>
          <w:sz w:val="24"/>
          <w:szCs w:val="24"/>
        </w:rPr>
        <w:footnoteReference w:id="8"/>
      </w:r>
      <w:r w:rsidRPr="00A166D4">
        <w:rPr>
          <w:rFonts w:ascii="Times New Roman" w:eastAsia="Times New Roman" w:hAnsi="Times New Roman" w:cs="Times New Roman"/>
          <w:sz w:val="24"/>
          <w:szCs w:val="24"/>
        </w:rPr>
        <w:t>, first pillar "improving the access of LGBTI+ persons to effective, quality and available public services and specialised support services throughout the country, in accordance with their specific needs and with national standards harmonised with European/international ones";</w:t>
      </w:r>
    </w:p>
    <w:p w14:paraId="4AC138C3" w14:textId="77F00D75" w:rsidR="0076344A" w:rsidRPr="00A166D4" w:rsidRDefault="00205E6E" w:rsidP="00320C75">
      <w:pPr>
        <w:pStyle w:val="ListParagraph"/>
        <w:numPr>
          <w:ilvl w:val="0"/>
          <w:numId w:val="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The Strategy for the Development of Primary Health Care Services in Albania 2020–2025</w:t>
      </w:r>
      <w:r w:rsidR="00A166D4">
        <w:rPr>
          <w:rStyle w:val="FootnoteReference"/>
          <w:rFonts w:ascii="Times New Roman" w:eastAsia="Times New Roman" w:hAnsi="Times New Roman" w:cs="Times New Roman"/>
          <w:b/>
          <w:bCs/>
          <w:sz w:val="24"/>
          <w:szCs w:val="24"/>
        </w:rPr>
        <w:footnoteReference w:id="9"/>
      </w:r>
      <w:r w:rsidRPr="00A166D4">
        <w:rPr>
          <w:rFonts w:ascii="Times New Roman" w:eastAsia="Times New Roman" w:hAnsi="Times New Roman" w:cs="Times New Roman"/>
          <w:sz w:val="24"/>
          <w:szCs w:val="24"/>
        </w:rPr>
        <w:t>, Strategic Objective 5 "Universal health coverage", expansion of new services and integration of health services with psycho-social services (palliative care, psychological care, physical rehabilitation (physiotherapy)), ensuring sustainable cooperation between individuals, families, communities and Primary Health Care, as well as objective VII.1 "To organise Primary Health Care services, increasingly integrated with social care at the local level";</w:t>
      </w:r>
    </w:p>
    <w:p w14:paraId="5AF5ABF6" w14:textId="19027366" w:rsidR="00943EB7" w:rsidRPr="00A166D4" w:rsidRDefault="00205E6E" w:rsidP="00320C75">
      <w:pPr>
        <w:pStyle w:val="ListParagraph"/>
        <w:numPr>
          <w:ilvl w:val="0"/>
          <w:numId w:val="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The Strategy for Employment and Vocational Training 2021–2026</w:t>
      </w:r>
      <w:r w:rsidR="00A166D4">
        <w:rPr>
          <w:rStyle w:val="FootnoteReference"/>
          <w:rFonts w:ascii="Times New Roman" w:eastAsia="Times New Roman" w:hAnsi="Times New Roman" w:cs="Times New Roman"/>
          <w:b/>
          <w:bCs/>
          <w:sz w:val="24"/>
          <w:szCs w:val="24"/>
        </w:rPr>
        <w:footnoteReference w:id="10"/>
      </w:r>
      <w:r w:rsidRPr="00A166D4">
        <w:rPr>
          <w:rFonts w:ascii="Times New Roman" w:eastAsia="Times New Roman" w:hAnsi="Times New Roman" w:cs="Times New Roman"/>
          <w:sz w:val="24"/>
          <w:szCs w:val="24"/>
        </w:rPr>
        <w:t>, which materialises the importance of expanding the assessment and case referral mechanism in cooperation with needs assessment and referral units in administrative units at the local level, and strengthening institutional coordination for the provision of social, health and educational support services that would enable the creation of conditions for employment. The Strategy envisages that, in cooperation with public, non-public and private providers, programmes for promoting employment and vocational training for vulnerable groups shall be developed, such as young people, persons with disabilities (as part of the social employment fund), working-age beneficiaries from families supported by economic assistance, long-term jobseekers, ethnic minorities, those with low education and qualifications (as part of social enterprises, community work programmes, activation in public works financed by municipalities);</w:t>
      </w:r>
    </w:p>
    <w:p w14:paraId="65907690" w14:textId="36EF530D" w:rsidR="00943EB7" w:rsidRPr="00A166D4" w:rsidRDefault="00205E6E" w:rsidP="00320C75">
      <w:pPr>
        <w:pStyle w:val="ListParagraph"/>
        <w:numPr>
          <w:ilvl w:val="0"/>
          <w:numId w:val="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The National Education Strategy 2021–2026</w:t>
      </w:r>
      <w:r w:rsidR="00A166D4">
        <w:rPr>
          <w:rStyle w:val="FootnoteReference"/>
          <w:rFonts w:ascii="Times New Roman" w:eastAsia="Times New Roman" w:hAnsi="Times New Roman" w:cs="Times New Roman"/>
          <w:b/>
          <w:bCs/>
          <w:sz w:val="24"/>
          <w:szCs w:val="24"/>
        </w:rPr>
        <w:footnoteReference w:id="11"/>
      </w:r>
      <w:r w:rsidRPr="00A166D4">
        <w:rPr>
          <w:rFonts w:ascii="Times New Roman" w:eastAsia="Times New Roman" w:hAnsi="Times New Roman" w:cs="Times New Roman"/>
          <w:sz w:val="24"/>
          <w:szCs w:val="24"/>
        </w:rPr>
        <w:t>, the vision for a quality education system based on the principles of inclusiveness and lifelong learning, which enables the development of the individual's potential, contributing to their personal well-being, as well as the strength</w:t>
      </w:r>
      <w:r w:rsidRPr="00A166D4">
        <w:rPr>
          <w:rFonts w:ascii="Times New Roman" w:eastAsia="Times New Roman" w:hAnsi="Times New Roman" w:cs="Times New Roman"/>
          <w:sz w:val="24"/>
          <w:szCs w:val="24"/>
        </w:rPr>
        <w:lastRenderedPageBreak/>
        <w:t>ening of democracy and the country's integration into the European Union. Increasing cooperation with educational structures will aim at the reciprocal exchange of information on children of pre-school and school age, in order to carry out a proper assessment of abilities, to perform basic life activities in accordance with age groups, as well as to ensure the identification and fulfilment of the training needs of these children within the framework of the inclusive and special education system;</w:t>
      </w:r>
    </w:p>
    <w:p w14:paraId="3AC04F27" w14:textId="0EE16900" w:rsidR="00943EB7" w:rsidRPr="00A166D4" w:rsidRDefault="00205E6E" w:rsidP="00320C75">
      <w:pPr>
        <w:pStyle w:val="ListParagraph"/>
        <w:numPr>
          <w:ilvl w:val="0"/>
          <w:numId w:val="6"/>
        </w:numPr>
        <w:suppressAutoHyphens w:val="0"/>
        <w:spacing w:beforeAutospacing="1" w:after="100" w:afterAutospacing="1"/>
        <w:jc w:val="both"/>
        <w:rPr>
          <w:rFonts w:ascii="Times New Roman" w:eastAsia="Times New Roman" w:hAnsi="Times New Roman" w:cs="Times New Roman"/>
          <w:sz w:val="24"/>
          <w:szCs w:val="24"/>
        </w:rPr>
      </w:pPr>
      <w:r w:rsidRPr="005D54F9">
        <w:rPr>
          <w:rFonts w:ascii="Times New Roman" w:eastAsia="Times New Roman" w:hAnsi="Times New Roman" w:cs="Times New Roman"/>
          <w:b/>
          <w:bCs/>
          <w:sz w:val="24"/>
          <w:szCs w:val="24"/>
        </w:rPr>
        <w:t>The Cross-Sectoral Strategy on Justice for Minors (2022–2026</w:t>
      </w:r>
      <w:r w:rsidRPr="005D54F9">
        <w:rPr>
          <w:rFonts w:ascii="Times New Roman" w:eastAsia="Times New Roman" w:hAnsi="Times New Roman" w:cs="Times New Roman"/>
          <w:sz w:val="24"/>
          <w:szCs w:val="24"/>
        </w:rPr>
        <w:t>)</w:t>
      </w:r>
      <w:r w:rsidR="005D54F9">
        <w:rPr>
          <w:rStyle w:val="FootnoteReference"/>
          <w:rFonts w:ascii="Times New Roman" w:eastAsia="Times New Roman" w:hAnsi="Times New Roman" w:cs="Times New Roman"/>
          <w:sz w:val="24"/>
          <w:szCs w:val="24"/>
        </w:rPr>
        <w:footnoteReference w:id="12"/>
      </w:r>
      <w:r w:rsidRPr="005D54F9">
        <w:rPr>
          <w:rFonts w:ascii="Times New Roman" w:eastAsia="Times New Roman" w:hAnsi="Times New Roman" w:cs="Times New Roman"/>
          <w:sz w:val="24"/>
          <w:szCs w:val="24"/>
        </w:rPr>
        <w:t>,</w:t>
      </w:r>
      <w:r w:rsidRPr="00A166D4">
        <w:rPr>
          <w:rFonts w:ascii="Times New Roman" w:eastAsia="Times New Roman" w:hAnsi="Times New Roman" w:cs="Times New Roman"/>
          <w:sz w:val="24"/>
          <w:szCs w:val="24"/>
        </w:rPr>
        <w:t xml:space="preserve"> which aims to strengthen and consolidate the achievements in the field of juvenile criminal justice, access to criminal justice for minors, with the aim of keeping them away from re-involvement in crime and their victimisation, so that every child has at all times access to a child-friendly system to restore their violated rights in the family, civil, administrative and criminal fields. The Cross-Sectoral Strategy on Justice for Minors 2022–2026 addresses the priorities of the Albanian Government also embodied in the "National Agenda for Children's Rights 2021–2026". A number of measures in this strategy are linked to the functions of local government in the provision of preventive and reintegration services for groups in need, among which are young people in contact with the law;</w:t>
      </w:r>
    </w:p>
    <w:p w14:paraId="1877497B" w14:textId="77777777" w:rsidR="00943EB7" w:rsidRPr="005D54F9" w:rsidRDefault="00205E6E" w:rsidP="00320C75">
      <w:pPr>
        <w:pStyle w:val="ListParagraph"/>
        <w:numPr>
          <w:ilvl w:val="0"/>
          <w:numId w:val="6"/>
        </w:numPr>
        <w:suppressAutoHyphens w:val="0"/>
        <w:spacing w:beforeAutospacing="1" w:after="100" w:afterAutospacing="1"/>
        <w:jc w:val="both"/>
        <w:rPr>
          <w:rFonts w:ascii="Times New Roman" w:eastAsia="Times New Roman" w:hAnsi="Times New Roman" w:cs="Times New Roman"/>
          <w:sz w:val="24"/>
          <w:szCs w:val="24"/>
        </w:rPr>
      </w:pPr>
      <w:r w:rsidRPr="005D54F9">
        <w:rPr>
          <w:rFonts w:ascii="Times New Roman" w:eastAsia="Times New Roman" w:hAnsi="Times New Roman" w:cs="Times New Roman"/>
          <w:b/>
          <w:bCs/>
          <w:sz w:val="24"/>
          <w:szCs w:val="24"/>
        </w:rPr>
        <w:t>The National Action Plan for Combating Trafficking in Persons (2024–2025)</w:t>
      </w:r>
      <w:r w:rsidRPr="005D54F9">
        <w:rPr>
          <w:rFonts w:ascii="Times New Roman" w:eastAsia="Times New Roman" w:hAnsi="Times New Roman" w:cs="Times New Roman"/>
          <w:sz w:val="24"/>
          <w:szCs w:val="24"/>
        </w:rPr>
        <w:t>. The mission of the National Action Plan is the promotion of an effective, adequate and coordinated response to the prevention and fight against trafficking in persons based on international cooperation, effective inter-institutional cooperation within the country, the participation of victims/potential victims of trafficking, and the involvement of civil society and the community. Specific objective 2 envisages prevention, training of social protection system employees, support for social services, as well as inter-institutional cooperation;</w:t>
      </w:r>
    </w:p>
    <w:p w14:paraId="1F73B606" w14:textId="77777777" w:rsidR="00943EB7" w:rsidRPr="005D54F9" w:rsidRDefault="00205E6E" w:rsidP="00320C75">
      <w:pPr>
        <w:pStyle w:val="ListParagraph"/>
        <w:numPr>
          <w:ilvl w:val="0"/>
          <w:numId w:val="6"/>
        </w:numPr>
        <w:suppressAutoHyphens w:val="0"/>
        <w:spacing w:beforeAutospacing="1" w:after="100" w:afterAutospacing="1"/>
        <w:jc w:val="both"/>
        <w:rPr>
          <w:rFonts w:ascii="Times New Roman" w:eastAsia="Times New Roman" w:hAnsi="Times New Roman" w:cs="Times New Roman"/>
          <w:sz w:val="24"/>
          <w:szCs w:val="24"/>
        </w:rPr>
      </w:pPr>
      <w:r w:rsidRPr="005D54F9">
        <w:rPr>
          <w:rFonts w:ascii="Times New Roman" w:eastAsia="Times New Roman" w:hAnsi="Times New Roman" w:cs="Times New Roman"/>
          <w:b/>
          <w:bCs/>
          <w:sz w:val="24"/>
          <w:szCs w:val="24"/>
        </w:rPr>
        <w:t>The National Agenda for Children's Rights (2021–2026</w:t>
      </w:r>
      <w:r w:rsidRPr="005D54F9">
        <w:rPr>
          <w:rFonts w:ascii="Times New Roman" w:eastAsia="Times New Roman" w:hAnsi="Times New Roman" w:cs="Times New Roman"/>
          <w:sz w:val="24"/>
          <w:szCs w:val="24"/>
        </w:rPr>
        <w:t>), which has an important intersection with the social protection strategy focused on creating a child-centred social protection system and treatment throughout the life cycle, with a focus on the deinstitutionalisation process of the residential care system for children;</w:t>
      </w:r>
    </w:p>
    <w:p w14:paraId="1A2195CC" w14:textId="78E5B593" w:rsidR="00205E6E" w:rsidRPr="005D54F9" w:rsidRDefault="00205E6E" w:rsidP="00320C75">
      <w:pPr>
        <w:pStyle w:val="ListParagraph"/>
        <w:numPr>
          <w:ilvl w:val="0"/>
          <w:numId w:val="6"/>
        </w:numPr>
        <w:suppressAutoHyphens w:val="0"/>
        <w:spacing w:beforeAutospacing="1" w:after="100" w:afterAutospacing="1"/>
        <w:jc w:val="both"/>
        <w:rPr>
          <w:rFonts w:ascii="Times New Roman" w:eastAsia="Times New Roman" w:hAnsi="Times New Roman" w:cs="Times New Roman"/>
          <w:sz w:val="24"/>
          <w:szCs w:val="24"/>
        </w:rPr>
      </w:pPr>
      <w:r w:rsidRPr="005D54F9">
        <w:rPr>
          <w:rFonts w:ascii="Times New Roman" w:eastAsia="Times New Roman" w:hAnsi="Times New Roman" w:cs="Times New Roman"/>
          <w:b/>
          <w:bCs/>
          <w:sz w:val="24"/>
          <w:szCs w:val="24"/>
        </w:rPr>
        <w:t>The National Strategy for Disaster Risk Reduction 2023–2030</w:t>
      </w:r>
      <w:r w:rsidRPr="005D54F9">
        <w:rPr>
          <w:rFonts w:ascii="Times New Roman" w:eastAsia="Times New Roman" w:hAnsi="Times New Roman" w:cs="Times New Roman"/>
          <w:sz w:val="24"/>
          <w:szCs w:val="24"/>
        </w:rPr>
        <w:t>, which defines the objectives and formalised actions for disaster risk reduction, addressing the needs of vulnerable groups.</w:t>
      </w:r>
    </w:p>
    <w:p w14:paraId="6148C88F" w14:textId="77777777" w:rsidR="00943EB7" w:rsidRPr="00A166D4" w:rsidRDefault="00943EB7" w:rsidP="00A166D4">
      <w:pPr>
        <w:pStyle w:val="ListParagraph"/>
        <w:suppressAutoHyphens w:val="0"/>
        <w:spacing w:beforeAutospacing="1" w:after="100" w:afterAutospacing="1"/>
        <w:jc w:val="both"/>
        <w:rPr>
          <w:rFonts w:ascii="Times New Roman" w:eastAsia="Times New Roman" w:hAnsi="Times New Roman" w:cs="Times New Roman"/>
          <w:sz w:val="24"/>
          <w:szCs w:val="24"/>
        </w:rPr>
      </w:pPr>
    </w:p>
    <w:p w14:paraId="157C60BE" w14:textId="77777777" w:rsidR="00205E6E" w:rsidRPr="00A166D4" w:rsidRDefault="00205E6E" w:rsidP="00A166D4">
      <w:pPr>
        <w:suppressAutoHyphens w:val="0"/>
        <w:spacing w:beforeAutospacing="1" w:after="100" w:afterAutospacing="1"/>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t>LEGAL AND INSTITUTIONAL FRAMEWORK</w:t>
      </w:r>
    </w:p>
    <w:p w14:paraId="5F982440" w14:textId="77777777" w:rsidR="00205E6E" w:rsidRPr="00A166D4" w:rsidRDefault="00205E6E"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legal framework on the basis of which the National Social Protection Strategy 2024–2030 has been drafted and implemented:</w:t>
      </w:r>
    </w:p>
    <w:p w14:paraId="051FCE7F" w14:textId="5018A505" w:rsidR="00943EB7"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8417, dated 22.11.1998 </w:t>
      </w:r>
      <w:r w:rsidRPr="00A166D4">
        <w:rPr>
          <w:rFonts w:ascii="Times New Roman" w:eastAsia="Times New Roman" w:hAnsi="Times New Roman" w:cs="Times New Roman"/>
          <w:i/>
          <w:iCs/>
          <w:sz w:val="24"/>
          <w:szCs w:val="24"/>
        </w:rPr>
        <w:t>"Constitution of the Republic of Albania</w:t>
      </w:r>
      <w:r w:rsidRPr="00A166D4">
        <w:rPr>
          <w:rFonts w:ascii="Times New Roman" w:eastAsia="Times New Roman" w:hAnsi="Times New Roman" w:cs="Times New Roman"/>
          <w:sz w:val="24"/>
          <w:szCs w:val="24"/>
        </w:rPr>
        <w:t>", as amended (in particular Articles 49, 51, 52, 55);</w:t>
      </w:r>
    </w:p>
    <w:p w14:paraId="0621FCB8"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lastRenderedPageBreak/>
        <w:t xml:space="preserve">Law No. 7531, dated 11.12.1991 </w:t>
      </w:r>
      <w:r w:rsidRPr="00A166D4">
        <w:rPr>
          <w:rFonts w:ascii="Times New Roman" w:eastAsia="Times New Roman" w:hAnsi="Times New Roman" w:cs="Times New Roman"/>
          <w:i/>
          <w:iCs/>
          <w:sz w:val="24"/>
          <w:szCs w:val="24"/>
        </w:rPr>
        <w:t>"On the ratification of the Convention on the Rights of the Child (UN)"</w:t>
      </w:r>
      <w:r w:rsidRPr="00A166D4">
        <w:rPr>
          <w:rFonts w:ascii="Times New Roman" w:eastAsia="Times New Roman" w:hAnsi="Times New Roman" w:cs="Times New Roman"/>
          <w:sz w:val="24"/>
          <w:szCs w:val="24"/>
        </w:rPr>
        <w:t>;</w:t>
      </w:r>
    </w:p>
    <w:p w14:paraId="60E8CA60"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7767, dated 9.11.1993 </w:t>
      </w:r>
      <w:r w:rsidRPr="00A166D4">
        <w:rPr>
          <w:rFonts w:ascii="Times New Roman" w:eastAsia="Times New Roman" w:hAnsi="Times New Roman" w:cs="Times New Roman"/>
          <w:i/>
          <w:iCs/>
          <w:sz w:val="24"/>
          <w:szCs w:val="24"/>
        </w:rPr>
        <w:t>"On accession to the Convention on the Elimination of All Forms of Discrimination Against Women</w:t>
      </w:r>
      <w:r w:rsidRPr="00A166D4">
        <w:rPr>
          <w:rFonts w:ascii="Times New Roman" w:eastAsia="Times New Roman" w:hAnsi="Times New Roman" w:cs="Times New Roman"/>
          <w:sz w:val="24"/>
          <w:szCs w:val="24"/>
        </w:rPr>
        <w:t>";</w:t>
      </w:r>
    </w:p>
    <w:p w14:paraId="5DA8B32B"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104/2012, dated 8.11.2012 </w:t>
      </w:r>
      <w:r w:rsidRPr="00A166D4">
        <w:rPr>
          <w:rFonts w:ascii="Times New Roman" w:eastAsia="Times New Roman" w:hAnsi="Times New Roman" w:cs="Times New Roman"/>
          <w:i/>
          <w:iCs/>
          <w:sz w:val="24"/>
          <w:szCs w:val="24"/>
        </w:rPr>
        <w:t>"On the ratification of the Council of Europe Convention on Preventing and Combating Violence Against Women and Domestic Violence</w:t>
      </w:r>
      <w:r w:rsidRPr="00A166D4">
        <w:rPr>
          <w:rFonts w:ascii="Times New Roman" w:eastAsia="Times New Roman" w:hAnsi="Times New Roman" w:cs="Times New Roman"/>
          <w:sz w:val="24"/>
          <w:szCs w:val="24"/>
        </w:rPr>
        <w:t>";</w:t>
      </w:r>
    </w:p>
    <w:p w14:paraId="2BEE60D9"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108/2012 </w:t>
      </w:r>
      <w:r w:rsidRPr="00A166D4">
        <w:rPr>
          <w:rFonts w:ascii="Times New Roman" w:eastAsia="Times New Roman" w:hAnsi="Times New Roman" w:cs="Times New Roman"/>
          <w:i/>
          <w:iCs/>
          <w:sz w:val="24"/>
          <w:szCs w:val="24"/>
        </w:rPr>
        <w:t>"On the ratification of the UN Convention on the Rights of Persons with Disabilities"</w:t>
      </w:r>
      <w:r w:rsidRPr="00A166D4">
        <w:rPr>
          <w:rFonts w:ascii="Times New Roman" w:eastAsia="Times New Roman" w:hAnsi="Times New Roman" w:cs="Times New Roman"/>
          <w:sz w:val="24"/>
          <w:szCs w:val="24"/>
        </w:rPr>
        <w:t>;</w:t>
      </w:r>
    </w:p>
    <w:p w14:paraId="730631B5"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8137, dated 31.07.1996 </w:t>
      </w:r>
      <w:r w:rsidRPr="00A166D4">
        <w:rPr>
          <w:rFonts w:ascii="Times New Roman" w:eastAsia="Times New Roman" w:hAnsi="Times New Roman" w:cs="Times New Roman"/>
          <w:i/>
          <w:iCs/>
          <w:sz w:val="24"/>
          <w:szCs w:val="24"/>
        </w:rPr>
        <w:t>"On the ratification of the European Convention on Human Rights"</w:t>
      </w:r>
      <w:r w:rsidRPr="00A166D4">
        <w:rPr>
          <w:rFonts w:ascii="Times New Roman" w:eastAsia="Times New Roman" w:hAnsi="Times New Roman" w:cs="Times New Roman"/>
          <w:sz w:val="24"/>
          <w:szCs w:val="24"/>
        </w:rPr>
        <w:t xml:space="preserve"> and Protocol No. 7 of the ECHR;</w:t>
      </w:r>
    </w:p>
    <w:p w14:paraId="4FADD487"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Universal Declaration of Human Rights;</w:t>
      </w:r>
    </w:p>
    <w:p w14:paraId="5ABF2EE9"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8774, dated 23.4.2001 "On the ratification of Convention No. 182 </w:t>
      </w:r>
      <w:r w:rsidRPr="00A166D4">
        <w:rPr>
          <w:rFonts w:ascii="Times New Roman" w:eastAsia="Times New Roman" w:hAnsi="Times New Roman" w:cs="Times New Roman"/>
          <w:i/>
          <w:iCs/>
          <w:sz w:val="24"/>
          <w:szCs w:val="24"/>
        </w:rPr>
        <w:t>'Worst Forms of Child Labour, 1999' of the International Labour Organization"</w:t>
      </w:r>
      <w:r w:rsidRPr="00A166D4">
        <w:rPr>
          <w:rFonts w:ascii="Times New Roman" w:eastAsia="Times New Roman" w:hAnsi="Times New Roman" w:cs="Times New Roman"/>
          <w:sz w:val="24"/>
          <w:szCs w:val="24"/>
        </w:rPr>
        <w:t>;</w:t>
      </w:r>
    </w:p>
    <w:p w14:paraId="737781C0"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9359, dated 24.3.2005 </w:t>
      </w:r>
      <w:r w:rsidRPr="00A166D4">
        <w:rPr>
          <w:rFonts w:ascii="Times New Roman" w:eastAsia="Times New Roman" w:hAnsi="Times New Roman" w:cs="Times New Roman"/>
          <w:i/>
          <w:iCs/>
          <w:sz w:val="24"/>
          <w:szCs w:val="24"/>
        </w:rPr>
        <w:t>"On the ratification of the European Convention on Contact Concerning Children"</w:t>
      </w:r>
      <w:r w:rsidRPr="00A166D4">
        <w:rPr>
          <w:rFonts w:ascii="Times New Roman" w:eastAsia="Times New Roman" w:hAnsi="Times New Roman" w:cs="Times New Roman"/>
          <w:sz w:val="24"/>
          <w:szCs w:val="24"/>
        </w:rPr>
        <w:t>;</w:t>
      </w:r>
    </w:p>
    <w:p w14:paraId="4AB98C2C"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10 071, dated 9.2.2009 </w:t>
      </w:r>
      <w:r w:rsidRPr="00A166D4">
        <w:rPr>
          <w:rFonts w:ascii="Times New Roman" w:eastAsia="Times New Roman" w:hAnsi="Times New Roman" w:cs="Times New Roman"/>
          <w:i/>
          <w:iCs/>
          <w:sz w:val="24"/>
          <w:szCs w:val="24"/>
        </w:rPr>
        <w:t>"On the ratification of the Council of Europe Convention on the Protection of Children Against Sexual Exploitation and Sexual Abuse"</w:t>
      </w:r>
      <w:r w:rsidRPr="00A166D4">
        <w:rPr>
          <w:rFonts w:ascii="Times New Roman" w:eastAsia="Times New Roman" w:hAnsi="Times New Roman" w:cs="Times New Roman"/>
          <w:sz w:val="24"/>
          <w:szCs w:val="24"/>
        </w:rPr>
        <w:t>;</w:t>
      </w:r>
    </w:p>
    <w:p w14:paraId="4B4363B4"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10 425, dated 2.6.2011 </w:t>
      </w:r>
      <w:r w:rsidRPr="00A166D4">
        <w:rPr>
          <w:rFonts w:ascii="Times New Roman" w:eastAsia="Times New Roman" w:hAnsi="Times New Roman" w:cs="Times New Roman"/>
          <w:i/>
          <w:iCs/>
          <w:sz w:val="24"/>
          <w:szCs w:val="24"/>
        </w:rPr>
        <w:t>"On the ratification of the Council of Europe Convention on the Exercise of Children's Rights"</w:t>
      </w:r>
      <w:r w:rsidRPr="00A166D4">
        <w:rPr>
          <w:rFonts w:ascii="Times New Roman" w:eastAsia="Times New Roman" w:hAnsi="Times New Roman" w:cs="Times New Roman"/>
          <w:sz w:val="24"/>
          <w:szCs w:val="24"/>
        </w:rPr>
        <w:t>;</w:t>
      </w:r>
    </w:p>
    <w:p w14:paraId="7354C38F"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108/2012 </w:t>
      </w:r>
      <w:r w:rsidRPr="00A166D4">
        <w:rPr>
          <w:rFonts w:ascii="Times New Roman" w:eastAsia="Times New Roman" w:hAnsi="Times New Roman" w:cs="Times New Roman"/>
          <w:i/>
          <w:iCs/>
          <w:sz w:val="24"/>
          <w:szCs w:val="24"/>
        </w:rPr>
        <w:t>"On the ratification of the UN Convention on the Rights of Persons with Disabilities"</w:t>
      </w:r>
      <w:r w:rsidRPr="00A166D4">
        <w:rPr>
          <w:rFonts w:ascii="Times New Roman" w:eastAsia="Times New Roman" w:hAnsi="Times New Roman" w:cs="Times New Roman"/>
          <w:sz w:val="24"/>
          <w:szCs w:val="24"/>
        </w:rPr>
        <w:t>;</w:t>
      </w:r>
    </w:p>
    <w:p w14:paraId="15DF369E"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57/2019 </w:t>
      </w:r>
      <w:r w:rsidRPr="00A166D4">
        <w:rPr>
          <w:rFonts w:ascii="Times New Roman" w:eastAsia="Times New Roman" w:hAnsi="Times New Roman" w:cs="Times New Roman"/>
          <w:i/>
          <w:iCs/>
          <w:sz w:val="24"/>
          <w:szCs w:val="24"/>
        </w:rPr>
        <w:t>"On Social Assistance in the Republic of Albania"</w:t>
      </w:r>
      <w:r w:rsidRPr="00A166D4">
        <w:rPr>
          <w:rFonts w:ascii="Times New Roman" w:eastAsia="Times New Roman" w:hAnsi="Times New Roman" w:cs="Times New Roman"/>
          <w:sz w:val="24"/>
          <w:szCs w:val="24"/>
        </w:rPr>
        <w:t>, as amended;</w:t>
      </w:r>
    </w:p>
    <w:p w14:paraId="2F3F1401"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121, dated 24.11.2016, </w:t>
      </w:r>
      <w:r w:rsidRPr="00A166D4">
        <w:rPr>
          <w:rFonts w:ascii="Times New Roman" w:eastAsia="Times New Roman" w:hAnsi="Times New Roman" w:cs="Times New Roman"/>
          <w:i/>
          <w:iCs/>
          <w:sz w:val="24"/>
          <w:szCs w:val="24"/>
        </w:rPr>
        <w:t>"On Social Care Services in the Republic of Albania</w:t>
      </w:r>
      <w:r w:rsidRPr="00A166D4">
        <w:rPr>
          <w:rFonts w:ascii="Times New Roman" w:eastAsia="Times New Roman" w:hAnsi="Times New Roman" w:cs="Times New Roman"/>
          <w:sz w:val="24"/>
          <w:szCs w:val="24"/>
        </w:rPr>
        <w:t>";</w:t>
      </w:r>
    </w:p>
    <w:p w14:paraId="21EF4494"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65/2016 </w:t>
      </w:r>
      <w:r w:rsidRPr="00A166D4">
        <w:rPr>
          <w:rFonts w:ascii="Times New Roman" w:eastAsia="Times New Roman" w:hAnsi="Times New Roman" w:cs="Times New Roman"/>
          <w:i/>
          <w:iCs/>
          <w:sz w:val="24"/>
          <w:szCs w:val="24"/>
        </w:rPr>
        <w:t>"On Social Enterprises in the Republic of Albania";</w:t>
      </w:r>
    </w:p>
    <w:p w14:paraId="7326AFEA"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8098, dated 28.3.1996 </w:t>
      </w:r>
      <w:r w:rsidRPr="00A166D4">
        <w:rPr>
          <w:rFonts w:ascii="Times New Roman" w:eastAsia="Times New Roman" w:hAnsi="Times New Roman" w:cs="Times New Roman"/>
          <w:i/>
          <w:iCs/>
          <w:sz w:val="24"/>
          <w:szCs w:val="24"/>
        </w:rPr>
        <w:t>"On the Status of Blind Persons"</w:t>
      </w:r>
      <w:r w:rsidRPr="00A166D4">
        <w:rPr>
          <w:rFonts w:ascii="Times New Roman" w:eastAsia="Times New Roman" w:hAnsi="Times New Roman" w:cs="Times New Roman"/>
          <w:sz w:val="24"/>
          <w:szCs w:val="24"/>
        </w:rPr>
        <w:t>, as amended;</w:t>
      </w:r>
    </w:p>
    <w:p w14:paraId="2E378F28"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8626, dated 22.6.2000 </w:t>
      </w:r>
      <w:r w:rsidRPr="00A166D4">
        <w:rPr>
          <w:rFonts w:ascii="Times New Roman" w:eastAsia="Times New Roman" w:hAnsi="Times New Roman" w:cs="Times New Roman"/>
          <w:i/>
          <w:iCs/>
          <w:sz w:val="24"/>
          <w:szCs w:val="24"/>
        </w:rPr>
        <w:t>"Status of the Paraplegic and Tetraplegic Invalid"</w:t>
      </w:r>
      <w:r w:rsidRPr="00A166D4">
        <w:rPr>
          <w:rFonts w:ascii="Times New Roman" w:eastAsia="Times New Roman" w:hAnsi="Times New Roman" w:cs="Times New Roman"/>
          <w:sz w:val="24"/>
          <w:szCs w:val="24"/>
        </w:rPr>
        <w:t>, as amended;</w:t>
      </w:r>
    </w:p>
    <w:p w14:paraId="247BC1A2"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7889, dated 14.12.1994 </w:t>
      </w:r>
      <w:r w:rsidRPr="00A166D4">
        <w:rPr>
          <w:rFonts w:ascii="Times New Roman" w:eastAsia="Times New Roman" w:hAnsi="Times New Roman" w:cs="Times New Roman"/>
          <w:i/>
          <w:iCs/>
          <w:sz w:val="24"/>
          <w:szCs w:val="24"/>
        </w:rPr>
        <w:t>"On the Status of the Invalid"</w:t>
      </w:r>
      <w:r w:rsidRPr="00A166D4">
        <w:rPr>
          <w:rFonts w:ascii="Times New Roman" w:eastAsia="Times New Roman" w:hAnsi="Times New Roman" w:cs="Times New Roman"/>
          <w:sz w:val="24"/>
          <w:szCs w:val="24"/>
        </w:rPr>
        <w:t>, as amended;</w:t>
      </w:r>
    </w:p>
    <w:p w14:paraId="3AC01DFF"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163/2014 </w:t>
      </w:r>
      <w:r w:rsidRPr="00A166D4">
        <w:rPr>
          <w:rFonts w:ascii="Times New Roman" w:eastAsia="Times New Roman" w:hAnsi="Times New Roman" w:cs="Times New Roman"/>
          <w:i/>
          <w:iCs/>
          <w:sz w:val="24"/>
          <w:szCs w:val="24"/>
        </w:rPr>
        <w:t>"On the Order of Social Workers in the Republic of Albania"</w:t>
      </w:r>
      <w:r w:rsidRPr="00A166D4">
        <w:rPr>
          <w:rFonts w:ascii="Times New Roman" w:eastAsia="Times New Roman" w:hAnsi="Times New Roman" w:cs="Times New Roman"/>
          <w:sz w:val="24"/>
          <w:szCs w:val="24"/>
        </w:rPr>
        <w:t>;</w:t>
      </w:r>
    </w:p>
    <w:p w14:paraId="774B97AD"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40/2016, </w:t>
      </w:r>
      <w:r w:rsidRPr="00A166D4">
        <w:rPr>
          <w:rFonts w:ascii="Times New Roman" w:eastAsia="Times New Roman" w:hAnsi="Times New Roman" w:cs="Times New Roman"/>
          <w:i/>
          <w:iCs/>
          <w:sz w:val="24"/>
          <w:szCs w:val="24"/>
        </w:rPr>
        <w:t>"On the Order of Psychologists in the Republic of Albania",</w:t>
      </w:r>
      <w:r w:rsidRPr="00A166D4">
        <w:rPr>
          <w:rFonts w:ascii="Times New Roman" w:eastAsia="Times New Roman" w:hAnsi="Times New Roman" w:cs="Times New Roman"/>
          <w:sz w:val="24"/>
          <w:szCs w:val="24"/>
        </w:rPr>
        <w:t xml:space="preserve"> as amended;</w:t>
      </w:r>
    </w:p>
    <w:p w14:paraId="2A06B219"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18/2017 </w:t>
      </w:r>
      <w:r w:rsidRPr="00A166D4">
        <w:rPr>
          <w:rFonts w:ascii="Times New Roman" w:eastAsia="Times New Roman" w:hAnsi="Times New Roman" w:cs="Times New Roman"/>
          <w:i/>
          <w:iCs/>
          <w:sz w:val="24"/>
          <w:szCs w:val="24"/>
        </w:rPr>
        <w:t>"On the Rights and Protection of the Child";</w:t>
      </w:r>
    </w:p>
    <w:p w14:paraId="5DEB3249"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139/2015 </w:t>
      </w:r>
      <w:r w:rsidRPr="00A166D4">
        <w:rPr>
          <w:rFonts w:ascii="Times New Roman" w:eastAsia="Times New Roman" w:hAnsi="Times New Roman" w:cs="Times New Roman"/>
          <w:i/>
          <w:iCs/>
          <w:sz w:val="24"/>
          <w:szCs w:val="24"/>
        </w:rPr>
        <w:t>"On Local Self-Government";</w:t>
      </w:r>
    </w:p>
    <w:p w14:paraId="22F5061E"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64/2025 </w:t>
      </w:r>
      <w:r w:rsidRPr="00A166D4">
        <w:rPr>
          <w:rFonts w:ascii="Times New Roman" w:eastAsia="Times New Roman" w:hAnsi="Times New Roman" w:cs="Times New Roman"/>
          <w:i/>
          <w:iCs/>
          <w:sz w:val="24"/>
          <w:szCs w:val="24"/>
        </w:rPr>
        <w:t>"On Gender Equality"</w:t>
      </w:r>
      <w:r w:rsidRPr="00A166D4">
        <w:rPr>
          <w:rFonts w:ascii="Times New Roman" w:eastAsia="Times New Roman" w:hAnsi="Times New Roman" w:cs="Times New Roman"/>
          <w:sz w:val="24"/>
          <w:szCs w:val="24"/>
        </w:rPr>
        <w:t>;</w:t>
      </w:r>
    </w:p>
    <w:p w14:paraId="2CF88072"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Law No. 11/2026 </w:t>
      </w:r>
      <w:r w:rsidRPr="00A166D4">
        <w:rPr>
          <w:rFonts w:ascii="Times New Roman" w:eastAsia="Times New Roman" w:hAnsi="Times New Roman" w:cs="Times New Roman"/>
          <w:i/>
          <w:iCs/>
          <w:sz w:val="24"/>
          <w:szCs w:val="24"/>
        </w:rPr>
        <w:t>"On the Prevention and Protection from Violence Against Women and Domestic Violence"</w:t>
      </w:r>
      <w:r w:rsidRPr="00A166D4">
        <w:rPr>
          <w:rFonts w:ascii="Times New Roman" w:eastAsia="Times New Roman" w:hAnsi="Times New Roman" w:cs="Times New Roman"/>
          <w:sz w:val="24"/>
          <w:szCs w:val="24"/>
        </w:rPr>
        <w:t>;</w:t>
      </w:r>
    </w:p>
    <w:p w14:paraId="54645D32"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Revised European Social Charter;</w:t>
      </w:r>
    </w:p>
    <w:p w14:paraId="29582174"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European Charter of Local Self-Government.</w:t>
      </w:r>
    </w:p>
    <w:p w14:paraId="35083443"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597, dated 4.9.2019, </w:t>
      </w:r>
      <w:r w:rsidRPr="00A166D4">
        <w:rPr>
          <w:rFonts w:ascii="Times New Roman" w:eastAsia="Times New Roman" w:hAnsi="Times New Roman" w:cs="Times New Roman"/>
          <w:i/>
          <w:iCs/>
          <w:sz w:val="24"/>
          <w:szCs w:val="24"/>
        </w:rPr>
        <w:t>"On the determination of procedures, documentation and the monthly amount of economic assistance benefit and the use of the supplementary fund over the conditional fund for economic assistance"</w:t>
      </w:r>
      <w:r w:rsidRPr="00A166D4">
        <w:rPr>
          <w:rFonts w:ascii="Times New Roman" w:eastAsia="Times New Roman" w:hAnsi="Times New Roman" w:cs="Times New Roman"/>
          <w:sz w:val="24"/>
          <w:szCs w:val="24"/>
        </w:rPr>
        <w:t>, as amended.</w:t>
      </w:r>
    </w:p>
    <w:p w14:paraId="16C9AF01"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lastRenderedPageBreak/>
        <w:t>DCM No. 882, dated 24.12.</w:t>
      </w:r>
      <w:r w:rsidRPr="00A166D4">
        <w:rPr>
          <w:rFonts w:ascii="Times New Roman" w:eastAsia="Times New Roman" w:hAnsi="Times New Roman" w:cs="Times New Roman"/>
          <w:i/>
          <w:iCs/>
          <w:sz w:val="24"/>
          <w:szCs w:val="24"/>
        </w:rPr>
        <w:t>2019 "On the inter-institutional coordination mechanism for the referral for employment of individuals and working-age members of families benefiting from economic assistance".</w:t>
      </w:r>
    </w:p>
    <w:p w14:paraId="524B89D6"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751, dated 1.12.2022, </w:t>
      </w:r>
      <w:r w:rsidRPr="00A166D4">
        <w:rPr>
          <w:rFonts w:ascii="Times New Roman" w:eastAsia="Times New Roman" w:hAnsi="Times New Roman" w:cs="Times New Roman"/>
          <w:i/>
          <w:iCs/>
          <w:sz w:val="24"/>
          <w:szCs w:val="24"/>
        </w:rPr>
        <w:t>"On special state protection for unemployed women with three or more children up to 18 years of age</w:t>
      </w:r>
      <w:r w:rsidRPr="00A166D4">
        <w:rPr>
          <w:rFonts w:ascii="Times New Roman" w:eastAsia="Times New Roman" w:hAnsi="Times New Roman" w:cs="Times New Roman"/>
          <w:sz w:val="24"/>
          <w:szCs w:val="24"/>
        </w:rPr>
        <w:t>".</w:t>
      </w:r>
    </w:p>
    <w:p w14:paraId="36F3B3BB"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288, dated 10.04.2020, </w:t>
      </w:r>
      <w:r w:rsidRPr="00A166D4">
        <w:rPr>
          <w:rFonts w:ascii="Times New Roman" w:eastAsia="Times New Roman" w:hAnsi="Times New Roman" w:cs="Times New Roman"/>
          <w:i/>
          <w:iCs/>
          <w:sz w:val="24"/>
          <w:szCs w:val="24"/>
        </w:rPr>
        <w:t>"On the determination of the amount and procedure for granting immediate financial assistance for newborn infants and the manner of cooperation between hospital service institutions and civil status institutions</w:t>
      </w:r>
      <w:r w:rsidRPr="00A166D4">
        <w:rPr>
          <w:rFonts w:ascii="Times New Roman" w:eastAsia="Times New Roman" w:hAnsi="Times New Roman" w:cs="Times New Roman"/>
          <w:sz w:val="24"/>
          <w:szCs w:val="24"/>
        </w:rPr>
        <w:t>", as amended.</w:t>
      </w:r>
    </w:p>
    <w:p w14:paraId="3E42D05F"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56, dated 31.1.2018, </w:t>
      </w:r>
      <w:r w:rsidRPr="00A166D4">
        <w:rPr>
          <w:rFonts w:ascii="Times New Roman" w:eastAsia="Times New Roman" w:hAnsi="Times New Roman" w:cs="Times New Roman"/>
          <w:i/>
          <w:iCs/>
          <w:sz w:val="24"/>
          <w:szCs w:val="24"/>
        </w:rPr>
        <w:t>"On the determination of specific categories of disadvantaged groups"</w:t>
      </w:r>
      <w:r w:rsidRPr="00A166D4">
        <w:rPr>
          <w:rFonts w:ascii="Times New Roman" w:eastAsia="Times New Roman" w:hAnsi="Times New Roman" w:cs="Times New Roman"/>
          <w:sz w:val="24"/>
          <w:szCs w:val="24"/>
        </w:rPr>
        <w:t>.</w:t>
      </w:r>
    </w:p>
    <w:p w14:paraId="24409246"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16, dated 12.1.2018, </w:t>
      </w:r>
      <w:r w:rsidRPr="00A166D4">
        <w:rPr>
          <w:rFonts w:ascii="Times New Roman" w:eastAsia="Times New Roman" w:hAnsi="Times New Roman" w:cs="Times New Roman"/>
          <w:i/>
          <w:iCs/>
          <w:sz w:val="24"/>
          <w:szCs w:val="24"/>
        </w:rPr>
        <w:t>"On the approval of the list of activities carried out by social enterprises"</w:t>
      </w:r>
      <w:r w:rsidRPr="00A166D4">
        <w:rPr>
          <w:rFonts w:ascii="Times New Roman" w:eastAsia="Times New Roman" w:hAnsi="Times New Roman" w:cs="Times New Roman"/>
          <w:sz w:val="24"/>
          <w:szCs w:val="24"/>
        </w:rPr>
        <w:t>.</w:t>
      </w:r>
    </w:p>
    <w:p w14:paraId="5C383F06"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174, dated 24.03.2023, </w:t>
      </w:r>
      <w:r w:rsidRPr="00A166D4">
        <w:rPr>
          <w:rFonts w:ascii="Times New Roman" w:eastAsia="Times New Roman" w:hAnsi="Times New Roman" w:cs="Times New Roman"/>
          <w:i/>
          <w:iCs/>
          <w:sz w:val="24"/>
          <w:szCs w:val="24"/>
        </w:rPr>
        <w:t>"On the determination of forms of support through subsidies for social enterprises, for the period 2023–2025".</w:t>
      </w:r>
    </w:p>
    <w:p w14:paraId="74D6C0D6"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257, dated 5.5.2021 </w:t>
      </w:r>
      <w:r w:rsidRPr="00A166D4">
        <w:rPr>
          <w:rFonts w:ascii="Times New Roman" w:eastAsia="Times New Roman" w:hAnsi="Times New Roman" w:cs="Times New Roman"/>
          <w:i/>
          <w:iCs/>
          <w:sz w:val="24"/>
          <w:szCs w:val="24"/>
        </w:rPr>
        <w:t>"On procedures for carrying out inspections of the implementation of social assistance legislation"</w:t>
      </w:r>
      <w:r w:rsidRPr="00A166D4">
        <w:rPr>
          <w:rFonts w:ascii="Times New Roman" w:eastAsia="Times New Roman" w:hAnsi="Times New Roman" w:cs="Times New Roman"/>
          <w:sz w:val="24"/>
          <w:szCs w:val="24"/>
        </w:rPr>
        <w:t>.</w:t>
      </w:r>
    </w:p>
    <w:p w14:paraId="6DB0D504"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277, dated 18.6.1997, </w:t>
      </w:r>
      <w:r w:rsidRPr="00A166D4">
        <w:rPr>
          <w:rFonts w:ascii="Times New Roman" w:eastAsia="Times New Roman" w:hAnsi="Times New Roman" w:cs="Times New Roman"/>
          <w:i/>
          <w:iCs/>
          <w:sz w:val="24"/>
          <w:szCs w:val="24"/>
        </w:rPr>
        <w:t xml:space="preserve">"On the benefits from the status of blind persons", </w:t>
      </w:r>
      <w:r w:rsidRPr="00A166D4">
        <w:rPr>
          <w:rFonts w:ascii="Times New Roman" w:eastAsia="Times New Roman" w:hAnsi="Times New Roman" w:cs="Times New Roman"/>
          <w:sz w:val="24"/>
          <w:szCs w:val="24"/>
        </w:rPr>
        <w:t>as amended.</w:t>
      </w:r>
    </w:p>
    <w:p w14:paraId="33E8DD49"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31, dated 20.1.2001, </w:t>
      </w:r>
      <w:r w:rsidRPr="00A166D4">
        <w:rPr>
          <w:rFonts w:ascii="Times New Roman" w:eastAsia="Times New Roman" w:hAnsi="Times New Roman" w:cs="Times New Roman"/>
          <w:i/>
          <w:iCs/>
          <w:sz w:val="24"/>
          <w:szCs w:val="24"/>
        </w:rPr>
        <w:t>"On the benefits from the status of the paraplegic and tetraplegic invalid"</w:t>
      </w:r>
      <w:r w:rsidRPr="00A166D4">
        <w:rPr>
          <w:rFonts w:ascii="Times New Roman" w:eastAsia="Times New Roman" w:hAnsi="Times New Roman" w:cs="Times New Roman"/>
          <w:sz w:val="24"/>
          <w:szCs w:val="24"/>
        </w:rPr>
        <w:t>, as amended.</w:t>
      </w:r>
    </w:p>
    <w:p w14:paraId="077E037A"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78, dated 7.2.2007 </w:t>
      </w:r>
      <w:r w:rsidRPr="00A166D4">
        <w:rPr>
          <w:rFonts w:ascii="Times New Roman" w:eastAsia="Times New Roman" w:hAnsi="Times New Roman" w:cs="Times New Roman"/>
          <w:i/>
          <w:iCs/>
          <w:sz w:val="24"/>
          <w:szCs w:val="24"/>
        </w:rPr>
        <w:t>"On the amount, criteria and procedures for obtaining a special hygiene-sanitary package for paraplegic and tetraplegic invalids",</w:t>
      </w:r>
      <w:r w:rsidRPr="00A166D4">
        <w:rPr>
          <w:rFonts w:ascii="Times New Roman" w:eastAsia="Times New Roman" w:hAnsi="Times New Roman" w:cs="Times New Roman"/>
          <w:sz w:val="24"/>
          <w:szCs w:val="24"/>
        </w:rPr>
        <w:t xml:space="preserve"> as amended.</w:t>
      </w:r>
    </w:p>
    <w:p w14:paraId="08581D84"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722, dated 11.11.2019, </w:t>
      </w:r>
      <w:r w:rsidRPr="00A166D4">
        <w:rPr>
          <w:rFonts w:ascii="Times New Roman" w:eastAsia="Times New Roman" w:hAnsi="Times New Roman" w:cs="Times New Roman"/>
          <w:i/>
          <w:iCs/>
          <w:sz w:val="24"/>
          <w:szCs w:val="24"/>
        </w:rPr>
        <w:t>"On the determination of the amount, criteria, procedures and documentation for the assessment and granting of disability status and personal assistant benefits, and the responsible structures and their duties",</w:t>
      </w:r>
      <w:r w:rsidRPr="00A166D4">
        <w:rPr>
          <w:rFonts w:ascii="Times New Roman" w:eastAsia="Times New Roman" w:hAnsi="Times New Roman" w:cs="Times New Roman"/>
          <w:sz w:val="24"/>
          <w:szCs w:val="24"/>
        </w:rPr>
        <w:t xml:space="preserve"> as amended.</w:t>
      </w:r>
    </w:p>
    <w:p w14:paraId="3770FB4A"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182, dated 26.2.2020, </w:t>
      </w:r>
      <w:r w:rsidRPr="00A166D4">
        <w:rPr>
          <w:rFonts w:ascii="Times New Roman" w:eastAsia="Times New Roman" w:hAnsi="Times New Roman" w:cs="Times New Roman"/>
          <w:i/>
          <w:iCs/>
          <w:sz w:val="24"/>
          <w:szCs w:val="24"/>
        </w:rPr>
        <w:t>"On the determination of the amount, criteria, procedures and documentation for the assessment and granting of disability benefit payment for persons with disabilities, as well as the personal assistant"</w:t>
      </w:r>
      <w:r w:rsidRPr="00A166D4">
        <w:rPr>
          <w:rFonts w:ascii="Times New Roman" w:eastAsia="Times New Roman" w:hAnsi="Times New Roman" w:cs="Times New Roman"/>
          <w:sz w:val="24"/>
          <w:szCs w:val="24"/>
        </w:rPr>
        <w:t>, as amended.</w:t>
      </w:r>
    </w:p>
    <w:p w14:paraId="0465116A"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874, dated 24.12.2019, </w:t>
      </w:r>
      <w:r w:rsidRPr="00A166D4">
        <w:rPr>
          <w:rFonts w:ascii="Times New Roman" w:eastAsia="Times New Roman" w:hAnsi="Times New Roman" w:cs="Times New Roman"/>
          <w:i/>
          <w:iCs/>
          <w:sz w:val="24"/>
          <w:szCs w:val="24"/>
        </w:rPr>
        <w:t>"On the manner of providing personal assistance and the criteria for selecting the personal assistant"</w:t>
      </w:r>
      <w:r w:rsidRPr="00A166D4">
        <w:rPr>
          <w:rFonts w:ascii="Times New Roman" w:eastAsia="Times New Roman" w:hAnsi="Times New Roman" w:cs="Times New Roman"/>
          <w:sz w:val="24"/>
          <w:szCs w:val="24"/>
        </w:rPr>
        <w:t>.</w:t>
      </w:r>
    </w:p>
    <w:p w14:paraId="3459C695"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617, dated 20.10.2021, </w:t>
      </w:r>
      <w:r w:rsidRPr="00A166D4">
        <w:rPr>
          <w:rFonts w:ascii="Times New Roman" w:eastAsia="Times New Roman" w:hAnsi="Times New Roman" w:cs="Times New Roman"/>
          <w:i/>
          <w:iCs/>
          <w:sz w:val="24"/>
          <w:szCs w:val="24"/>
        </w:rPr>
        <w:t>"On the statistical indicators for the assessment and monitoring of economic assistance programmes, disability benefit payment programmes and social services, as well as the periodicity of their collection</w:t>
      </w:r>
      <w:r w:rsidRPr="00A166D4">
        <w:rPr>
          <w:rFonts w:ascii="Times New Roman" w:eastAsia="Times New Roman" w:hAnsi="Times New Roman" w:cs="Times New Roman"/>
          <w:sz w:val="24"/>
          <w:szCs w:val="24"/>
        </w:rPr>
        <w:t>".</w:t>
      </w:r>
    </w:p>
    <w:p w14:paraId="73240902"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404, dated 20.6.2012, </w:t>
      </w:r>
      <w:r w:rsidRPr="00A166D4">
        <w:rPr>
          <w:rFonts w:ascii="Times New Roman" w:eastAsia="Times New Roman" w:hAnsi="Times New Roman" w:cs="Times New Roman"/>
          <w:i/>
          <w:iCs/>
          <w:sz w:val="24"/>
          <w:szCs w:val="24"/>
        </w:rPr>
        <w:t>"On the determination of the amount, criteria and procedures for financial compensation for persons with the status of blind, invalid, paraplegic and tetraplegic, for electricity bills and fixed telephony bills"</w:t>
      </w:r>
      <w:r w:rsidRPr="00A166D4">
        <w:rPr>
          <w:rFonts w:ascii="Times New Roman" w:eastAsia="Times New Roman" w:hAnsi="Times New Roman" w:cs="Times New Roman"/>
          <w:sz w:val="24"/>
          <w:szCs w:val="24"/>
        </w:rPr>
        <w:t>, as amended.</w:t>
      </w:r>
    </w:p>
    <w:p w14:paraId="487A8B7C"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8, dated 14.1.2015, </w:t>
      </w:r>
      <w:r w:rsidRPr="00A166D4">
        <w:rPr>
          <w:rFonts w:ascii="Times New Roman" w:eastAsia="Times New Roman" w:hAnsi="Times New Roman" w:cs="Times New Roman"/>
          <w:i/>
          <w:iCs/>
          <w:sz w:val="24"/>
          <w:szCs w:val="24"/>
        </w:rPr>
        <w:t>"On the protection of vulnerable groups, for the purpose of removing the electricity consumption bracket of up to 300 kWh per month"</w:t>
      </w:r>
      <w:r w:rsidRPr="00A166D4">
        <w:rPr>
          <w:rFonts w:ascii="Times New Roman" w:eastAsia="Times New Roman" w:hAnsi="Times New Roman" w:cs="Times New Roman"/>
          <w:sz w:val="24"/>
          <w:szCs w:val="24"/>
        </w:rPr>
        <w:t>, as amended.</w:t>
      </w:r>
    </w:p>
    <w:p w14:paraId="2045F455"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565, dated 9.8.2006 </w:t>
      </w:r>
      <w:r w:rsidRPr="00A166D4">
        <w:rPr>
          <w:rFonts w:ascii="Times New Roman" w:eastAsia="Times New Roman" w:hAnsi="Times New Roman" w:cs="Times New Roman"/>
          <w:i/>
          <w:iCs/>
          <w:sz w:val="24"/>
          <w:szCs w:val="24"/>
        </w:rPr>
        <w:t>"On the protection of vulnerable groups from the increase in the price of electricity"</w:t>
      </w:r>
      <w:r w:rsidRPr="00A166D4">
        <w:rPr>
          <w:rFonts w:ascii="Times New Roman" w:eastAsia="Times New Roman" w:hAnsi="Times New Roman" w:cs="Times New Roman"/>
          <w:sz w:val="24"/>
          <w:szCs w:val="24"/>
        </w:rPr>
        <w:t>, as amended.</w:t>
      </w:r>
    </w:p>
    <w:p w14:paraId="36BB2404"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768, dated 15.12.2021 </w:t>
      </w:r>
      <w:r w:rsidRPr="00A166D4">
        <w:rPr>
          <w:rFonts w:ascii="Times New Roman" w:eastAsia="Times New Roman" w:hAnsi="Times New Roman" w:cs="Times New Roman"/>
          <w:i/>
          <w:iCs/>
          <w:sz w:val="24"/>
          <w:szCs w:val="24"/>
        </w:rPr>
        <w:t>"On the determination of the types of social services and other specific services, and the types of special services"</w:t>
      </w:r>
      <w:r w:rsidRPr="00A166D4">
        <w:rPr>
          <w:rFonts w:ascii="Times New Roman" w:eastAsia="Times New Roman" w:hAnsi="Times New Roman" w:cs="Times New Roman"/>
          <w:sz w:val="24"/>
          <w:szCs w:val="24"/>
        </w:rPr>
        <w:t>.</w:t>
      </w:r>
    </w:p>
    <w:p w14:paraId="44617DB4"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lastRenderedPageBreak/>
        <w:t xml:space="preserve">DCM 518/2018 </w:t>
      </w:r>
      <w:r w:rsidRPr="00A166D4">
        <w:rPr>
          <w:rFonts w:ascii="Times New Roman" w:eastAsia="Times New Roman" w:hAnsi="Times New Roman" w:cs="Times New Roman"/>
          <w:i/>
          <w:iCs/>
          <w:sz w:val="24"/>
          <w:szCs w:val="24"/>
        </w:rPr>
        <w:t>"On community and residential social care services, the criteria and procedures for benefiting from them, and the amount for personal expenses for beneficiaries of organised services"</w:t>
      </w:r>
      <w:r w:rsidRPr="00A166D4">
        <w:rPr>
          <w:rFonts w:ascii="Times New Roman" w:eastAsia="Times New Roman" w:hAnsi="Times New Roman" w:cs="Times New Roman"/>
          <w:sz w:val="24"/>
          <w:szCs w:val="24"/>
        </w:rPr>
        <w:t>.</w:t>
      </w:r>
    </w:p>
    <w:p w14:paraId="6B202A78"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149, dated 13.3.2018 </w:t>
      </w:r>
      <w:r w:rsidRPr="00A166D4">
        <w:rPr>
          <w:rFonts w:ascii="Times New Roman" w:eastAsia="Times New Roman" w:hAnsi="Times New Roman" w:cs="Times New Roman"/>
          <w:i/>
          <w:iCs/>
          <w:sz w:val="24"/>
          <w:szCs w:val="24"/>
        </w:rPr>
        <w:t>"On the criteria, documentation and procedures for identifying foster families for children without parental care and the amount of financing for the expenses of the child placed in a foster family"</w:t>
      </w:r>
      <w:r w:rsidRPr="00A166D4">
        <w:rPr>
          <w:rFonts w:ascii="Times New Roman" w:eastAsia="Times New Roman" w:hAnsi="Times New Roman" w:cs="Times New Roman"/>
          <w:sz w:val="24"/>
          <w:szCs w:val="24"/>
        </w:rPr>
        <w:t>.</w:t>
      </w:r>
    </w:p>
    <w:p w14:paraId="4C0A33C1"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136/2018 </w:t>
      </w:r>
      <w:r w:rsidRPr="00A166D4">
        <w:rPr>
          <w:rFonts w:ascii="Times New Roman" w:eastAsia="Times New Roman" w:hAnsi="Times New Roman" w:cs="Times New Roman"/>
          <w:i/>
          <w:iCs/>
          <w:sz w:val="24"/>
          <w:szCs w:val="24"/>
        </w:rPr>
        <w:t>"On the functioning and administration of the national electronic register of social care services".</w:t>
      </w:r>
    </w:p>
    <w:p w14:paraId="3E705E30"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135, dated 7.3.2018 </w:t>
      </w:r>
      <w:r w:rsidRPr="00A166D4">
        <w:rPr>
          <w:rFonts w:ascii="Times New Roman" w:eastAsia="Times New Roman" w:hAnsi="Times New Roman" w:cs="Times New Roman"/>
          <w:i/>
          <w:iCs/>
          <w:sz w:val="24"/>
          <w:szCs w:val="24"/>
        </w:rPr>
        <w:t>"On the approval of the statute of the State Social Service"</w:t>
      </w:r>
      <w:r w:rsidRPr="00A166D4">
        <w:rPr>
          <w:rFonts w:ascii="Times New Roman" w:eastAsia="Times New Roman" w:hAnsi="Times New Roman" w:cs="Times New Roman"/>
          <w:sz w:val="24"/>
          <w:szCs w:val="24"/>
        </w:rPr>
        <w:t>.</w:t>
      </w:r>
    </w:p>
    <w:p w14:paraId="77DA2090"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848, dated 28.10.2020 </w:t>
      </w:r>
      <w:r w:rsidRPr="00A166D4">
        <w:rPr>
          <w:rFonts w:ascii="Times New Roman" w:eastAsia="Times New Roman" w:hAnsi="Times New Roman" w:cs="Times New Roman"/>
          <w:i/>
          <w:iCs/>
          <w:sz w:val="24"/>
          <w:szCs w:val="24"/>
        </w:rPr>
        <w:t>"On the standards, criteria and procedures for the accreditation of continuing education activities of social care services professionals, as well as their providers"</w:t>
      </w:r>
      <w:r w:rsidRPr="00A166D4">
        <w:rPr>
          <w:rFonts w:ascii="Times New Roman" w:eastAsia="Times New Roman" w:hAnsi="Times New Roman" w:cs="Times New Roman"/>
          <w:sz w:val="24"/>
          <w:szCs w:val="24"/>
        </w:rPr>
        <w:t>.</w:t>
      </w:r>
    </w:p>
    <w:p w14:paraId="06203F4F"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624, dated 29.07.2020 </w:t>
      </w:r>
      <w:r w:rsidRPr="00A166D4">
        <w:rPr>
          <w:rFonts w:ascii="Times New Roman" w:eastAsia="Times New Roman" w:hAnsi="Times New Roman" w:cs="Times New Roman"/>
          <w:i/>
          <w:iCs/>
          <w:sz w:val="24"/>
          <w:szCs w:val="24"/>
        </w:rPr>
        <w:t>"On the criteria and procedure of the certification programme for social care services professionals</w:t>
      </w:r>
      <w:r w:rsidRPr="00A166D4">
        <w:rPr>
          <w:rFonts w:ascii="Times New Roman" w:eastAsia="Times New Roman" w:hAnsi="Times New Roman" w:cs="Times New Roman"/>
          <w:sz w:val="24"/>
          <w:szCs w:val="24"/>
        </w:rPr>
        <w:t>".</w:t>
      </w:r>
    </w:p>
    <w:p w14:paraId="1E296B14" w14:textId="77777777" w:rsidR="00205E6E"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DCM No. 111, dated 23 February 2018 </w:t>
      </w:r>
      <w:r w:rsidRPr="00A166D4">
        <w:rPr>
          <w:rFonts w:ascii="Times New Roman" w:eastAsia="Times New Roman" w:hAnsi="Times New Roman" w:cs="Times New Roman"/>
          <w:i/>
          <w:iCs/>
          <w:sz w:val="24"/>
          <w:szCs w:val="24"/>
        </w:rPr>
        <w:t>"On the establishment and functioning of the Social Fund"</w:t>
      </w:r>
      <w:r w:rsidRPr="00A166D4">
        <w:rPr>
          <w:rFonts w:ascii="Times New Roman" w:eastAsia="Times New Roman" w:hAnsi="Times New Roman" w:cs="Times New Roman"/>
          <w:sz w:val="24"/>
          <w:szCs w:val="24"/>
        </w:rPr>
        <w:t>, as amended by DCM 613/2024.</w:t>
      </w:r>
    </w:p>
    <w:p w14:paraId="2EA1278F" w14:textId="13E039E9" w:rsidR="005F2AC9" w:rsidRPr="00A166D4" w:rsidRDefault="00205E6E" w:rsidP="00320C75">
      <w:pPr>
        <w:numPr>
          <w:ilvl w:val="0"/>
          <w:numId w:val="1"/>
        </w:numPr>
        <w:suppressAutoHyphens w:val="0"/>
        <w:spacing w:beforeAutospacing="1" w:after="100" w:afterAutospacing="1"/>
        <w:jc w:val="both"/>
        <w:rPr>
          <w:rFonts w:ascii="Times New Roman" w:eastAsia="Times New Roman" w:hAnsi="Times New Roman" w:cs="Times New Roman"/>
          <w:i/>
          <w:iCs/>
          <w:sz w:val="24"/>
          <w:szCs w:val="24"/>
        </w:rPr>
        <w:sectPr w:rsidR="005F2AC9" w:rsidRPr="00A166D4">
          <w:footerReference w:type="even" r:id="rId10"/>
          <w:footerReference w:type="default" r:id="rId11"/>
          <w:footerReference w:type="first" r:id="rId12"/>
          <w:pgSz w:w="12240" w:h="15840"/>
          <w:pgMar w:top="900" w:right="1170" w:bottom="1440" w:left="1440" w:header="720" w:footer="720" w:gutter="0"/>
          <w:cols w:space="720"/>
          <w:formProt w:val="0"/>
          <w:docGrid w:linePitch="312" w:charSpace="2047"/>
        </w:sectPr>
      </w:pPr>
      <w:r w:rsidRPr="00A166D4">
        <w:rPr>
          <w:rFonts w:ascii="Times New Roman" w:eastAsia="Times New Roman" w:hAnsi="Times New Roman" w:cs="Times New Roman"/>
          <w:sz w:val="24"/>
          <w:szCs w:val="24"/>
        </w:rPr>
        <w:t xml:space="preserve">DCM No. 224/2024 </w:t>
      </w:r>
      <w:r w:rsidRPr="00A166D4">
        <w:rPr>
          <w:rFonts w:ascii="Times New Roman" w:eastAsia="Times New Roman" w:hAnsi="Times New Roman" w:cs="Times New Roman"/>
          <w:i/>
          <w:iCs/>
          <w:sz w:val="24"/>
          <w:szCs w:val="24"/>
        </w:rPr>
        <w:t>"On the methodology for calculating funds for the financing of social care services."</w:t>
      </w:r>
    </w:p>
    <w:p w14:paraId="7867D8E0" w14:textId="77777777" w:rsidR="00E23961" w:rsidRPr="00A166D4" w:rsidRDefault="00E23961" w:rsidP="00A166D4">
      <w:pPr>
        <w:suppressAutoHyphens w:val="0"/>
        <w:spacing w:beforeAutospacing="1" w:after="100" w:afterAutospacing="1"/>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t>RESPONSIBLE INSTITUTIONS</w:t>
      </w:r>
    </w:p>
    <w:p w14:paraId="42F801EF" w14:textId="77777777" w:rsidR="00E23961" w:rsidRPr="00A166D4" w:rsidRDefault="00E2396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The Ministry of Health and Social Welfare</w:t>
      </w:r>
      <w:r w:rsidRPr="00A166D4">
        <w:rPr>
          <w:rFonts w:ascii="Times New Roman" w:eastAsia="Times New Roman" w:hAnsi="Times New Roman" w:cs="Times New Roman"/>
          <w:sz w:val="24"/>
          <w:szCs w:val="24"/>
        </w:rPr>
        <w:t xml:space="preserve"> is the main institution responsible for the drafting and monitoring of the implementation of policies for the protection, care and integration of individuals and groups in need.</w:t>
      </w:r>
    </w:p>
    <w:p w14:paraId="3F6F11B4" w14:textId="77777777" w:rsidR="00E23961" w:rsidRPr="00A166D4" w:rsidRDefault="00E2396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The State Social Service</w:t>
      </w:r>
      <w:r w:rsidRPr="00A166D4">
        <w:rPr>
          <w:rFonts w:ascii="Times New Roman" w:eastAsia="Times New Roman" w:hAnsi="Times New Roman" w:cs="Times New Roman"/>
          <w:sz w:val="24"/>
          <w:szCs w:val="24"/>
        </w:rPr>
        <w:t xml:space="preserve"> is an institution subordinate to the Ministry of Health and Social Welfare, responsible for the implementation of the policies of the ministry responsible for matters of economic assistance, disability and social care services.</w:t>
      </w:r>
    </w:p>
    <w:p w14:paraId="2307051A" w14:textId="77777777" w:rsidR="00E23961" w:rsidRPr="00A166D4" w:rsidRDefault="00E2396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The State Agency for the Rights and Protection of</w:t>
      </w:r>
      <w:r w:rsidRPr="00A166D4">
        <w:rPr>
          <w:rFonts w:ascii="Times New Roman" w:eastAsia="Times New Roman" w:hAnsi="Times New Roman" w:cs="Times New Roman"/>
          <w:sz w:val="24"/>
          <w:szCs w:val="24"/>
        </w:rPr>
        <w:t xml:space="preserve"> Children is the institution responsible for the coordination and organisation of the integrated child protection system, in implementation of national policies for child protection, including the implementation of interventions and the taking of measures for the prevention and protection of children from abuse, neglect, maltreatment and violence.</w:t>
      </w:r>
    </w:p>
    <w:p w14:paraId="5F5B80B3" w14:textId="77777777" w:rsidR="00E23961" w:rsidRPr="00A166D4" w:rsidRDefault="00E2396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Local Self-Government Units</w:t>
      </w:r>
      <w:r w:rsidRPr="00A166D4">
        <w:rPr>
          <w:rFonts w:ascii="Times New Roman" w:eastAsia="Times New Roman" w:hAnsi="Times New Roman" w:cs="Times New Roman"/>
          <w:sz w:val="24"/>
          <w:szCs w:val="24"/>
        </w:rPr>
        <w:t xml:space="preserve">, pursuant to Law No. 115/2014 "On the Administrative-Territorial Division" and Law No. 139/2015 "On Local Self-Government", bear responsibility for ensuring and operating social services at the local level for categories in need, including the elderly. This includes the establishment and administration of community social services, the construction and management of local social service centres, as well as cooperation with the ministry responsible for social affairs for their financing through the Social Fund. At the local level, social services directorates, together with specialised structures such as the Needs Assessment and Referral Units (NARU), Child Protection Units (CPU) and domestic violence coordinators, are responsible for the planning, administration </w:t>
      </w:r>
      <w:r w:rsidRPr="00A166D4">
        <w:rPr>
          <w:rFonts w:ascii="Times New Roman" w:eastAsia="Times New Roman" w:hAnsi="Times New Roman" w:cs="Times New Roman"/>
          <w:sz w:val="24"/>
          <w:szCs w:val="24"/>
        </w:rPr>
        <w:lastRenderedPageBreak/>
        <w:t>and development of social services, adapting the typologies of services according to the needs of the community.</w:t>
      </w:r>
    </w:p>
    <w:p w14:paraId="54652D17" w14:textId="77777777" w:rsidR="00E23961" w:rsidRPr="00A166D4" w:rsidRDefault="00E2396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The Inspectorate of Labour and Social Services</w:t>
      </w:r>
      <w:r w:rsidRPr="00A166D4">
        <w:rPr>
          <w:rFonts w:ascii="Times New Roman" w:eastAsia="Times New Roman" w:hAnsi="Times New Roman" w:cs="Times New Roman"/>
          <w:sz w:val="24"/>
          <w:szCs w:val="24"/>
        </w:rPr>
        <w:t xml:space="preserve"> is an institution subordinate to the Ministry of Economy and Innovation, responsible for the inspection and verification of compliance with social care service standards in accordance with the standards and requirements of the Law "On Social Services in the Republic of Albania".</w:t>
      </w:r>
    </w:p>
    <w:p w14:paraId="487FB1EF" w14:textId="22F7A2F4" w:rsidR="00E23961" w:rsidRPr="00A166D4" w:rsidRDefault="00E23961" w:rsidP="00A166D4">
      <w:pPr>
        <w:suppressAutoHyphens w:val="0"/>
        <w:spacing w:beforeAutospacing="1" w:after="100" w:afterAutospacing="1"/>
        <w:jc w:val="both"/>
        <w:rPr>
          <w:rFonts w:ascii="Times New Roman" w:eastAsia="Times New Roman" w:hAnsi="Times New Roman" w:cs="Times New Roman"/>
          <w:sz w:val="24"/>
          <w:szCs w:val="24"/>
        </w:rPr>
      </w:pPr>
      <w:r w:rsidRPr="005D54F9">
        <w:rPr>
          <w:rFonts w:ascii="Times New Roman" w:eastAsia="Times New Roman" w:hAnsi="Times New Roman" w:cs="Times New Roman"/>
          <w:b/>
          <w:bCs/>
          <w:sz w:val="24"/>
          <w:szCs w:val="24"/>
        </w:rPr>
        <w:t>The Agency for Quality Assurance of Health and Social Care</w:t>
      </w:r>
      <w:r w:rsidR="005D54F9">
        <w:rPr>
          <w:rStyle w:val="FootnoteReference"/>
          <w:rFonts w:ascii="Times New Roman" w:eastAsia="Times New Roman" w:hAnsi="Times New Roman" w:cs="Times New Roman"/>
          <w:b/>
          <w:bCs/>
          <w:sz w:val="24"/>
          <w:szCs w:val="24"/>
        </w:rPr>
        <w:footnoteReference w:id="13"/>
      </w:r>
      <w:r w:rsidRPr="00A166D4">
        <w:rPr>
          <w:rFonts w:ascii="Times New Roman" w:eastAsia="Times New Roman" w:hAnsi="Times New Roman" w:cs="Times New Roman"/>
          <w:sz w:val="24"/>
          <w:szCs w:val="24"/>
        </w:rPr>
        <w:t xml:space="preserve"> is an agency subordinate to the Ministry of Health and Social Welfare, tasked with guaranteeing the quality of health and social services based on standards, through education, certification, accreditation and safety inspection of services for structures and professionals.</w:t>
      </w:r>
    </w:p>
    <w:p w14:paraId="65D9EAD9" w14:textId="77777777" w:rsidR="00E23961" w:rsidRPr="00A166D4" w:rsidRDefault="00E2396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The Order of Social Workers</w:t>
      </w:r>
      <w:r w:rsidRPr="00A166D4">
        <w:rPr>
          <w:rFonts w:ascii="Times New Roman" w:eastAsia="Times New Roman" w:hAnsi="Times New Roman" w:cs="Times New Roman"/>
          <w:sz w:val="24"/>
          <w:szCs w:val="24"/>
        </w:rPr>
        <w:t xml:space="preserve"> and the Order of Psychologists are independent non-budgetary public entities, established respectively by Law 164/2014, as amended, "On the Order of Social Workers in the Republic of Albania" and Law No. 40/2016 "On the Order of Psychologists in the Republic of Albania", closely linked to guaranteeing and continuously maintaining the standards and good practices of the exercise of the profession in the field of social work and psychology, as well as protecting the public from unprofessional and unethical actions of social workers and psychologists.</w:t>
      </w:r>
    </w:p>
    <w:p w14:paraId="74137C8B" w14:textId="6A1F53F4" w:rsidR="00E23961" w:rsidRPr="00A166D4" w:rsidRDefault="00E2396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b/>
          <w:bCs/>
          <w:sz w:val="24"/>
          <w:szCs w:val="24"/>
        </w:rPr>
        <w:t>The Public Partner Institutions</w:t>
      </w:r>
      <w:r w:rsidRPr="00A166D4">
        <w:rPr>
          <w:rFonts w:ascii="Times New Roman" w:eastAsia="Times New Roman" w:hAnsi="Times New Roman" w:cs="Times New Roman"/>
          <w:sz w:val="24"/>
          <w:szCs w:val="24"/>
        </w:rPr>
        <w:t xml:space="preserve"> in the implementation of the Social Protection Strategy 2024-2030 are:</w:t>
      </w:r>
    </w:p>
    <w:p w14:paraId="2A9DC80C" w14:textId="77777777" w:rsidR="00E23961" w:rsidRPr="00A166D4" w:rsidRDefault="00E23961" w:rsidP="00320C75">
      <w:pPr>
        <w:numPr>
          <w:ilvl w:val="0"/>
          <w:numId w:val="9"/>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Ministry of Finance</w:t>
      </w:r>
    </w:p>
    <w:p w14:paraId="02104F40" w14:textId="77777777" w:rsidR="00E23961" w:rsidRPr="00A166D4" w:rsidRDefault="00E23961" w:rsidP="00320C75">
      <w:pPr>
        <w:numPr>
          <w:ilvl w:val="0"/>
          <w:numId w:val="9"/>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Ministry of Education and Sports</w:t>
      </w:r>
    </w:p>
    <w:p w14:paraId="46BD0A63" w14:textId="77777777" w:rsidR="00E23961" w:rsidRPr="00A166D4" w:rsidRDefault="00E23961" w:rsidP="00320C75">
      <w:pPr>
        <w:numPr>
          <w:ilvl w:val="0"/>
          <w:numId w:val="9"/>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Ministry of Interior</w:t>
      </w:r>
    </w:p>
    <w:p w14:paraId="5D446463" w14:textId="77777777" w:rsidR="00E23961" w:rsidRPr="00A166D4" w:rsidRDefault="00E23961" w:rsidP="00320C75">
      <w:pPr>
        <w:numPr>
          <w:ilvl w:val="0"/>
          <w:numId w:val="9"/>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Ministry of Justice</w:t>
      </w:r>
    </w:p>
    <w:p w14:paraId="23CC1471" w14:textId="77777777" w:rsidR="00E23961" w:rsidRPr="00A166D4" w:rsidRDefault="00E23961" w:rsidP="00320C75">
      <w:pPr>
        <w:numPr>
          <w:ilvl w:val="0"/>
          <w:numId w:val="9"/>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National Agency for Employment and Skills (NAES)</w:t>
      </w:r>
    </w:p>
    <w:p w14:paraId="6738EACC" w14:textId="77777777" w:rsidR="00E23961" w:rsidRPr="00A166D4" w:rsidRDefault="00E23961" w:rsidP="00320C75">
      <w:pPr>
        <w:numPr>
          <w:ilvl w:val="0"/>
          <w:numId w:val="9"/>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Agency for the Support of Local Self-Government</w:t>
      </w:r>
    </w:p>
    <w:p w14:paraId="0D947359" w14:textId="77777777" w:rsidR="00E23961" w:rsidRPr="00A166D4" w:rsidRDefault="00E23961" w:rsidP="00320C75">
      <w:pPr>
        <w:numPr>
          <w:ilvl w:val="0"/>
          <w:numId w:val="9"/>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National Agency for Information Services</w:t>
      </w:r>
    </w:p>
    <w:p w14:paraId="1319CBA4" w14:textId="77777777" w:rsidR="00E23961" w:rsidRPr="00A166D4" w:rsidRDefault="00E23961" w:rsidP="00320C75">
      <w:pPr>
        <w:numPr>
          <w:ilvl w:val="0"/>
          <w:numId w:val="9"/>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Social Insurance Institute</w:t>
      </w:r>
    </w:p>
    <w:p w14:paraId="5FA60FCB" w14:textId="77777777" w:rsidR="00E23961" w:rsidRPr="00A166D4" w:rsidRDefault="00E23961" w:rsidP="00320C75">
      <w:pPr>
        <w:numPr>
          <w:ilvl w:val="0"/>
          <w:numId w:val="9"/>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Inspectorate of Labour and Social Services</w:t>
      </w:r>
    </w:p>
    <w:p w14:paraId="00B8C7F3" w14:textId="77777777" w:rsidR="00E23961" w:rsidRPr="00A166D4" w:rsidRDefault="00E23961" w:rsidP="00320C75">
      <w:pPr>
        <w:numPr>
          <w:ilvl w:val="0"/>
          <w:numId w:val="9"/>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61 Local Units</w:t>
      </w:r>
    </w:p>
    <w:p w14:paraId="4BDB69A7" w14:textId="77777777" w:rsidR="00E23961" w:rsidRPr="00A166D4" w:rsidRDefault="00E23961" w:rsidP="00A166D4">
      <w:pPr>
        <w:suppressAutoHyphens w:val="0"/>
        <w:spacing w:beforeAutospacing="1" w:after="100" w:afterAutospacing="1"/>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t>Linkage of the Social Protection Strategy with the Sustainable Development Goals (SDGs):</w:t>
      </w:r>
    </w:p>
    <w:p w14:paraId="3B71043C" w14:textId="77777777" w:rsidR="00E23961" w:rsidRPr="00A166D4" w:rsidRDefault="00E23961" w:rsidP="00A166D4">
      <w:pPr>
        <w:suppressAutoHyphens w:val="0"/>
        <w:spacing w:beforeAutospacing="1" w:after="100" w:afterAutospacing="1"/>
        <w:jc w:val="both"/>
        <w:rPr>
          <w:rFonts w:ascii="Times New Roman" w:eastAsia="Times New Roman" w:hAnsi="Times New Roman" w:cs="Times New Roman"/>
          <w:i/>
          <w:iCs/>
          <w:sz w:val="24"/>
          <w:szCs w:val="24"/>
        </w:rPr>
      </w:pPr>
      <w:r w:rsidRPr="00A166D4">
        <w:rPr>
          <w:rFonts w:ascii="Times New Roman" w:eastAsia="Times New Roman" w:hAnsi="Times New Roman" w:cs="Times New Roman"/>
          <w:i/>
          <w:iCs/>
          <w:sz w:val="24"/>
          <w:szCs w:val="24"/>
        </w:rPr>
        <w:t>The Social Protection Strategy 2024–2030 is linked to the following Sustainable Development Goals:</w:t>
      </w:r>
    </w:p>
    <w:p w14:paraId="79BC4B8F" w14:textId="77777777" w:rsidR="00E23961" w:rsidRPr="00A166D4" w:rsidRDefault="00E23961" w:rsidP="00320C75">
      <w:pPr>
        <w:numPr>
          <w:ilvl w:val="0"/>
          <w:numId w:val="7"/>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SDG 1: End poverty everywhere and in all its forms</w:t>
      </w:r>
    </w:p>
    <w:p w14:paraId="47AB9E04" w14:textId="77777777" w:rsidR="00E23961" w:rsidRPr="00A166D4" w:rsidRDefault="00E23961" w:rsidP="00320C75">
      <w:pPr>
        <w:numPr>
          <w:ilvl w:val="0"/>
          <w:numId w:val="7"/>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lastRenderedPageBreak/>
        <w:t>SDG 3: Ensure healthy lives and promote well-being for all at all ages</w:t>
      </w:r>
    </w:p>
    <w:p w14:paraId="1DD9DD0A" w14:textId="77777777" w:rsidR="00E23961" w:rsidRPr="00A166D4" w:rsidRDefault="00E23961" w:rsidP="00320C75">
      <w:pPr>
        <w:numPr>
          <w:ilvl w:val="0"/>
          <w:numId w:val="7"/>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SDG 4: Ensure inclusive education and create opportunities for lifelong learning for all</w:t>
      </w:r>
    </w:p>
    <w:p w14:paraId="4A019D74" w14:textId="77777777" w:rsidR="00E23961" w:rsidRPr="00A166D4" w:rsidRDefault="00E23961" w:rsidP="00320C75">
      <w:pPr>
        <w:numPr>
          <w:ilvl w:val="0"/>
          <w:numId w:val="7"/>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SDG 5: Achieve gender equality and empower women</w:t>
      </w:r>
    </w:p>
    <w:p w14:paraId="3B02364B" w14:textId="77777777" w:rsidR="00E23961" w:rsidRPr="00A166D4" w:rsidRDefault="00E23961" w:rsidP="00320C75">
      <w:pPr>
        <w:numPr>
          <w:ilvl w:val="0"/>
          <w:numId w:val="7"/>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SDG 8: Promote sustained and inclusive economic growth, employment and work for all</w:t>
      </w:r>
    </w:p>
    <w:p w14:paraId="5EE9BC34" w14:textId="77777777" w:rsidR="00E23961" w:rsidRPr="00A166D4" w:rsidRDefault="00E23961" w:rsidP="00320C75">
      <w:pPr>
        <w:numPr>
          <w:ilvl w:val="0"/>
          <w:numId w:val="7"/>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SDG 10: Reduce inequalities</w:t>
      </w:r>
    </w:p>
    <w:p w14:paraId="47E5F261" w14:textId="77777777" w:rsidR="00E23961" w:rsidRPr="00A166D4" w:rsidRDefault="00E23961" w:rsidP="00320C75">
      <w:pPr>
        <w:numPr>
          <w:ilvl w:val="0"/>
          <w:numId w:val="7"/>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SDG 11: Cities for all, safe, resilient and sustainable</w:t>
      </w:r>
    </w:p>
    <w:p w14:paraId="5B9044C2" w14:textId="77777777" w:rsidR="00E23961" w:rsidRPr="00A166D4" w:rsidRDefault="00E23961" w:rsidP="00320C75">
      <w:pPr>
        <w:numPr>
          <w:ilvl w:val="0"/>
          <w:numId w:val="7"/>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SDG 16: Peace, Justice and Strong Institutions, of the UN 2030 Agenda for Sustainable Development</w:t>
      </w:r>
    </w:p>
    <w:p w14:paraId="48AAB84B" w14:textId="77777777" w:rsidR="00E23961" w:rsidRPr="00A166D4" w:rsidRDefault="00E23961" w:rsidP="00A166D4">
      <w:pPr>
        <w:suppressAutoHyphens w:val="0"/>
        <w:spacing w:beforeAutospacing="1" w:after="100" w:afterAutospacing="1"/>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t>Supporting Principles of the Strategy:</w:t>
      </w:r>
    </w:p>
    <w:p w14:paraId="586CEBB6" w14:textId="77777777" w:rsidR="00E23961" w:rsidRPr="00A166D4" w:rsidRDefault="00E2396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Social Protection Strategy 2024–2030 is built upon principles deriving from the Constitution of the Republic of Albania, the Convention for the Protection of Human Rights, the Convention on the Rights of the Child, the Convention on the Rights of Persons with Disabilities, the Revised European Social Charter, the European Charter of Local Self-Government, the European Commission Communication of 12 March 1997 "On Modernising and Improving Social Protection", and the European Strategy to 2020. The right to social protection is reflected in the Constitution of Albania. Article 9 of the International Covenant on Economic, Social and Cultural Rights recognises the right of everyone to social protection. Similarly, the United Nations Conventions on the Rights of the Child and on the Rights of Persons with Disabilities also recognise specific rights to social protection. The successful implementation of this strategy contributes to reinforcing the protection of human rights in Albania.</w:t>
      </w:r>
    </w:p>
    <w:p w14:paraId="659B967B" w14:textId="77777777" w:rsidR="00E23961" w:rsidRPr="00A166D4" w:rsidRDefault="00E23961" w:rsidP="00320C75">
      <w:pPr>
        <w:numPr>
          <w:ilvl w:val="0"/>
          <w:numId w:val="8"/>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i/>
          <w:iCs/>
          <w:sz w:val="24"/>
          <w:szCs w:val="24"/>
        </w:rPr>
        <w:t>Civil rights, equality and non-discrimin</w:t>
      </w:r>
      <w:r w:rsidRPr="00A166D4">
        <w:rPr>
          <w:rFonts w:ascii="Times New Roman" w:eastAsia="Times New Roman" w:hAnsi="Times New Roman" w:cs="Times New Roman"/>
          <w:sz w:val="24"/>
          <w:szCs w:val="24"/>
        </w:rPr>
        <w:t>ation: Social protection is provided for every individual in need, regardless of gender, religion, age, disability, etc.</w:t>
      </w:r>
    </w:p>
    <w:p w14:paraId="1CE8E612" w14:textId="77777777" w:rsidR="00E23961" w:rsidRPr="00A166D4" w:rsidRDefault="00E23961" w:rsidP="00320C75">
      <w:pPr>
        <w:numPr>
          <w:ilvl w:val="0"/>
          <w:numId w:val="8"/>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i/>
          <w:iCs/>
          <w:sz w:val="24"/>
          <w:szCs w:val="24"/>
        </w:rPr>
        <w:t>Special protection</w:t>
      </w:r>
      <w:r w:rsidRPr="00A166D4">
        <w:rPr>
          <w:rFonts w:ascii="Times New Roman" w:eastAsia="Times New Roman" w:hAnsi="Times New Roman" w:cs="Times New Roman"/>
          <w:sz w:val="24"/>
          <w:szCs w:val="24"/>
        </w:rPr>
        <w:t>: Special groups, including children, must be subject to special protection, based on their needs and rights.</w:t>
      </w:r>
    </w:p>
    <w:p w14:paraId="2DCEFDE8" w14:textId="77777777" w:rsidR="00E23961" w:rsidRPr="00A166D4" w:rsidRDefault="00E23961" w:rsidP="00320C75">
      <w:pPr>
        <w:numPr>
          <w:ilvl w:val="0"/>
          <w:numId w:val="8"/>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i/>
          <w:iCs/>
          <w:sz w:val="24"/>
          <w:szCs w:val="24"/>
        </w:rPr>
        <w:t>The right to life, survival and development:</w:t>
      </w:r>
      <w:r w:rsidRPr="00A166D4">
        <w:rPr>
          <w:rFonts w:ascii="Times New Roman" w:eastAsia="Times New Roman" w:hAnsi="Times New Roman" w:cs="Times New Roman"/>
          <w:sz w:val="24"/>
          <w:szCs w:val="24"/>
        </w:rPr>
        <w:t xml:space="preserve"> A suitable environment must support the maximum development of individuals.</w:t>
      </w:r>
    </w:p>
    <w:p w14:paraId="78EF7E0D" w14:textId="77777777" w:rsidR="00E23961" w:rsidRPr="00A166D4" w:rsidRDefault="00E23961" w:rsidP="00320C75">
      <w:pPr>
        <w:numPr>
          <w:ilvl w:val="0"/>
          <w:numId w:val="8"/>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i/>
          <w:iCs/>
          <w:sz w:val="24"/>
          <w:szCs w:val="24"/>
        </w:rPr>
        <w:t>Independence, autonomy and respect for views:</w:t>
      </w:r>
      <w:r w:rsidRPr="00A166D4">
        <w:rPr>
          <w:rFonts w:ascii="Times New Roman" w:eastAsia="Times New Roman" w:hAnsi="Times New Roman" w:cs="Times New Roman"/>
          <w:sz w:val="24"/>
          <w:szCs w:val="24"/>
        </w:rPr>
        <w:t xml:space="preserve"> Individuals are responsible for their own lives. They must be encouraged to make decisions about their lives that pursue their best interest and in accordance with human rights.</w:t>
      </w:r>
    </w:p>
    <w:p w14:paraId="16C3B196" w14:textId="77777777" w:rsidR="00E23961" w:rsidRPr="00A166D4" w:rsidRDefault="00E23961" w:rsidP="00320C75">
      <w:pPr>
        <w:numPr>
          <w:ilvl w:val="0"/>
          <w:numId w:val="8"/>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i/>
          <w:iCs/>
          <w:sz w:val="24"/>
          <w:szCs w:val="24"/>
        </w:rPr>
        <w:t>Inclusion and integration:</w:t>
      </w:r>
      <w:r w:rsidRPr="00A166D4">
        <w:rPr>
          <w:rFonts w:ascii="Times New Roman" w:eastAsia="Times New Roman" w:hAnsi="Times New Roman" w:cs="Times New Roman"/>
          <w:sz w:val="24"/>
          <w:szCs w:val="24"/>
        </w:rPr>
        <w:t xml:space="preserve"> Creating a policy and programme environment that aims to integrate all individuals and groups in need, as well as specific measures designed on the basis of the specific needs of each group or individual.</w:t>
      </w:r>
    </w:p>
    <w:p w14:paraId="6C807A84" w14:textId="77777777" w:rsidR="00E23961" w:rsidRPr="00A166D4" w:rsidRDefault="00E23961" w:rsidP="00320C75">
      <w:pPr>
        <w:numPr>
          <w:ilvl w:val="0"/>
          <w:numId w:val="8"/>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i/>
          <w:iCs/>
          <w:sz w:val="24"/>
          <w:szCs w:val="24"/>
        </w:rPr>
        <w:t>Partnership:</w:t>
      </w:r>
      <w:r w:rsidRPr="00A166D4">
        <w:rPr>
          <w:rFonts w:ascii="Times New Roman" w:eastAsia="Times New Roman" w:hAnsi="Times New Roman" w:cs="Times New Roman"/>
          <w:sz w:val="24"/>
          <w:szCs w:val="24"/>
        </w:rPr>
        <w:t xml:space="preserve"> Coordination of central structures, regional and local government, as well as other partners in the community, in particular with civil society.</w:t>
      </w:r>
    </w:p>
    <w:p w14:paraId="17E90E8B" w14:textId="77777777" w:rsidR="00E23961" w:rsidRPr="00A166D4" w:rsidRDefault="00E23961" w:rsidP="00320C75">
      <w:pPr>
        <w:numPr>
          <w:ilvl w:val="0"/>
          <w:numId w:val="8"/>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i/>
          <w:iCs/>
          <w:sz w:val="24"/>
          <w:szCs w:val="24"/>
        </w:rPr>
        <w:t>Standards and quality of services:</w:t>
      </w:r>
      <w:r w:rsidRPr="00A166D4">
        <w:rPr>
          <w:rFonts w:ascii="Times New Roman" w:eastAsia="Times New Roman" w:hAnsi="Times New Roman" w:cs="Times New Roman"/>
          <w:sz w:val="24"/>
          <w:szCs w:val="24"/>
        </w:rPr>
        <w:t xml:space="preserve"> National standards for social services guide decision-making at the local level as well as the quality delivery of social services, starting from the highest interest of the beneficiaries.</w:t>
      </w:r>
    </w:p>
    <w:p w14:paraId="62DFB63F" w14:textId="77777777" w:rsidR="00E23961" w:rsidRPr="00A166D4" w:rsidRDefault="00E23961" w:rsidP="00320C75">
      <w:pPr>
        <w:numPr>
          <w:ilvl w:val="0"/>
          <w:numId w:val="8"/>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i/>
          <w:iCs/>
          <w:sz w:val="24"/>
          <w:szCs w:val="24"/>
        </w:rPr>
        <w:t>Transparency and access to information:</w:t>
      </w:r>
      <w:r w:rsidRPr="00A166D4">
        <w:rPr>
          <w:rFonts w:ascii="Times New Roman" w:eastAsia="Times New Roman" w:hAnsi="Times New Roman" w:cs="Times New Roman"/>
          <w:sz w:val="24"/>
          <w:szCs w:val="24"/>
        </w:rPr>
        <w:t xml:space="preserve"> These are important elements of accountability. Every individual must exercise the right to be informed about benefit criteria, service typologies, specific benefits, as well as complaint mechanisms. When accountability and complaint mechanisms are functional, the social protection programme has the opportunity to address issues of stigma and prejudice that often exist for beneficiary individuals or groups.</w:t>
      </w:r>
    </w:p>
    <w:p w14:paraId="0D508FEC" w14:textId="47A42B62" w:rsidR="005F2AC9" w:rsidRPr="00A166D4" w:rsidRDefault="005F2AC9" w:rsidP="00A166D4">
      <w:pPr>
        <w:jc w:val="both"/>
        <w:rPr>
          <w:rFonts w:ascii="Times New Roman" w:hAnsi="Times New Roman" w:cs="Times New Roman"/>
          <w:b/>
          <w:iCs/>
          <w:color w:val="000000" w:themeColor="text1"/>
          <w:sz w:val="24"/>
          <w:szCs w:val="24"/>
          <w:lang w:val="pt-BR"/>
        </w:rPr>
        <w:sectPr w:rsidR="005F2AC9" w:rsidRPr="00A166D4">
          <w:type w:val="continuous"/>
          <w:pgSz w:w="12240" w:h="15840"/>
          <w:pgMar w:top="900" w:right="1170" w:bottom="1440" w:left="1440" w:header="720" w:footer="720" w:gutter="0"/>
          <w:cols w:space="720"/>
          <w:formProt w:val="0"/>
          <w:docGrid w:linePitch="312" w:charSpace="2047"/>
        </w:sectPr>
      </w:pPr>
    </w:p>
    <w:bookmarkEnd w:id="1"/>
    <w:bookmarkEnd w:id="2"/>
    <w:bookmarkEnd w:id="3"/>
    <w:p w14:paraId="66AE0CD3" w14:textId="207F21A2" w:rsidR="005F2AC9" w:rsidRPr="00A166D4" w:rsidRDefault="00CB59F2" w:rsidP="00A166D4">
      <w:pPr>
        <w:pStyle w:val="Heading1"/>
        <w:spacing w:before="0"/>
        <w:rPr>
          <w:rFonts w:ascii="Times New Roman" w:hAnsi="Times New Roman" w:cs="Times New Roman"/>
          <w:color w:val="000000" w:themeColor="text1"/>
        </w:rPr>
      </w:pPr>
      <w:r w:rsidRPr="00A166D4">
        <w:rPr>
          <w:rFonts w:ascii="Times New Roman" w:hAnsi="Times New Roman" w:cs="Times New Roman"/>
          <w:color w:val="000000" w:themeColor="text1"/>
        </w:rPr>
        <w:t xml:space="preserve">SUMMARY OF ACHIEVEMENTS AND CHALLENGES </w:t>
      </w:r>
    </w:p>
    <w:p w14:paraId="1CCE5E0A" w14:textId="77777777" w:rsidR="00CB59F2" w:rsidRPr="00A166D4" w:rsidRDefault="00CB59F2" w:rsidP="00A166D4">
      <w:pPr>
        <w:pStyle w:val="font-claude-response-body"/>
        <w:spacing w:line="276" w:lineRule="auto"/>
        <w:jc w:val="both"/>
      </w:pPr>
      <w:r w:rsidRPr="00A166D4">
        <w:t>During 2025, the process of policy drafting and implementation focused on consolidating the structural reforms initiated in recent years and on laying the foundations for the full implementation of strategic objectives.</w:t>
      </w:r>
    </w:p>
    <w:p w14:paraId="33FA6985" w14:textId="77777777" w:rsidR="00CB59F2" w:rsidRPr="00A166D4" w:rsidRDefault="00CB59F2" w:rsidP="00A166D4">
      <w:pPr>
        <w:pStyle w:val="font-claude-response-body"/>
        <w:spacing w:line="276" w:lineRule="auto"/>
        <w:jc w:val="both"/>
      </w:pPr>
      <w:r w:rsidRPr="00A166D4">
        <w:t>Special attention was devoted to improving the main programmes supporting beneficiaries of the Economic Assistance (EA) scheme, with a focus on improving targeting, increasing transparency, and strengthening the link between benefits and support services.</w:t>
      </w:r>
    </w:p>
    <w:p w14:paraId="28AEDC86" w14:textId="77777777" w:rsidR="00CB59F2" w:rsidRPr="00A166D4" w:rsidRDefault="00CB59F2" w:rsidP="00A166D4">
      <w:pPr>
        <w:pStyle w:val="font-claude-response-body"/>
        <w:spacing w:line="276" w:lineRule="auto"/>
        <w:jc w:val="both"/>
      </w:pPr>
      <w:r w:rsidRPr="00A166D4">
        <w:t>Families and individuals receiving economic assistance, as well as children without parental care placed in foster families, received financial support in the amount of 15,000 (fifteen thousand) ALL.</w:t>
      </w:r>
    </w:p>
    <w:p w14:paraId="574EC5EA" w14:textId="77777777" w:rsidR="00CB59F2" w:rsidRPr="00A166D4" w:rsidRDefault="00CB59F2" w:rsidP="00A166D4">
      <w:pPr>
        <w:pStyle w:val="font-claude-response-body"/>
        <w:spacing w:line="276" w:lineRule="auto"/>
        <w:jc w:val="both"/>
      </w:pPr>
      <w:r w:rsidRPr="00A166D4">
        <w:t>Persons with disabilities are at the centre of policies and programmes undertaken by the government with the aim of guaranteeing and respecting their rights, supporting, rehabilitating and integrating them into social life. Within the framework of the strategic objective, the implementation and monitoring of the reform of the disability assessment system continued, according to the bio-psycho-social model, based on the international standards of WHO, ICF, and the UN Convention on the Rights of PwD.</w:t>
      </w:r>
    </w:p>
    <w:p w14:paraId="040B758F" w14:textId="77777777" w:rsidR="00CB59F2" w:rsidRPr="00A166D4" w:rsidRDefault="00CB59F2" w:rsidP="00A166D4">
      <w:pPr>
        <w:pStyle w:val="font-claude-response-body"/>
        <w:spacing w:line="276" w:lineRule="auto"/>
        <w:jc w:val="both"/>
      </w:pPr>
      <w:r w:rsidRPr="00A166D4">
        <w:t>The implementation of the bio-psycho-social assessment reform, with a human rights-based approach, reflects contemporary international practices through a new concept of disability as an interaction between impairments caused by a disease and psychological and social factors. This has increased the efficiency of assessment, creating administrative mechanisms that significantly reduce the scale of abuse, increase reliability and lower the cost of assessment, as well as improving the service for citizens.</w:t>
      </w:r>
    </w:p>
    <w:p w14:paraId="46A9905E" w14:textId="77777777" w:rsidR="00CB59F2" w:rsidRPr="00A166D4" w:rsidRDefault="00CB59F2" w:rsidP="00A166D4">
      <w:pPr>
        <w:pStyle w:val="font-claude-response-body"/>
        <w:spacing w:line="276" w:lineRule="auto"/>
        <w:jc w:val="both"/>
      </w:pPr>
      <w:r w:rsidRPr="00A166D4">
        <w:t>During 2025, 97,685 persons were supported by the disability programme, of whom 57,030 PwD, 15,303 blind persons, 5,710 paraplegics and tetraplegics, and 19,642 personal assistants.</w:t>
      </w:r>
    </w:p>
    <w:p w14:paraId="7214406F" w14:textId="77777777" w:rsidR="00CB59F2" w:rsidRPr="00A166D4" w:rsidRDefault="00CB59F2" w:rsidP="00A166D4">
      <w:pPr>
        <w:pStyle w:val="font-claude-response-body"/>
        <w:spacing w:line="276" w:lineRule="auto"/>
        <w:jc w:val="both"/>
      </w:pPr>
      <w:r w:rsidRPr="00A166D4">
        <w:t>Disability benefit payments were indexed in accordance with the provisions of the legislation in force; likewise, the benefit amount for covering the expenses of the hygiene-sanitary package for paraplegics and tetraplegics is indexed by 2.4% based on the consumer price index according to INSTAT.</w:t>
      </w:r>
    </w:p>
    <w:p w14:paraId="0DF8DDCF" w14:textId="77777777" w:rsidR="00CB59F2" w:rsidRPr="00A166D4" w:rsidRDefault="00CB59F2" w:rsidP="00A166D4">
      <w:pPr>
        <w:pStyle w:val="font-claude-response-body"/>
        <w:spacing w:line="276" w:lineRule="auto"/>
        <w:jc w:val="both"/>
      </w:pPr>
      <w:r w:rsidRPr="00A166D4">
        <w:t>Persons with disabilities, blind persons, paraplegics and tetraplegics, as well as their personal assistants, received financial support in the amount of 15,000 ALL.</w:t>
      </w:r>
    </w:p>
    <w:p w14:paraId="1F620EDD" w14:textId="77777777" w:rsidR="00CB59F2" w:rsidRPr="00A166D4" w:rsidRDefault="00CB59F2" w:rsidP="00A166D4">
      <w:pPr>
        <w:pStyle w:val="font-claude-response-body"/>
        <w:spacing w:line="276" w:lineRule="auto"/>
        <w:jc w:val="both"/>
      </w:pPr>
      <w:r w:rsidRPr="00A166D4">
        <w:t>All measures were taken to increase the capacities of the staff of the assessment commissions; during April 2025, training sessions were conducted for employees at the regional and local level (social administrators) on the topic "Increasing the capacities of health and psycho-social personnel for disability assessment", including capacity building for referral, follow-up, management and support with services for persons with disabilities.</w:t>
      </w:r>
    </w:p>
    <w:p w14:paraId="0FE104C3" w14:textId="77777777" w:rsidR="00CB59F2" w:rsidRPr="00A166D4" w:rsidRDefault="00CB59F2" w:rsidP="00A166D4">
      <w:pPr>
        <w:pStyle w:val="font-claude-response-body"/>
        <w:spacing w:line="276" w:lineRule="auto"/>
        <w:jc w:val="both"/>
      </w:pPr>
      <w:r w:rsidRPr="00A166D4">
        <w:t>The bio-psycho-social disability assessment criteria for adults and children and the methodology for their review were approved.</w:t>
      </w:r>
    </w:p>
    <w:p w14:paraId="46806376" w14:textId="77777777" w:rsidR="00CB59F2" w:rsidRPr="00A166D4" w:rsidRDefault="00CB59F2" w:rsidP="00A166D4">
      <w:pPr>
        <w:pStyle w:val="font-claude-response-body"/>
        <w:spacing w:line="276" w:lineRule="auto"/>
        <w:jc w:val="both"/>
      </w:pPr>
      <w:r w:rsidRPr="00A166D4">
        <w:t>One of the most important achievements during the first year of the Strategy's implementation relates to the advancement of the social care services reform. During 2025, the expansion of the service map at the local level continued, with increased territorial coverage and diversification of service typologies in response to the specific needs of communities. The role of local government in planning, contracting and monitoring services was further strengthened, in accordance with the principle of decentralisation, while the Social Fund remained a key instrument for financing new and innovative services for groups in need. Through this mechanism, community services aimed at preventing institutionalisation, supporting the family, social reintegration and empowering individuals in situations of vulnerability were supported.</w:t>
      </w:r>
    </w:p>
    <w:p w14:paraId="46748FAA" w14:textId="77777777" w:rsidR="00CB59F2" w:rsidRPr="00A166D4" w:rsidRDefault="00CB59F2" w:rsidP="00A166D4">
      <w:pPr>
        <w:pStyle w:val="font-claude-response-body"/>
        <w:spacing w:line="276" w:lineRule="auto"/>
        <w:jc w:val="both"/>
      </w:pPr>
      <w:r w:rsidRPr="00A166D4">
        <w:t>Important progress was also recorded in the direction of transforming residential services towards smaller, community-based and individual-centred models, particularly for children without parental care and persons with disabilities. In parallel, the referral and cooperation mechanisms between social service structures, child protection, health, education and employment were improved, contributing to the provision of more integrated support for individuals and families in need.</w:t>
      </w:r>
    </w:p>
    <w:p w14:paraId="00B858E2" w14:textId="77777777" w:rsidR="00CB59F2" w:rsidRPr="00A166D4" w:rsidRDefault="00CB59F2" w:rsidP="00A166D4">
      <w:pPr>
        <w:pStyle w:val="font-claude-response-body"/>
        <w:spacing w:line="276" w:lineRule="auto"/>
        <w:jc w:val="both"/>
      </w:pPr>
      <w:r w:rsidRPr="00A166D4">
        <w:t>Another important development during 2025 was the strengthening of the monitoring and service quality dimension. The use of digitalised systems for information management in the Social Protection Programme increased, improving the traceability of beneficiaries, data reporting and inter-institutional coordination. These developments have created a more solid basis for assessing service performance and for orienting subsequent policies towards more effective and evidence-based interventions.</w:t>
      </w:r>
    </w:p>
    <w:p w14:paraId="3B368DB3" w14:textId="77777777" w:rsidR="00CB59F2" w:rsidRPr="00A166D4" w:rsidRDefault="00CB59F2" w:rsidP="00A166D4">
      <w:pPr>
        <w:pStyle w:val="font-claude-response-body"/>
        <w:spacing w:line="276" w:lineRule="auto"/>
        <w:jc w:val="both"/>
      </w:pPr>
      <w:r w:rsidRPr="00A166D4">
        <w:t>Overall, the first year of the Strategy's implementation served as a phase of consolidation and operationalisation of reforms, placing emphasis on the strengthening of community services, increasing the role of local government and building a more integrated, more accessible and more responsive system to the needs of groups at risk of social exclusion.</w:t>
      </w:r>
    </w:p>
    <w:p w14:paraId="173310C9" w14:textId="39DC1B23" w:rsidR="005F2AC9" w:rsidRPr="00A166D4" w:rsidRDefault="00CB59F2" w:rsidP="00A166D4">
      <w:pPr>
        <w:pStyle w:val="font-claude-response-body"/>
        <w:spacing w:line="276" w:lineRule="auto"/>
        <w:jc w:val="both"/>
        <w:rPr>
          <w:b/>
          <w:bCs/>
        </w:rPr>
      </w:pPr>
      <w:r w:rsidRPr="00A166D4">
        <w:rPr>
          <w:b/>
          <w:bCs/>
        </w:rPr>
        <w:t>VISION: Social protection in an enabling and empowering environment for every individual in need, guaranteeing a dignified standard of living throughout the life cycle.</w:t>
      </w:r>
    </w:p>
    <w:p w14:paraId="3114B90A" w14:textId="1B18CCF9" w:rsidR="005F2AC9" w:rsidRPr="00A166D4" w:rsidRDefault="00CB59F2" w:rsidP="00A166D4">
      <w:pPr>
        <w:pStyle w:val="Heading1"/>
        <w:rPr>
          <w:rFonts w:ascii="Times New Roman" w:hAnsi="Times New Roman" w:cs="Times New Roman"/>
          <w:color w:val="000000" w:themeColor="text1"/>
        </w:rPr>
      </w:pPr>
      <w:bookmarkStart w:id="4" w:name="_Hlk136119358"/>
      <w:bookmarkEnd w:id="4"/>
      <w:r w:rsidRPr="00A166D4">
        <w:rPr>
          <w:rFonts w:ascii="Times New Roman" w:hAnsi="Times New Roman" w:cs="Times New Roman"/>
          <w:b/>
          <w:bCs/>
          <w:color w:val="000000" w:themeColor="text1"/>
          <w:lang w:val="sq-AL"/>
        </w:rPr>
        <w:t xml:space="preserve">POLICY GOAL A: </w:t>
      </w:r>
      <w:r w:rsidRPr="00A166D4">
        <w:rPr>
          <w:rFonts w:ascii="Times New Roman" w:hAnsi="Times New Roman" w:cs="Times New Roman"/>
          <w:color w:val="000000" w:themeColor="text1"/>
          <w:lang w:val="sq-AL"/>
        </w:rPr>
        <w:t>POVERTY ALLEVIATION FOR EVERY INDIVIDUAL IN NEED AND IMPROVEMENT OF LIVING CONDITIONS FOR PERSONS WITH DISABILITIES THROUGH SUPPORT WITH FINANCIAL SCHEMES AND BENEFITS THAT ARE ADEQUATE, GENDER-RESPONSIVE, TRANSPARENT, AND CAPABLE OF COPING WITH RISKS AND CRISES.</w:t>
      </w:r>
    </w:p>
    <w:p w14:paraId="030B84F6" w14:textId="77777777" w:rsidR="005F2AC9" w:rsidRPr="00A166D4" w:rsidRDefault="005F2AC9" w:rsidP="00A166D4">
      <w:pPr>
        <w:spacing w:after="0"/>
        <w:jc w:val="both"/>
        <w:rPr>
          <w:rFonts w:ascii="Times New Roman" w:hAnsi="Times New Roman" w:cs="Times New Roman"/>
          <w:b/>
          <w:color w:val="000000" w:themeColor="text1"/>
          <w:sz w:val="24"/>
          <w:szCs w:val="24"/>
          <w:lang w:val="sq-AL"/>
        </w:rPr>
      </w:pPr>
    </w:p>
    <w:p w14:paraId="6BF87A0D" w14:textId="2D06ED02" w:rsidR="005F2AC9" w:rsidRPr="00A166D4" w:rsidRDefault="00CB59F2" w:rsidP="00A166D4">
      <w:pPr>
        <w:pStyle w:val="Caption"/>
        <w:keepNext/>
        <w:jc w:val="both"/>
        <w:rPr>
          <w:rFonts w:ascii="Times New Roman" w:hAnsi="Times New Roman" w:cs="Times New Roman"/>
          <w:color w:val="000000" w:themeColor="text1"/>
          <w:sz w:val="24"/>
          <w:szCs w:val="24"/>
          <w:lang w:val="it-IT"/>
        </w:rPr>
      </w:pPr>
      <w:r w:rsidRPr="00A166D4">
        <w:rPr>
          <w:rFonts w:ascii="Times New Roman" w:hAnsi="Times New Roman" w:cs="Times New Roman"/>
          <w:color w:val="000000" w:themeColor="text1"/>
          <w:sz w:val="24"/>
          <w:szCs w:val="24"/>
          <w:lang w:val="sq-AL"/>
        </w:rPr>
        <w:t>Status of Indicator Realisation (in number and %) for Policy A</w:t>
      </w:r>
    </w:p>
    <w:tbl>
      <w:tblPr>
        <w:tblW w:w="9250" w:type="dxa"/>
        <w:tblLayout w:type="fixed"/>
        <w:tblLook w:val="0000" w:firstRow="0" w:lastRow="0" w:firstColumn="0" w:lastColumn="0" w:noHBand="0" w:noVBand="0"/>
      </w:tblPr>
      <w:tblGrid>
        <w:gridCol w:w="2884"/>
        <w:gridCol w:w="1468"/>
        <w:gridCol w:w="1481"/>
        <w:gridCol w:w="1469"/>
        <w:gridCol w:w="1948"/>
      </w:tblGrid>
      <w:tr w:rsidR="005F2AC9" w:rsidRPr="00A166D4" w14:paraId="35186CE6" w14:textId="77777777">
        <w:trPr>
          <w:trHeight w:val="300"/>
        </w:trPr>
        <w:tc>
          <w:tcPr>
            <w:tcW w:w="2884" w:type="dxa"/>
            <w:tcBorders>
              <w:top w:val="single" w:sz="8" w:space="0" w:color="000000"/>
              <w:left w:val="single" w:sz="8" w:space="0" w:color="000000"/>
              <w:bottom w:val="single" w:sz="4" w:space="0" w:color="000000"/>
              <w:right w:val="single" w:sz="8" w:space="0" w:color="000000"/>
            </w:tcBorders>
            <w:shd w:val="clear" w:color="auto" w:fill="F7CAAC"/>
          </w:tcPr>
          <w:p w14:paraId="366F36C4" w14:textId="41F5587C" w:rsidR="005F2AC9" w:rsidRPr="00A166D4" w:rsidRDefault="00CB59F2" w:rsidP="00A166D4">
            <w:pPr>
              <w:ind w:hanging="2"/>
              <w:jc w:val="both"/>
              <w:rPr>
                <w:rFonts w:ascii="Times New Roman" w:hAnsi="Times New Roman" w:cs="Times New Roman"/>
                <w:color w:val="000000" w:themeColor="text1"/>
                <w:sz w:val="24"/>
                <w:szCs w:val="24"/>
              </w:rPr>
            </w:pPr>
            <w:r w:rsidRPr="00A166D4">
              <w:rPr>
                <w:rFonts w:ascii="Times New Roman" w:hAnsi="Times New Roman" w:cs="Times New Roman"/>
                <w:b/>
                <w:bCs/>
                <w:color w:val="000000" w:themeColor="text1"/>
                <w:sz w:val="24"/>
                <w:szCs w:val="24"/>
              </w:rPr>
              <w:t>Total Indicators envisaged</w:t>
            </w:r>
          </w:p>
        </w:tc>
        <w:tc>
          <w:tcPr>
            <w:tcW w:w="2949" w:type="dxa"/>
            <w:gridSpan w:val="2"/>
            <w:tcBorders>
              <w:top w:val="single" w:sz="8" w:space="0" w:color="000000"/>
              <w:left w:val="single" w:sz="8" w:space="0" w:color="000000"/>
              <w:bottom w:val="single" w:sz="4" w:space="0" w:color="000000"/>
              <w:right w:val="single" w:sz="8" w:space="0" w:color="000000"/>
            </w:tcBorders>
            <w:shd w:val="clear" w:color="auto" w:fill="C5E0B3"/>
          </w:tcPr>
          <w:p w14:paraId="6060CEC9" w14:textId="555F433B" w:rsidR="005F2AC9" w:rsidRPr="00A166D4" w:rsidRDefault="00CB59F2" w:rsidP="00A166D4">
            <w:pPr>
              <w:ind w:hanging="2"/>
              <w:jc w:val="both"/>
              <w:rPr>
                <w:rFonts w:ascii="Times New Roman" w:hAnsi="Times New Roman" w:cs="Times New Roman"/>
                <w:color w:val="000000" w:themeColor="text1"/>
                <w:sz w:val="24"/>
                <w:szCs w:val="24"/>
              </w:rPr>
            </w:pPr>
            <w:r w:rsidRPr="00A166D4">
              <w:rPr>
                <w:rFonts w:ascii="Times New Roman" w:hAnsi="Times New Roman" w:cs="Times New Roman"/>
                <w:b/>
                <w:bCs/>
                <w:color w:val="000000" w:themeColor="text1"/>
                <w:sz w:val="24"/>
                <w:szCs w:val="24"/>
              </w:rPr>
              <w:t>Indicators reported</w:t>
            </w:r>
          </w:p>
        </w:tc>
        <w:tc>
          <w:tcPr>
            <w:tcW w:w="3417" w:type="dxa"/>
            <w:gridSpan w:val="2"/>
            <w:tcBorders>
              <w:top w:val="single" w:sz="8" w:space="0" w:color="000000"/>
              <w:left w:val="single" w:sz="8" w:space="0" w:color="000000"/>
              <w:bottom w:val="single" w:sz="4" w:space="0" w:color="000000"/>
              <w:right w:val="single" w:sz="8" w:space="0" w:color="000000"/>
            </w:tcBorders>
            <w:shd w:val="clear" w:color="auto" w:fill="C5E0B3"/>
          </w:tcPr>
          <w:p w14:paraId="7CE9EC3A" w14:textId="0BDAEAE9" w:rsidR="005F2AC9" w:rsidRPr="00A166D4" w:rsidRDefault="00CB59F2" w:rsidP="00A166D4">
            <w:pPr>
              <w:ind w:hanging="2"/>
              <w:jc w:val="both"/>
              <w:rPr>
                <w:rFonts w:ascii="Times New Roman" w:hAnsi="Times New Roman" w:cs="Times New Roman"/>
                <w:color w:val="000000" w:themeColor="text1"/>
                <w:sz w:val="24"/>
                <w:szCs w:val="24"/>
              </w:rPr>
            </w:pPr>
            <w:r w:rsidRPr="00A166D4">
              <w:rPr>
                <w:rFonts w:ascii="Times New Roman" w:hAnsi="Times New Roman" w:cs="Times New Roman"/>
                <w:b/>
                <w:bCs/>
                <w:color w:val="000000" w:themeColor="text1"/>
                <w:sz w:val="24"/>
                <w:szCs w:val="24"/>
              </w:rPr>
              <w:t>Indicators realised</w:t>
            </w:r>
          </w:p>
        </w:tc>
      </w:tr>
      <w:tr w:rsidR="005F2AC9" w:rsidRPr="00A166D4" w14:paraId="6AC1591F" w14:textId="77777777">
        <w:trPr>
          <w:trHeight w:val="300"/>
        </w:trPr>
        <w:tc>
          <w:tcPr>
            <w:tcW w:w="2884" w:type="dxa"/>
            <w:tcBorders>
              <w:top w:val="single" w:sz="4" w:space="0" w:color="000000"/>
              <w:left w:val="single" w:sz="8" w:space="0" w:color="000000"/>
              <w:bottom w:val="single" w:sz="8" w:space="0" w:color="000000"/>
              <w:right w:val="single" w:sz="8" w:space="0" w:color="000000"/>
            </w:tcBorders>
            <w:shd w:val="clear" w:color="auto" w:fill="F7CAAC"/>
          </w:tcPr>
          <w:p w14:paraId="051688E7" w14:textId="77777777" w:rsidR="005F2AC9" w:rsidRPr="00A166D4" w:rsidRDefault="00B56839" w:rsidP="00A166D4">
            <w:pPr>
              <w:ind w:hanging="2"/>
              <w:jc w:val="both"/>
              <w:rPr>
                <w:rFonts w:ascii="Times New Roman" w:hAnsi="Times New Roman" w:cs="Times New Roman"/>
                <w:color w:val="000000" w:themeColor="text1"/>
                <w:sz w:val="24"/>
                <w:szCs w:val="24"/>
              </w:rPr>
            </w:pPr>
            <w:r w:rsidRPr="00A166D4">
              <w:rPr>
                <w:rFonts w:ascii="Times New Roman" w:hAnsi="Times New Roman" w:cs="Times New Roman"/>
                <w:color w:val="000000" w:themeColor="text1"/>
                <w:sz w:val="24"/>
                <w:szCs w:val="24"/>
              </w:rPr>
              <w:t>24</w:t>
            </w:r>
          </w:p>
        </w:tc>
        <w:tc>
          <w:tcPr>
            <w:tcW w:w="1468" w:type="dxa"/>
            <w:tcBorders>
              <w:top w:val="single" w:sz="4" w:space="0" w:color="000000"/>
              <w:left w:val="single" w:sz="8" w:space="0" w:color="000000"/>
              <w:bottom w:val="single" w:sz="8" w:space="0" w:color="000000"/>
              <w:right w:val="single" w:sz="8" w:space="0" w:color="000000"/>
            </w:tcBorders>
            <w:shd w:val="clear" w:color="auto" w:fill="C5E0B3"/>
          </w:tcPr>
          <w:p w14:paraId="4C8EB51F" w14:textId="77777777" w:rsidR="005F2AC9" w:rsidRPr="00A166D4" w:rsidRDefault="00B56839" w:rsidP="00A166D4">
            <w:pPr>
              <w:ind w:hanging="2"/>
              <w:jc w:val="both"/>
              <w:rPr>
                <w:rFonts w:ascii="Times New Roman" w:hAnsi="Times New Roman" w:cs="Times New Roman"/>
                <w:color w:val="000000" w:themeColor="text1"/>
                <w:sz w:val="24"/>
                <w:szCs w:val="24"/>
              </w:rPr>
            </w:pPr>
            <w:r w:rsidRPr="00A166D4">
              <w:rPr>
                <w:rFonts w:ascii="Times New Roman" w:hAnsi="Times New Roman" w:cs="Times New Roman"/>
                <w:color w:val="000000" w:themeColor="text1"/>
                <w:sz w:val="24"/>
                <w:szCs w:val="24"/>
              </w:rPr>
              <w:t>21</w:t>
            </w:r>
          </w:p>
        </w:tc>
        <w:tc>
          <w:tcPr>
            <w:tcW w:w="1481" w:type="dxa"/>
            <w:tcBorders>
              <w:top w:val="single" w:sz="4" w:space="0" w:color="000000"/>
              <w:left w:val="single" w:sz="8" w:space="0" w:color="000000"/>
              <w:bottom w:val="single" w:sz="8" w:space="0" w:color="000000"/>
              <w:right w:val="single" w:sz="8" w:space="0" w:color="000000"/>
            </w:tcBorders>
            <w:shd w:val="clear" w:color="auto" w:fill="C5E0B3"/>
          </w:tcPr>
          <w:p w14:paraId="19C750BD" w14:textId="77777777" w:rsidR="005F2AC9" w:rsidRPr="00A166D4" w:rsidRDefault="00B56839" w:rsidP="00A166D4">
            <w:pPr>
              <w:ind w:hanging="2"/>
              <w:jc w:val="both"/>
              <w:rPr>
                <w:rFonts w:ascii="Times New Roman" w:hAnsi="Times New Roman" w:cs="Times New Roman"/>
                <w:color w:val="000000" w:themeColor="text1"/>
                <w:sz w:val="24"/>
                <w:szCs w:val="24"/>
              </w:rPr>
            </w:pPr>
            <w:r w:rsidRPr="00A166D4">
              <w:rPr>
                <w:rFonts w:ascii="Times New Roman" w:hAnsi="Times New Roman" w:cs="Times New Roman"/>
                <w:color w:val="000000" w:themeColor="text1"/>
                <w:sz w:val="24"/>
                <w:szCs w:val="24"/>
              </w:rPr>
              <w:t>87.5%</w:t>
            </w:r>
          </w:p>
        </w:tc>
        <w:tc>
          <w:tcPr>
            <w:tcW w:w="1469" w:type="dxa"/>
            <w:tcBorders>
              <w:top w:val="single" w:sz="4" w:space="0" w:color="000000"/>
              <w:left w:val="single" w:sz="8" w:space="0" w:color="000000"/>
              <w:bottom w:val="single" w:sz="8" w:space="0" w:color="000000"/>
              <w:right w:val="single" w:sz="8" w:space="0" w:color="000000"/>
            </w:tcBorders>
            <w:shd w:val="clear" w:color="auto" w:fill="C5E0B3"/>
          </w:tcPr>
          <w:p w14:paraId="0E711A69" w14:textId="77777777" w:rsidR="005F2AC9" w:rsidRPr="00A166D4" w:rsidRDefault="00B56839" w:rsidP="00A166D4">
            <w:pPr>
              <w:ind w:hanging="2"/>
              <w:jc w:val="both"/>
              <w:rPr>
                <w:rFonts w:ascii="Times New Roman" w:hAnsi="Times New Roman" w:cs="Times New Roman"/>
                <w:color w:val="000000" w:themeColor="text1"/>
                <w:sz w:val="24"/>
                <w:szCs w:val="24"/>
              </w:rPr>
            </w:pPr>
            <w:r w:rsidRPr="00A166D4">
              <w:rPr>
                <w:rFonts w:ascii="Times New Roman" w:hAnsi="Times New Roman" w:cs="Times New Roman"/>
                <w:color w:val="000000" w:themeColor="text1"/>
                <w:sz w:val="24"/>
                <w:szCs w:val="24"/>
              </w:rPr>
              <w:t>21</w:t>
            </w:r>
          </w:p>
        </w:tc>
        <w:tc>
          <w:tcPr>
            <w:tcW w:w="1948" w:type="dxa"/>
            <w:tcBorders>
              <w:top w:val="single" w:sz="4" w:space="0" w:color="000000"/>
              <w:left w:val="single" w:sz="8" w:space="0" w:color="000000"/>
              <w:bottom w:val="single" w:sz="8" w:space="0" w:color="000000"/>
              <w:right w:val="single" w:sz="8" w:space="0" w:color="000000"/>
            </w:tcBorders>
            <w:shd w:val="clear" w:color="auto" w:fill="C5E0B3"/>
          </w:tcPr>
          <w:p w14:paraId="240EE704" w14:textId="77777777" w:rsidR="005F2AC9" w:rsidRPr="00A166D4" w:rsidRDefault="00B56839" w:rsidP="00A166D4">
            <w:pPr>
              <w:tabs>
                <w:tab w:val="left" w:pos="435"/>
                <w:tab w:val="center" w:pos="748"/>
              </w:tabs>
              <w:ind w:hanging="2"/>
              <w:jc w:val="both"/>
              <w:rPr>
                <w:rFonts w:ascii="Times New Roman" w:hAnsi="Times New Roman" w:cs="Times New Roman"/>
                <w:color w:val="000000" w:themeColor="text1"/>
                <w:sz w:val="24"/>
                <w:szCs w:val="24"/>
              </w:rPr>
            </w:pPr>
            <w:r w:rsidRPr="00A166D4">
              <w:rPr>
                <w:rFonts w:ascii="Times New Roman" w:hAnsi="Times New Roman" w:cs="Times New Roman"/>
                <w:color w:val="000000" w:themeColor="text1"/>
                <w:sz w:val="24"/>
                <w:szCs w:val="24"/>
              </w:rPr>
              <w:t>100%</w:t>
            </w:r>
          </w:p>
        </w:tc>
      </w:tr>
    </w:tbl>
    <w:p w14:paraId="1684DDD8" w14:textId="77777777" w:rsidR="005F2AC9" w:rsidRPr="00A166D4" w:rsidRDefault="005F2AC9" w:rsidP="00A166D4">
      <w:pPr>
        <w:spacing w:after="0"/>
        <w:jc w:val="both"/>
        <w:rPr>
          <w:rFonts w:ascii="Times New Roman" w:hAnsi="Times New Roman" w:cs="Times New Roman"/>
          <w:b/>
          <w:bCs/>
          <w:i/>
          <w:iCs/>
          <w:color w:val="000000" w:themeColor="text1"/>
          <w:sz w:val="24"/>
          <w:szCs w:val="24"/>
          <w:u w:val="single"/>
          <w:lang w:val="sq-AL"/>
        </w:rPr>
      </w:pPr>
    </w:p>
    <w:p w14:paraId="55DE0D13" w14:textId="013C7D87" w:rsidR="005F2AC9" w:rsidRDefault="00CB59F2" w:rsidP="00A166D4">
      <w:pPr>
        <w:spacing w:after="0"/>
        <w:jc w:val="both"/>
        <w:rPr>
          <w:rFonts w:ascii="Times New Roman" w:hAnsi="Times New Roman" w:cs="Times New Roman"/>
          <w:b/>
          <w:bCs/>
          <w:i/>
          <w:iCs/>
          <w:color w:val="000000" w:themeColor="text1"/>
          <w:sz w:val="24"/>
          <w:szCs w:val="24"/>
          <w:lang w:val="sq-AL"/>
        </w:rPr>
      </w:pPr>
      <w:bookmarkStart w:id="5" w:name="_Toc156593600"/>
      <w:r w:rsidRPr="00A166D4">
        <w:rPr>
          <w:rFonts w:ascii="Times New Roman" w:hAnsi="Times New Roman" w:cs="Times New Roman"/>
          <w:b/>
          <w:bCs/>
          <w:i/>
          <w:iCs/>
          <w:color w:val="000000" w:themeColor="text1"/>
          <w:sz w:val="24"/>
          <w:szCs w:val="24"/>
          <w:u w:val="single"/>
          <w:lang w:val="sq-AL"/>
        </w:rPr>
        <w:t>Specific/strategic objective A1:</w:t>
      </w:r>
      <w:r w:rsidRPr="00A166D4">
        <w:rPr>
          <w:rFonts w:ascii="Times New Roman" w:hAnsi="Times New Roman" w:cs="Times New Roman"/>
          <w:b/>
          <w:bCs/>
          <w:i/>
          <w:iCs/>
          <w:color w:val="000000" w:themeColor="text1"/>
          <w:sz w:val="24"/>
          <w:szCs w:val="24"/>
          <w:lang w:val="sq-AL"/>
        </w:rPr>
        <w:t xml:space="preserve"> To improve the performance, adaptability and crisis response of financial schemes and benefits for individuals (men, women, boys and girls).</w:t>
      </w:r>
    </w:p>
    <w:p w14:paraId="3F5E936E" w14:textId="77777777" w:rsidR="009F62DF" w:rsidRPr="00A166D4" w:rsidRDefault="009F62DF" w:rsidP="00A166D4">
      <w:pPr>
        <w:spacing w:after="0"/>
        <w:jc w:val="both"/>
        <w:rPr>
          <w:rFonts w:ascii="Times New Roman" w:hAnsi="Times New Roman" w:cs="Times New Roman"/>
          <w:bCs/>
          <w:color w:val="000000" w:themeColor="text1"/>
          <w:sz w:val="24"/>
          <w:szCs w:val="24"/>
          <w:lang w:val="sq-AL"/>
        </w:rPr>
      </w:pPr>
    </w:p>
    <w:p w14:paraId="43E64CB9" w14:textId="77777777" w:rsidR="00CB59F2" w:rsidRPr="00A166D4" w:rsidRDefault="00CB59F2" w:rsidP="00A166D4">
      <w:pPr>
        <w:spacing w:after="0"/>
        <w:jc w:val="both"/>
        <w:rPr>
          <w:rFonts w:ascii="Times New Roman" w:hAnsi="Times New Roman" w:cs="Times New Roman"/>
          <w:color w:val="000000" w:themeColor="text1"/>
          <w:sz w:val="24"/>
          <w:szCs w:val="24"/>
          <w:lang w:eastAsia="fr-FR"/>
        </w:rPr>
      </w:pPr>
      <w:r w:rsidRPr="00A166D4">
        <w:rPr>
          <w:rFonts w:ascii="Times New Roman" w:hAnsi="Times New Roman" w:cs="Times New Roman"/>
          <w:color w:val="000000" w:themeColor="text1"/>
          <w:sz w:val="24"/>
          <w:szCs w:val="24"/>
          <w:lang w:eastAsia="fr-FR"/>
        </w:rPr>
        <w:t>This specific objective aims to be achieved through the following priority measures:</w:t>
      </w:r>
    </w:p>
    <w:p w14:paraId="751A2DD8" w14:textId="77777777" w:rsidR="00CB59F2" w:rsidRPr="00A166D4" w:rsidRDefault="00CB59F2" w:rsidP="00A166D4">
      <w:pPr>
        <w:spacing w:after="0"/>
        <w:jc w:val="both"/>
        <w:rPr>
          <w:rFonts w:ascii="Times New Roman" w:hAnsi="Times New Roman" w:cs="Times New Roman"/>
          <w:color w:val="000000" w:themeColor="text1"/>
          <w:sz w:val="24"/>
          <w:szCs w:val="24"/>
          <w:lang w:eastAsia="fr-FR"/>
        </w:rPr>
      </w:pPr>
      <w:r w:rsidRPr="00A166D4">
        <w:rPr>
          <w:rFonts w:ascii="Times New Roman" w:hAnsi="Times New Roman" w:cs="Times New Roman"/>
          <w:color w:val="000000" w:themeColor="text1"/>
          <w:sz w:val="24"/>
          <w:szCs w:val="24"/>
          <w:lang w:eastAsia="fr-FR"/>
        </w:rPr>
        <w:t>A.1.1 Improving the performance, transparency and good administration at all levels of the economic assistance scheme and other benefits to ensure effective and gender-sensitive fulfilment of the needs of every individual.</w:t>
      </w:r>
    </w:p>
    <w:p w14:paraId="085DB31B" w14:textId="77777777" w:rsidR="00CB59F2" w:rsidRPr="00A166D4" w:rsidRDefault="00CB59F2" w:rsidP="00A166D4">
      <w:pPr>
        <w:spacing w:after="0"/>
        <w:jc w:val="both"/>
        <w:rPr>
          <w:rFonts w:ascii="Times New Roman" w:hAnsi="Times New Roman" w:cs="Times New Roman"/>
          <w:color w:val="000000" w:themeColor="text1"/>
          <w:sz w:val="24"/>
          <w:szCs w:val="24"/>
          <w:lang w:eastAsia="fr-FR"/>
        </w:rPr>
      </w:pPr>
      <w:r w:rsidRPr="00A166D4">
        <w:rPr>
          <w:rFonts w:ascii="Times New Roman" w:hAnsi="Times New Roman" w:cs="Times New Roman"/>
          <w:color w:val="000000" w:themeColor="text1"/>
          <w:sz w:val="24"/>
          <w:szCs w:val="24"/>
          <w:lang w:eastAsia="fr-FR"/>
        </w:rPr>
        <w:t>A.1.2 Improving the socio-economic reintegration of individuals, men and women, who are part of the economic assistance scheme, through linkage with employment and the promotion of social enterprises.</w:t>
      </w:r>
    </w:p>
    <w:p w14:paraId="12013CE4" w14:textId="0823E114" w:rsidR="005F2AC9" w:rsidRPr="00A166D4" w:rsidRDefault="00CB59F2" w:rsidP="00A166D4">
      <w:pPr>
        <w:spacing w:after="0"/>
        <w:jc w:val="both"/>
        <w:rPr>
          <w:rFonts w:ascii="Times New Roman" w:hAnsi="Times New Roman" w:cs="Times New Roman"/>
          <w:bCs/>
          <w:color w:val="000000" w:themeColor="text1"/>
          <w:sz w:val="24"/>
          <w:szCs w:val="24"/>
        </w:rPr>
      </w:pPr>
      <w:r w:rsidRPr="00A166D4">
        <w:rPr>
          <w:rFonts w:ascii="Times New Roman" w:hAnsi="Times New Roman" w:cs="Times New Roman"/>
          <w:color w:val="000000" w:themeColor="text1"/>
          <w:sz w:val="24"/>
          <w:szCs w:val="24"/>
          <w:lang w:eastAsia="fr-FR"/>
        </w:rPr>
        <w:t>A.1.3 Improving the capacity of the economic assistance programme and financial benefits to respond in a timely manner to the vulnerabilities of crisis and emergency situations</w:t>
      </w:r>
      <w:r w:rsidR="00B56839" w:rsidRPr="00A166D4">
        <w:rPr>
          <w:rFonts w:ascii="Times New Roman" w:hAnsi="Times New Roman" w:cs="Times New Roman"/>
          <w:bCs/>
          <w:color w:val="000000" w:themeColor="text1"/>
          <w:sz w:val="24"/>
          <w:szCs w:val="24"/>
        </w:rPr>
        <w:t>.</w:t>
      </w:r>
    </w:p>
    <w:p w14:paraId="26110E1A" w14:textId="77777777" w:rsidR="00CB59F2" w:rsidRPr="009F62DF" w:rsidRDefault="00CB59F2" w:rsidP="009F62DF">
      <w:pPr>
        <w:pStyle w:val="font-claude-response-body"/>
        <w:spacing w:line="276" w:lineRule="auto"/>
        <w:jc w:val="center"/>
        <w:rPr>
          <w:b/>
          <w:bCs/>
        </w:rPr>
      </w:pPr>
      <w:r w:rsidRPr="009F62DF">
        <w:rPr>
          <w:b/>
          <w:bCs/>
        </w:rPr>
        <w:t>Table: Passport Indicators for Specific Objective A.1</w:t>
      </w:r>
    </w:p>
    <w:p w14:paraId="42990A03" w14:textId="77777777" w:rsidR="005F2AC9" w:rsidRPr="00A166D4" w:rsidRDefault="005F2AC9" w:rsidP="00A166D4">
      <w:pPr>
        <w:spacing w:after="0"/>
        <w:contextualSpacing/>
        <w:jc w:val="both"/>
        <w:rPr>
          <w:rFonts w:ascii="Times New Roman" w:eastAsia="Times New Roman" w:hAnsi="Times New Roman" w:cs="Times New Roman"/>
          <w:b/>
          <w:bCs/>
          <w:color w:val="000000" w:themeColor="text1"/>
          <w:sz w:val="24"/>
          <w:szCs w:val="24"/>
        </w:rPr>
      </w:pPr>
    </w:p>
    <w:tbl>
      <w:tblPr>
        <w:tblStyle w:val="TableGrid"/>
        <w:tblW w:w="9119" w:type="dxa"/>
        <w:tblInd w:w="135" w:type="dxa"/>
        <w:tblLayout w:type="fixed"/>
        <w:tblLook w:val="04A0" w:firstRow="1" w:lastRow="0" w:firstColumn="1" w:lastColumn="0" w:noHBand="0" w:noVBand="1"/>
      </w:tblPr>
      <w:tblGrid>
        <w:gridCol w:w="954"/>
        <w:gridCol w:w="1481"/>
        <w:gridCol w:w="1568"/>
        <w:gridCol w:w="925"/>
        <w:gridCol w:w="946"/>
        <w:gridCol w:w="927"/>
        <w:gridCol w:w="1218"/>
        <w:gridCol w:w="1100"/>
      </w:tblGrid>
      <w:tr w:rsidR="005F2AC9" w:rsidRPr="00A166D4" w14:paraId="04F8B64E" w14:textId="77777777">
        <w:trPr>
          <w:trHeight w:val="1980"/>
        </w:trPr>
        <w:tc>
          <w:tcPr>
            <w:tcW w:w="953" w:type="dxa"/>
            <w:tcBorders>
              <w:top w:val="single" w:sz="6" w:space="0" w:color="000000"/>
              <w:left w:val="single" w:sz="6" w:space="0" w:color="000000"/>
              <w:bottom w:val="single" w:sz="6" w:space="0" w:color="000000"/>
              <w:right w:val="single" w:sz="6" w:space="0" w:color="000000"/>
            </w:tcBorders>
            <w:shd w:val="clear" w:color="auto" w:fill="DAE8F8"/>
            <w:vAlign w:val="center"/>
          </w:tcPr>
          <w:p w14:paraId="0421FE25" w14:textId="77777777" w:rsidR="005F2AC9" w:rsidRPr="00A166D4" w:rsidRDefault="005F2AC9" w:rsidP="00A166D4">
            <w:pPr>
              <w:spacing w:before="0" w:after="0"/>
              <w:jc w:val="both"/>
              <w:rPr>
                <w:rFonts w:ascii="Times New Roman" w:eastAsia="Times New Roman" w:hAnsi="Times New Roman" w:cs="Times New Roman"/>
                <w:b/>
                <w:bCs/>
                <w:color w:val="000000" w:themeColor="text1"/>
                <w:sz w:val="24"/>
                <w:szCs w:val="24"/>
              </w:rPr>
            </w:pPr>
          </w:p>
        </w:tc>
        <w:tc>
          <w:tcPr>
            <w:tcW w:w="1481" w:type="dxa"/>
            <w:tcBorders>
              <w:top w:val="single" w:sz="6" w:space="0" w:color="000000"/>
              <w:left w:val="single" w:sz="6" w:space="0" w:color="000000"/>
              <w:bottom w:val="single" w:sz="6" w:space="0" w:color="000000"/>
              <w:right w:val="single" w:sz="6" w:space="0" w:color="000000"/>
            </w:tcBorders>
            <w:shd w:val="clear" w:color="auto" w:fill="DAE8F8"/>
          </w:tcPr>
          <w:p w14:paraId="271F77E2" w14:textId="179F1ACC" w:rsidR="005F2AC9" w:rsidRPr="00A166D4" w:rsidRDefault="00CB59F2"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b/>
                <w:bCs/>
                <w:color w:val="000000" w:themeColor="text1"/>
                <w:sz w:val="24"/>
                <w:szCs w:val="24"/>
              </w:rPr>
              <w:t>Objectives</w:t>
            </w:r>
          </w:p>
        </w:tc>
        <w:tc>
          <w:tcPr>
            <w:tcW w:w="1568" w:type="dxa"/>
            <w:tcBorders>
              <w:top w:val="single" w:sz="6" w:space="0" w:color="000000"/>
              <w:left w:val="single" w:sz="6" w:space="0" w:color="000000"/>
              <w:bottom w:val="single" w:sz="6" w:space="0" w:color="000000"/>
              <w:right w:val="single" w:sz="6" w:space="0" w:color="000000"/>
            </w:tcBorders>
            <w:shd w:val="clear" w:color="auto" w:fill="DAE8F8"/>
          </w:tcPr>
          <w:p w14:paraId="7D46D38B" w14:textId="39BB58C0" w:rsidR="005F2AC9" w:rsidRPr="00A166D4" w:rsidRDefault="00CB59F2"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b/>
                <w:bCs/>
                <w:color w:val="000000" w:themeColor="text1"/>
                <w:sz w:val="24"/>
                <w:szCs w:val="24"/>
              </w:rPr>
              <w:t>Indicator</w:t>
            </w:r>
          </w:p>
        </w:tc>
        <w:tc>
          <w:tcPr>
            <w:tcW w:w="925" w:type="dxa"/>
            <w:tcBorders>
              <w:top w:val="single" w:sz="6" w:space="0" w:color="000000"/>
              <w:left w:val="single" w:sz="6" w:space="0" w:color="000000"/>
              <w:bottom w:val="single" w:sz="6" w:space="0" w:color="000000"/>
              <w:right w:val="single" w:sz="6" w:space="0" w:color="000000"/>
            </w:tcBorders>
            <w:shd w:val="clear" w:color="auto" w:fill="DAE8F8"/>
          </w:tcPr>
          <w:p w14:paraId="212E6F6A" w14:textId="2BA29FA8" w:rsidR="005F2AC9" w:rsidRPr="00A166D4" w:rsidRDefault="00CB59F2"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b/>
                <w:bCs/>
                <w:color w:val="000000" w:themeColor="text1"/>
                <w:sz w:val="24"/>
                <w:szCs w:val="24"/>
              </w:rPr>
              <w:t>Baseline value</w:t>
            </w:r>
          </w:p>
        </w:tc>
        <w:tc>
          <w:tcPr>
            <w:tcW w:w="946" w:type="dxa"/>
            <w:tcBorders>
              <w:top w:val="single" w:sz="6" w:space="0" w:color="000000"/>
              <w:left w:val="single" w:sz="6" w:space="0" w:color="000000"/>
              <w:bottom w:val="single" w:sz="6" w:space="0" w:color="000000"/>
              <w:right w:val="single" w:sz="6" w:space="0" w:color="000000"/>
            </w:tcBorders>
            <w:shd w:val="clear" w:color="auto" w:fill="DAE8F8"/>
          </w:tcPr>
          <w:p w14:paraId="591ADD38" w14:textId="4896313E" w:rsidR="005F2AC9" w:rsidRPr="00A166D4" w:rsidRDefault="00CB59F2"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b/>
                <w:bCs/>
                <w:color w:val="000000" w:themeColor="text1"/>
                <w:sz w:val="24"/>
                <w:szCs w:val="24"/>
                <w:lang w:val="sq-AL"/>
              </w:rPr>
              <w:t>Year 2025</w:t>
            </w:r>
          </w:p>
        </w:tc>
        <w:tc>
          <w:tcPr>
            <w:tcW w:w="927" w:type="dxa"/>
            <w:tcBorders>
              <w:top w:val="single" w:sz="6" w:space="0" w:color="000000"/>
              <w:left w:val="single" w:sz="6" w:space="0" w:color="000000"/>
              <w:bottom w:val="single" w:sz="6" w:space="0" w:color="000000"/>
              <w:right w:val="single" w:sz="6" w:space="0" w:color="000000"/>
            </w:tcBorders>
            <w:shd w:val="clear" w:color="auto" w:fill="DAE8F8"/>
          </w:tcPr>
          <w:p w14:paraId="76A586BB" w14:textId="1DC6C2B5" w:rsidR="005F2AC9" w:rsidRPr="00A166D4" w:rsidRDefault="00CB59F2"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b/>
                <w:bCs/>
                <w:color w:val="000000" w:themeColor="text1"/>
                <w:sz w:val="24"/>
                <w:szCs w:val="24"/>
              </w:rPr>
              <w:t>Target 2030</w:t>
            </w:r>
          </w:p>
        </w:tc>
        <w:tc>
          <w:tcPr>
            <w:tcW w:w="1218" w:type="dxa"/>
            <w:tcBorders>
              <w:top w:val="single" w:sz="6" w:space="0" w:color="000000"/>
              <w:left w:val="single" w:sz="6" w:space="0" w:color="000000"/>
              <w:bottom w:val="single" w:sz="6" w:space="0" w:color="000000"/>
              <w:right w:val="single" w:sz="6" w:space="0" w:color="000000"/>
            </w:tcBorders>
            <w:shd w:val="clear" w:color="auto" w:fill="DAE8F8"/>
          </w:tcPr>
          <w:p w14:paraId="472EA886" w14:textId="5D20C344" w:rsidR="005F2AC9" w:rsidRPr="00A166D4" w:rsidRDefault="00CB59F2"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b/>
                <w:bCs/>
                <w:color w:val="000000" w:themeColor="text1"/>
                <w:sz w:val="24"/>
                <w:szCs w:val="24"/>
                <w:lang w:val="it-IT"/>
              </w:rPr>
              <w:t>Sources and means of verification</w:t>
            </w:r>
          </w:p>
        </w:tc>
        <w:tc>
          <w:tcPr>
            <w:tcW w:w="1100" w:type="dxa"/>
            <w:tcBorders>
              <w:top w:val="single" w:sz="6" w:space="0" w:color="000000"/>
              <w:left w:val="single" w:sz="6" w:space="0" w:color="000000"/>
              <w:bottom w:val="single" w:sz="6" w:space="0" w:color="000000"/>
              <w:right w:val="single" w:sz="6" w:space="0" w:color="000000"/>
            </w:tcBorders>
            <w:shd w:val="clear" w:color="auto" w:fill="DAE8F8"/>
          </w:tcPr>
          <w:p w14:paraId="6403E86E" w14:textId="0D490AEA" w:rsidR="005F2AC9" w:rsidRPr="00A166D4" w:rsidRDefault="00CB59F2"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b/>
                <w:bCs/>
                <w:color w:val="000000" w:themeColor="text1"/>
                <w:sz w:val="24"/>
                <w:szCs w:val="24"/>
              </w:rPr>
              <w:t>Reference in other documents</w:t>
            </w:r>
          </w:p>
        </w:tc>
      </w:tr>
      <w:tr w:rsidR="005F2AC9" w:rsidRPr="00A166D4" w14:paraId="134B6209" w14:textId="77777777" w:rsidTr="00F82ABB">
        <w:trPr>
          <w:trHeight w:val="2325"/>
        </w:trPr>
        <w:tc>
          <w:tcPr>
            <w:tcW w:w="953" w:type="dxa"/>
            <w:tcBorders>
              <w:top w:val="single" w:sz="6" w:space="0" w:color="000000"/>
              <w:left w:val="single" w:sz="6" w:space="0" w:color="000000"/>
              <w:bottom w:val="single" w:sz="6" w:space="0" w:color="000000"/>
              <w:right w:val="single" w:sz="6" w:space="0" w:color="000000"/>
            </w:tcBorders>
            <w:shd w:val="clear" w:color="auto" w:fill="E2EFD9"/>
            <w:vAlign w:val="center"/>
          </w:tcPr>
          <w:p w14:paraId="547688DB" w14:textId="62C49101" w:rsidR="005F2AC9" w:rsidRPr="00A166D4" w:rsidRDefault="00CB59F2"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b/>
                <w:bCs/>
                <w:color w:val="000000" w:themeColor="text1"/>
                <w:sz w:val="24"/>
                <w:szCs w:val="24"/>
              </w:rPr>
              <w:t>Policy goal (Impact)</w:t>
            </w:r>
          </w:p>
        </w:tc>
        <w:tc>
          <w:tcPr>
            <w:tcW w:w="1481" w:type="dxa"/>
            <w:tcBorders>
              <w:top w:val="single" w:sz="6" w:space="0" w:color="000000"/>
              <w:left w:val="single" w:sz="6" w:space="0" w:color="000000"/>
              <w:bottom w:val="single" w:sz="6" w:space="0" w:color="000000"/>
              <w:right w:val="single" w:sz="6" w:space="0" w:color="000000"/>
            </w:tcBorders>
            <w:shd w:val="clear" w:color="auto" w:fill="E2EFD9"/>
          </w:tcPr>
          <w:p w14:paraId="065DB7BA" w14:textId="7B2A94CD" w:rsidR="005F2AC9" w:rsidRPr="00A166D4" w:rsidRDefault="00CB59F2"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b/>
                <w:bCs/>
                <w:color w:val="000000" w:themeColor="text1"/>
                <w:sz w:val="24"/>
                <w:szCs w:val="24"/>
              </w:rPr>
              <w:t xml:space="preserve">Policy Goal A: </w:t>
            </w:r>
            <w:r w:rsidRPr="00A166D4">
              <w:rPr>
                <w:rFonts w:ascii="Times New Roman" w:eastAsia="Times New Roman" w:hAnsi="Times New Roman" w:cs="Times New Roman"/>
                <w:color w:val="000000" w:themeColor="text1"/>
                <w:sz w:val="24"/>
                <w:szCs w:val="24"/>
              </w:rPr>
              <w:t>Poverty alleviation for every individual in need and improvement of living conditions for Persons with Disabilities through support with financial schemes and benefits that are adequate, gender-responsive, transparent, and capable of coping with risks and crises</w:t>
            </w:r>
          </w:p>
        </w:tc>
        <w:tc>
          <w:tcPr>
            <w:tcW w:w="1568" w:type="dxa"/>
            <w:tcBorders>
              <w:top w:val="single" w:sz="6" w:space="0" w:color="000000"/>
              <w:left w:val="single" w:sz="6" w:space="0" w:color="000000"/>
              <w:bottom w:val="single" w:sz="6" w:space="0" w:color="000000"/>
              <w:right w:val="single" w:sz="6" w:space="0" w:color="000000"/>
            </w:tcBorders>
            <w:shd w:val="clear" w:color="auto" w:fill="E2EFD9"/>
          </w:tcPr>
          <w:p w14:paraId="375373C6" w14:textId="0D5AB2CF" w:rsidR="005F2AC9" w:rsidRPr="00A166D4" w:rsidRDefault="00CB59F2" w:rsidP="00A166D4">
            <w:pPr>
              <w:spacing w:before="0" w:after="0"/>
              <w:ind w:right="45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At-risk-of-poverty rate, by gender</w:t>
            </w:r>
            <w:r w:rsidR="00B56839" w:rsidRPr="00A166D4">
              <w:rPr>
                <w:rFonts w:ascii="Times New Roman" w:eastAsia="Times New Roman" w:hAnsi="Times New Roman" w:cs="Times New Roman"/>
                <w:color w:val="000000" w:themeColor="text1"/>
                <w:sz w:val="24"/>
                <w:szCs w:val="24"/>
              </w:rPr>
              <w:t xml:space="preserve"> </w:t>
            </w:r>
          </w:p>
          <w:p w14:paraId="178D441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2179823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D86493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3B44BE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26D1A7B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41C623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FF1859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251D2D11"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7755ABDE"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781323C5" w14:textId="6B56ADC7"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Children (0–17 years) at risk of poverty, by gender</w:t>
            </w:r>
            <w:r w:rsidR="00B56839" w:rsidRPr="00A166D4">
              <w:rPr>
                <w:rFonts w:ascii="Times New Roman" w:eastAsia="Times New Roman" w:hAnsi="Times New Roman" w:cs="Times New Roman"/>
                <w:color w:val="000000" w:themeColor="text1"/>
                <w:sz w:val="24"/>
                <w:szCs w:val="24"/>
              </w:rPr>
              <w:t xml:space="preserve"> </w:t>
            </w:r>
          </w:p>
          <w:p w14:paraId="115021B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A2A721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96721C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tc>
        <w:tc>
          <w:tcPr>
            <w:tcW w:w="925" w:type="dxa"/>
            <w:tcBorders>
              <w:top w:val="single" w:sz="6" w:space="0" w:color="000000"/>
              <w:left w:val="single" w:sz="6" w:space="0" w:color="000000"/>
              <w:bottom w:val="single" w:sz="6" w:space="0" w:color="000000"/>
              <w:right w:val="single" w:sz="6" w:space="0" w:color="000000"/>
            </w:tcBorders>
            <w:shd w:val="clear" w:color="auto" w:fill="E2EFD9"/>
          </w:tcPr>
          <w:p w14:paraId="193838E6" w14:textId="475300C5" w:rsidR="005F2AC9" w:rsidRPr="00A166D4" w:rsidRDefault="00CB59F2"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22% (2021) 22.5% (female) 21.5% (male)</w:t>
            </w:r>
            <w:r w:rsidR="00B56839" w:rsidRPr="00A166D4">
              <w:rPr>
                <w:rFonts w:ascii="Times New Roman" w:eastAsia="Times New Roman" w:hAnsi="Times New Roman" w:cs="Times New Roman"/>
                <w:color w:val="000000" w:themeColor="text1"/>
                <w:sz w:val="24"/>
                <w:szCs w:val="24"/>
              </w:rPr>
              <w:t xml:space="preserve"> </w:t>
            </w:r>
          </w:p>
          <w:p w14:paraId="1CEB958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4D49BA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B63812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35E6CD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8824C6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9B8B17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D7C79E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B8E9155" w14:textId="51425019"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28.5% (2021) 30.2% (female) 26.8% (male)</w:t>
            </w:r>
            <w:r w:rsidR="00B56839" w:rsidRPr="00A166D4">
              <w:rPr>
                <w:rFonts w:ascii="Times New Roman" w:eastAsia="Times New Roman" w:hAnsi="Times New Roman" w:cs="Times New Roman"/>
                <w:color w:val="000000" w:themeColor="text1"/>
                <w:sz w:val="24"/>
                <w:szCs w:val="24"/>
              </w:rPr>
              <w:t xml:space="preserve"> </w:t>
            </w:r>
          </w:p>
          <w:p w14:paraId="376A397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12AED3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6DBE55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CF9626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tc>
        <w:tc>
          <w:tcPr>
            <w:tcW w:w="946" w:type="dxa"/>
            <w:tcBorders>
              <w:top w:val="single" w:sz="6" w:space="0" w:color="000000"/>
              <w:left w:val="single" w:sz="6" w:space="0" w:color="000000"/>
              <w:bottom w:val="single" w:sz="6" w:space="0" w:color="000000"/>
              <w:right w:val="single" w:sz="6" w:space="0" w:color="000000"/>
            </w:tcBorders>
            <w:shd w:val="clear" w:color="auto" w:fill="E2EFD9"/>
          </w:tcPr>
          <w:p w14:paraId="60F7CB92" w14:textId="77777777" w:rsidR="00CB59F2" w:rsidRPr="00A166D4" w:rsidRDefault="00CB59F2"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19.2% (SILC 2024) 19.5% (female) 18.9% (male)</w:t>
            </w:r>
          </w:p>
          <w:p w14:paraId="51C5E80F" w14:textId="4A4C020F"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064584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49C351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7ACEF1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05D59B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DD6081E"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466495F0" w14:textId="2CAF582A" w:rsidR="005F2AC9" w:rsidRPr="00A166D4" w:rsidRDefault="00F82ABB"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26.6% (SILC 2024) 26.8% female 26.4% male</w:t>
            </w:r>
          </w:p>
        </w:tc>
        <w:tc>
          <w:tcPr>
            <w:tcW w:w="927" w:type="dxa"/>
            <w:tcBorders>
              <w:top w:val="single" w:sz="6" w:space="0" w:color="000000"/>
              <w:left w:val="single" w:sz="6" w:space="0" w:color="000000"/>
              <w:bottom w:val="single" w:sz="6" w:space="0" w:color="000000"/>
              <w:right w:val="single" w:sz="6" w:space="0" w:color="000000"/>
            </w:tcBorders>
            <w:shd w:val="clear" w:color="auto" w:fill="E2EFD9"/>
          </w:tcPr>
          <w:p w14:paraId="6C70AC39" w14:textId="0B6CE410"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20,8</w:t>
            </w:r>
          </w:p>
          <w:p w14:paraId="398BECC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806B79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4BE62B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6DDE32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960B68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2E47EF1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8AC94E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2FD967A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26AC75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56F162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2C10091E"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298E6FA9"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3BF754A4"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61B08D35" w14:textId="585E7D3C"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27,3</w:t>
            </w:r>
          </w:p>
        </w:tc>
        <w:tc>
          <w:tcPr>
            <w:tcW w:w="1218" w:type="dxa"/>
            <w:tcBorders>
              <w:top w:val="single" w:sz="6" w:space="0" w:color="000000"/>
              <w:left w:val="single" w:sz="6" w:space="0" w:color="000000"/>
              <w:bottom w:val="single" w:sz="6" w:space="0" w:color="000000"/>
              <w:right w:val="single" w:sz="6" w:space="0" w:color="000000"/>
            </w:tcBorders>
            <w:shd w:val="clear" w:color="auto" w:fill="E2EFD9"/>
          </w:tcPr>
          <w:p w14:paraId="5CF77FC4"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INSTAT – Survey on Income and Living Conditions, publication – 2021</w:t>
            </w:r>
          </w:p>
          <w:p w14:paraId="3A4671C0"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rPr>
            </w:pPr>
          </w:p>
          <w:p w14:paraId="4B4BE6C8" w14:textId="1DED78F8"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9E158B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514C74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52FB102" w14:textId="1A76FC5C"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r w:rsidR="00F82ABB" w:rsidRPr="00A166D4">
              <w:rPr>
                <w:rFonts w:ascii="Times New Roman" w:eastAsia="Times New Roman" w:hAnsi="Times New Roman" w:cs="Times New Roman"/>
                <w:color w:val="000000" w:themeColor="text1"/>
                <w:sz w:val="24"/>
                <w:szCs w:val="24"/>
              </w:rPr>
              <w:t>INSTAT – Survey on Income and Living Conditions, publication 2021 SSS / administrative data</w:t>
            </w:r>
            <w:r w:rsidRPr="00A166D4">
              <w:rPr>
                <w:rFonts w:ascii="Times New Roman" w:eastAsia="Times New Roman" w:hAnsi="Times New Roman" w:cs="Times New Roman"/>
                <w:color w:val="000000" w:themeColor="text1"/>
                <w:sz w:val="24"/>
                <w:szCs w:val="24"/>
              </w:rPr>
              <w:t xml:space="preserve"> </w:t>
            </w:r>
          </w:p>
          <w:p w14:paraId="61A6604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6C99496" w14:textId="7831F6C3" w:rsidR="005F2AC9" w:rsidRPr="00A166D4" w:rsidRDefault="005F2AC9" w:rsidP="00A166D4">
            <w:pPr>
              <w:spacing w:before="0" w:after="0"/>
              <w:jc w:val="both"/>
              <w:rPr>
                <w:rFonts w:ascii="Times New Roman" w:hAnsi="Times New Roman" w:cs="Times New Roman"/>
                <w:color w:val="000000" w:themeColor="text1"/>
                <w:sz w:val="24"/>
                <w:szCs w:val="24"/>
              </w:rPr>
            </w:pPr>
          </w:p>
        </w:tc>
        <w:tc>
          <w:tcPr>
            <w:tcW w:w="1100" w:type="dxa"/>
            <w:tcBorders>
              <w:top w:val="single" w:sz="6" w:space="0" w:color="000000"/>
              <w:left w:val="single" w:sz="6" w:space="0" w:color="000000"/>
              <w:bottom w:val="single" w:sz="6" w:space="0" w:color="000000"/>
              <w:right w:val="single" w:sz="6" w:space="0" w:color="000000"/>
            </w:tcBorders>
            <w:shd w:val="clear" w:color="auto" w:fill="E2EFD9"/>
          </w:tcPr>
          <w:p w14:paraId="564EB723"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EU SILC Indicator Passport IPA 2019 SDG – 1.2.1</w:t>
            </w:r>
          </w:p>
          <w:p w14:paraId="0AE2981D"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CH"/>
              </w:rPr>
            </w:pPr>
          </w:p>
          <w:p w14:paraId="376CCA26"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CH"/>
              </w:rPr>
            </w:pPr>
          </w:p>
          <w:p w14:paraId="3038434A" w14:textId="31F24C7B"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CH"/>
              </w:rPr>
              <w:t xml:space="preserve"> </w:t>
            </w:r>
          </w:p>
          <w:p w14:paraId="797A39C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CH"/>
              </w:rPr>
              <w:t xml:space="preserve"> </w:t>
            </w:r>
          </w:p>
          <w:p w14:paraId="6107ADE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CH"/>
              </w:rPr>
              <w:t xml:space="preserve"> </w:t>
            </w:r>
          </w:p>
          <w:p w14:paraId="7EA8827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CH"/>
              </w:rPr>
              <w:t xml:space="preserve"> </w:t>
            </w:r>
          </w:p>
          <w:p w14:paraId="1329DEB0"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 xml:space="preserve">EU SILC / Indicator Passport IPA 2019 SDG 1.2.1 5.4.1, 5.C1 </w:t>
            </w:r>
          </w:p>
          <w:p w14:paraId="5D2ABA90"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CH"/>
              </w:rPr>
            </w:pPr>
          </w:p>
          <w:p w14:paraId="0FA91196"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CH"/>
              </w:rPr>
            </w:pPr>
          </w:p>
          <w:p w14:paraId="2D3632E6" w14:textId="4B4420BF"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CH"/>
              </w:rPr>
              <w:t>World Bank</w:t>
            </w:r>
            <w:r w:rsidR="00B56839" w:rsidRPr="00A166D4">
              <w:rPr>
                <w:rFonts w:ascii="Times New Roman" w:eastAsia="Times New Roman" w:hAnsi="Times New Roman" w:cs="Times New Roman"/>
                <w:color w:val="000000" w:themeColor="text1"/>
                <w:sz w:val="24"/>
                <w:szCs w:val="24"/>
              </w:rPr>
              <w:t xml:space="preserve"> </w:t>
            </w:r>
          </w:p>
        </w:tc>
      </w:tr>
      <w:tr w:rsidR="005F2AC9" w:rsidRPr="00A166D4" w14:paraId="03A02C9B" w14:textId="77777777">
        <w:trPr>
          <w:trHeight w:val="300"/>
        </w:trPr>
        <w:tc>
          <w:tcPr>
            <w:tcW w:w="953" w:type="dxa"/>
            <w:tcBorders>
              <w:top w:val="single" w:sz="6" w:space="0" w:color="000000"/>
              <w:left w:val="single" w:sz="6" w:space="0" w:color="000000"/>
              <w:bottom w:val="single" w:sz="6" w:space="0" w:color="000000"/>
              <w:right w:val="single" w:sz="6" w:space="0" w:color="000000"/>
            </w:tcBorders>
            <w:shd w:val="clear" w:color="auto" w:fill="FFF2CC"/>
            <w:vAlign w:val="center"/>
          </w:tcPr>
          <w:p w14:paraId="4DFC9F24" w14:textId="57A82E2D" w:rsidR="005F2AC9" w:rsidRPr="00A166D4" w:rsidRDefault="00F82ABB" w:rsidP="00A166D4">
            <w:pPr>
              <w:spacing w:before="0" w:after="0"/>
              <w:jc w:val="both"/>
              <w:rPr>
                <w:rFonts w:ascii="Times New Roman" w:eastAsia="Times New Roman" w:hAnsi="Times New Roman" w:cs="Times New Roman"/>
                <w:b/>
                <w:bCs/>
                <w:color w:val="000000" w:themeColor="text1"/>
                <w:sz w:val="24"/>
                <w:szCs w:val="24"/>
                <w:lang w:val="sq-AL"/>
              </w:rPr>
            </w:pPr>
            <w:r w:rsidRPr="00A166D4">
              <w:rPr>
                <w:rFonts w:ascii="Times New Roman" w:eastAsia="Times New Roman" w:hAnsi="Times New Roman" w:cs="Times New Roman"/>
                <w:b/>
                <w:bCs/>
                <w:color w:val="000000" w:themeColor="text1"/>
                <w:sz w:val="24"/>
                <w:szCs w:val="24"/>
                <w:lang w:val="sq-AL"/>
              </w:rPr>
              <w:t>Specific/strategic objective</w:t>
            </w:r>
          </w:p>
        </w:tc>
        <w:tc>
          <w:tcPr>
            <w:tcW w:w="1481" w:type="dxa"/>
            <w:tcBorders>
              <w:top w:val="single" w:sz="6" w:space="0" w:color="000000"/>
              <w:left w:val="single" w:sz="6" w:space="0" w:color="000000"/>
              <w:bottom w:val="single" w:sz="6" w:space="0" w:color="000000"/>
              <w:right w:val="single" w:sz="6" w:space="0" w:color="000000"/>
            </w:tcBorders>
            <w:shd w:val="clear" w:color="auto" w:fill="FFF2CC"/>
          </w:tcPr>
          <w:p w14:paraId="6F71FC2F" w14:textId="3877C936" w:rsidR="005F2AC9" w:rsidRPr="00A166D4" w:rsidRDefault="00F82ABB" w:rsidP="00A166D4">
            <w:pPr>
              <w:spacing w:before="0" w:after="0"/>
              <w:jc w:val="both"/>
              <w:rPr>
                <w:rFonts w:ascii="Times New Roman" w:eastAsia="Times New Roman" w:hAnsi="Times New Roman" w:cs="Times New Roman"/>
                <w:i/>
                <w:iCs/>
                <w:color w:val="000000" w:themeColor="text1"/>
                <w:sz w:val="24"/>
                <w:szCs w:val="24"/>
                <w:lang w:val="sq-AL"/>
              </w:rPr>
            </w:pPr>
            <w:r w:rsidRPr="00A166D4">
              <w:rPr>
                <w:rFonts w:ascii="Times New Roman" w:eastAsia="Times New Roman" w:hAnsi="Times New Roman" w:cs="Times New Roman"/>
                <w:i/>
                <w:iCs/>
                <w:color w:val="000000" w:themeColor="text1"/>
                <w:sz w:val="24"/>
                <w:szCs w:val="24"/>
                <w:lang w:val="sq-AL"/>
              </w:rPr>
              <w:t>A1. Improving the performance, adaptability and crisis response of financial schemes and benefits for individuals (men, women, boys and girls)</w:t>
            </w:r>
          </w:p>
        </w:tc>
        <w:tc>
          <w:tcPr>
            <w:tcW w:w="1568" w:type="dxa"/>
            <w:tcBorders>
              <w:top w:val="single" w:sz="6" w:space="0" w:color="000000"/>
              <w:left w:val="single" w:sz="6" w:space="0" w:color="000000"/>
              <w:bottom w:val="single" w:sz="6" w:space="0" w:color="000000"/>
              <w:right w:val="single" w:sz="6" w:space="0" w:color="000000"/>
            </w:tcBorders>
            <w:shd w:val="clear" w:color="auto" w:fill="FFF2CC"/>
          </w:tcPr>
          <w:p w14:paraId="130E58B0" w14:textId="1D8C00A4" w:rsidR="005F2AC9" w:rsidRPr="00A166D4" w:rsidRDefault="00F82ABB" w:rsidP="00A166D4">
            <w:pPr>
              <w:spacing w:before="0" w:after="0"/>
              <w:jc w:val="both"/>
              <w:rPr>
                <w:rFonts w:ascii="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Percentage of individuals in the lowest quintile (poor) who benefit from EA scheme payments</w:t>
            </w:r>
            <w:r w:rsidR="00B56839" w:rsidRPr="00A166D4">
              <w:rPr>
                <w:rFonts w:ascii="Times New Roman" w:eastAsia="Times New Roman" w:hAnsi="Times New Roman" w:cs="Times New Roman"/>
                <w:color w:val="000000" w:themeColor="text1"/>
                <w:sz w:val="24"/>
                <w:szCs w:val="24"/>
                <w:lang w:val="sq-AL"/>
              </w:rPr>
              <w:t xml:space="preserve"> </w:t>
            </w:r>
          </w:p>
          <w:p w14:paraId="286D1AA1" w14:textId="77777777" w:rsidR="005F2AC9" w:rsidRPr="00A166D4" w:rsidRDefault="00B56839" w:rsidP="00A166D4">
            <w:pPr>
              <w:spacing w:before="0" w:after="0"/>
              <w:jc w:val="both"/>
              <w:rPr>
                <w:rFonts w:ascii="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 xml:space="preserve"> </w:t>
            </w:r>
          </w:p>
        </w:tc>
        <w:tc>
          <w:tcPr>
            <w:tcW w:w="925" w:type="dxa"/>
            <w:tcBorders>
              <w:top w:val="single" w:sz="6" w:space="0" w:color="000000"/>
              <w:left w:val="single" w:sz="6" w:space="0" w:color="000000"/>
              <w:bottom w:val="single" w:sz="6" w:space="0" w:color="000000"/>
              <w:right w:val="single" w:sz="6" w:space="0" w:color="000000"/>
            </w:tcBorders>
            <w:shd w:val="clear" w:color="auto" w:fill="FFF2CC"/>
          </w:tcPr>
          <w:p w14:paraId="7CA34FE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36,4%</w:t>
            </w:r>
          </w:p>
        </w:tc>
        <w:tc>
          <w:tcPr>
            <w:tcW w:w="946" w:type="dxa"/>
            <w:tcBorders>
              <w:top w:val="single" w:sz="6" w:space="0" w:color="000000"/>
              <w:left w:val="single" w:sz="6" w:space="0" w:color="000000"/>
              <w:bottom w:val="single" w:sz="6" w:space="0" w:color="000000"/>
              <w:right w:val="single" w:sz="6" w:space="0" w:color="000000"/>
            </w:tcBorders>
            <w:shd w:val="clear" w:color="auto" w:fill="FFF2CC"/>
          </w:tcPr>
          <w:p w14:paraId="203E3534" w14:textId="0702B534"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68% (this data has not yet been published)</w:t>
            </w:r>
          </w:p>
        </w:tc>
        <w:tc>
          <w:tcPr>
            <w:tcW w:w="927" w:type="dxa"/>
            <w:tcBorders>
              <w:top w:val="single" w:sz="6" w:space="0" w:color="000000"/>
              <w:left w:val="single" w:sz="6" w:space="0" w:color="000000"/>
              <w:bottom w:val="single" w:sz="6" w:space="0" w:color="000000"/>
              <w:right w:val="single" w:sz="6" w:space="0" w:color="000000"/>
            </w:tcBorders>
            <w:shd w:val="clear" w:color="auto" w:fill="FFF2CC"/>
          </w:tcPr>
          <w:p w14:paraId="0D8BDA5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80%</w:t>
            </w:r>
          </w:p>
        </w:tc>
        <w:tc>
          <w:tcPr>
            <w:tcW w:w="1218" w:type="dxa"/>
            <w:tcBorders>
              <w:top w:val="single" w:sz="6" w:space="0" w:color="000000"/>
              <w:left w:val="single" w:sz="6" w:space="0" w:color="000000"/>
              <w:bottom w:val="single" w:sz="6" w:space="0" w:color="000000"/>
              <w:right w:val="single" w:sz="6" w:space="0" w:color="000000"/>
            </w:tcBorders>
            <w:shd w:val="clear" w:color="auto" w:fill="FFF2CC"/>
          </w:tcPr>
          <w:p w14:paraId="56975EDE"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INSTAT – Survey on Income and Living Conditions, publication </w:t>
            </w:r>
          </w:p>
          <w:p w14:paraId="338D55D5"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rPr>
            </w:pPr>
          </w:p>
          <w:p w14:paraId="72F95007" w14:textId="081F4B03"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SSS / administrative data</w:t>
            </w:r>
          </w:p>
        </w:tc>
        <w:tc>
          <w:tcPr>
            <w:tcW w:w="1100" w:type="dxa"/>
            <w:tcBorders>
              <w:top w:val="single" w:sz="6" w:space="0" w:color="000000"/>
              <w:left w:val="single" w:sz="6" w:space="0" w:color="000000"/>
              <w:bottom w:val="single" w:sz="6" w:space="0" w:color="000000"/>
              <w:right w:val="single" w:sz="6" w:space="0" w:color="000000"/>
            </w:tcBorders>
            <w:shd w:val="clear" w:color="auto" w:fill="FFF2CC"/>
          </w:tcPr>
          <w:p w14:paraId="297480B2"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World Bank programme indicator</w:t>
            </w:r>
          </w:p>
          <w:p w14:paraId="61A3BF36"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rPr>
            </w:pPr>
          </w:p>
          <w:p w14:paraId="5F9C20B8" w14:textId="7579EDC6"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SDG – 10.2</w:t>
            </w:r>
          </w:p>
        </w:tc>
      </w:tr>
      <w:tr w:rsidR="005F2AC9" w:rsidRPr="00A166D4" w14:paraId="74CB50C5" w14:textId="77777777">
        <w:trPr>
          <w:trHeight w:val="300"/>
        </w:trPr>
        <w:tc>
          <w:tcPr>
            <w:tcW w:w="953" w:type="dxa"/>
            <w:vMerge w:val="restart"/>
            <w:tcBorders>
              <w:top w:val="single" w:sz="6" w:space="0" w:color="000000"/>
              <w:left w:val="single" w:sz="6" w:space="0" w:color="000000"/>
              <w:bottom w:val="single" w:sz="6" w:space="0" w:color="000000"/>
              <w:right w:val="single" w:sz="6" w:space="0" w:color="000000"/>
            </w:tcBorders>
            <w:shd w:val="clear" w:color="auto" w:fill="F3EAE1" w:themeFill="accent4" w:themeFillTint="33"/>
            <w:vAlign w:val="center"/>
          </w:tcPr>
          <w:p w14:paraId="32DBF028" w14:textId="26D17C83" w:rsidR="005F2AC9" w:rsidRPr="00A166D4" w:rsidRDefault="00F82ABB" w:rsidP="00A166D4">
            <w:pPr>
              <w:spacing w:before="0" w:after="0"/>
              <w:jc w:val="both"/>
              <w:rPr>
                <w:rFonts w:ascii="Times New Roman" w:eastAsia="Times New Roman" w:hAnsi="Times New Roman" w:cs="Times New Roman"/>
                <w:b/>
                <w:bCs/>
                <w:color w:val="000000" w:themeColor="text1"/>
                <w:sz w:val="24"/>
                <w:szCs w:val="24"/>
                <w:lang w:val="sq-AL"/>
              </w:rPr>
            </w:pPr>
            <w:r w:rsidRPr="00A166D4">
              <w:rPr>
                <w:rFonts w:ascii="Times New Roman" w:eastAsia="Times New Roman" w:hAnsi="Times New Roman" w:cs="Times New Roman"/>
                <w:b/>
                <w:bCs/>
                <w:color w:val="000000" w:themeColor="text1"/>
                <w:sz w:val="24"/>
                <w:szCs w:val="24"/>
                <w:lang w:val="sq-AL"/>
              </w:rPr>
              <w:t>Priority measures</w:t>
            </w:r>
          </w:p>
        </w:tc>
        <w:tc>
          <w:tcPr>
            <w:tcW w:w="1481"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1770A966" w14:textId="1897419F" w:rsidR="005F2AC9" w:rsidRPr="00A166D4" w:rsidRDefault="00F82ABB" w:rsidP="00A166D4">
            <w:pPr>
              <w:spacing w:before="0" w:after="0"/>
              <w:jc w:val="both"/>
              <w:rPr>
                <w:rFonts w:ascii="Times New Roman" w:eastAsia="Times New Roman" w:hAnsi="Times New Roman" w:cs="Times New Roman"/>
                <w:i/>
                <w:iCs/>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A1.1. Improving the performance, transparency and good administration at all levels of the economic assistance scheme and other benefits to ensure effective and gender-sensitive fulfilment of the needs of every individual.</w:t>
            </w:r>
          </w:p>
        </w:tc>
        <w:tc>
          <w:tcPr>
            <w:tcW w:w="156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49F58D29" w14:textId="5CC0C191" w:rsidR="005F2AC9" w:rsidRPr="00A166D4" w:rsidRDefault="00F82ABB" w:rsidP="00A166D4">
            <w:pPr>
              <w:spacing w:before="0" w:after="0"/>
              <w:jc w:val="both"/>
              <w:rPr>
                <w:rFonts w:ascii="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Number of individuals benefiting from Economic Assistance (by gender, minority, disability, head of household, family size, number of children by age)</w:t>
            </w:r>
            <w:r w:rsidR="00B56839" w:rsidRPr="00A166D4">
              <w:rPr>
                <w:rFonts w:ascii="Times New Roman" w:eastAsia="Times New Roman" w:hAnsi="Times New Roman" w:cs="Times New Roman"/>
                <w:color w:val="000000" w:themeColor="text1"/>
                <w:sz w:val="24"/>
                <w:szCs w:val="24"/>
                <w:lang w:val="sq-AL"/>
              </w:rPr>
              <w:t xml:space="preserve"> </w:t>
            </w:r>
          </w:p>
          <w:p w14:paraId="6C353722" w14:textId="77777777" w:rsidR="005F2AC9" w:rsidRPr="00A166D4" w:rsidRDefault="00B56839" w:rsidP="00A166D4">
            <w:pPr>
              <w:spacing w:before="0" w:after="0"/>
              <w:jc w:val="both"/>
              <w:rPr>
                <w:rFonts w:ascii="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 xml:space="preserve"> </w:t>
            </w:r>
          </w:p>
          <w:p w14:paraId="5090FA01" w14:textId="77777777" w:rsidR="005F2AC9" w:rsidRPr="00A166D4" w:rsidRDefault="00B56839" w:rsidP="00A166D4">
            <w:pPr>
              <w:spacing w:before="0" w:after="0"/>
              <w:jc w:val="both"/>
              <w:rPr>
                <w:rFonts w:ascii="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 xml:space="preserve"> </w:t>
            </w:r>
          </w:p>
          <w:p w14:paraId="64D3CC81" w14:textId="77777777" w:rsidR="005F2AC9" w:rsidRPr="00A166D4" w:rsidRDefault="00B56839" w:rsidP="00A166D4">
            <w:pPr>
              <w:spacing w:before="0" w:after="0"/>
              <w:jc w:val="both"/>
              <w:rPr>
                <w:rFonts w:ascii="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 xml:space="preserve"> </w:t>
            </w:r>
          </w:p>
          <w:p w14:paraId="07717CED" w14:textId="77777777" w:rsidR="009F62DF" w:rsidRDefault="009F62DF" w:rsidP="00A166D4">
            <w:pPr>
              <w:spacing w:before="0" w:after="0"/>
              <w:jc w:val="both"/>
              <w:rPr>
                <w:rFonts w:ascii="Times New Roman" w:eastAsia="Times New Roman" w:hAnsi="Times New Roman" w:cs="Times New Roman"/>
                <w:color w:val="000000" w:themeColor="text1"/>
                <w:sz w:val="24"/>
                <w:szCs w:val="24"/>
                <w:lang w:val="en-GB"/>
              </w:rPr>
            </w:pPr>
          </w:p>
          <w:p w14:paraId="492C47ED" w14:textId="77777777" w:rsidR="009F62DF" w:rsidRDefault="009F62DF" w:rsidP="00A166D4">
            <w:pPr>
              <w:spacing w:before="0" w:after="0"/>
              <w:jc w:val="both"/>
              <w:rPr>
                <w:rFonts w:ascii="Times New Roman" w:eastAsia="Times New Roman" w:hAnsi="Times New Roman" w:cs="Times New Roman"/>
                <w:color w:val="000000" w:themeColor="text1"/>
                <w:sz w:val="24"/>
                <w:szCs w:val="24"/>
                <w:lang w:val="en-GB"/>
              </w:rPr>
            </w:pPr>
          </w:p>
          <w:p w14:paraId="7E398C02" w14:textId="27D2484C"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Number of families benefiting from Economic Assistance (by gender, minority, disability, head of household, family size, number of children by age) (including 6% of municipalities)</w:t>
            </w:r>
            <w:r w:rsidR="00B56839" w:rsidRPr="00A166D4">
              <w:rPr>
                <w:rFonts w:ascii="Times New Roman" w:eastAsia="Times New Roman" w:hAnsi="Times New Roman" w:cs="Times New Roman"/>
                <w:color w:val="000000" w:themeColor="text1"/>
                <w:sz w:val="24"/>
                <w:szCs w:val="24"/>
                <w:lang w:val="en-GB"/>
              </w:rPr>
              <w:t xml:space="preserve"> </w:t>
            </w:r>
          </w:p>
          <w:p w14:paraId="00BD273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7395E71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022AAC70" w14:textId="77777777" w:rsidR="00673E5A" w:rsidRPr="00A166D4" w:rsidRDefault="00673E5A" w:rsidP="00A166D4">
            <w:pPr>
              <w:spacing w:before="0" w:after="0"/>
              <w:jc w:val="both"/>
              <w:rPr>
                <w:rFonts w:ascii="Times New Roman" w:eastAsia="Times New Roman" w:hAnsi="Times New Roman" w:cs="Times New Roman"/>
                <w:color w:val="000000" w:themeColor="text1"/>
                <w:sz w:val="24"/>
                <w:szCs w:val="24"/>
                <w:lang w:val="en-GB"/>
              </w:rPr>
            </w:pPr>
          </w:p>
          <w:p w14:paraId="3A27CF20" w14:textId="752AB33A"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Number of personnel trained in relation to changes in procedures, legislation and protocols at the municipal and national level</w:t>
            </w:r>
            <w:r w:rsidR="00B56839" w:rsidRPr="00A166D4">
              <w:rPr>
                <w:rFonts w:ascii="Times New Roman" w:eastAsia="Times New Roman" w:hAnsi="Times New Roman" w:cs="Times New Roman"/>
                <w:color w:val="000000" w:themeColor="text1"/>
                <w:sz w:val="24"/>
                <w:szCs w:val="24"/>
                <w:lang w:val="en-GB"/>
              </w:rPr>
              <w:t xml:space="preserve"> </w:t>
            </w:r>
          </w:p>
          <w:p w14:paraId="2441CD9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0B7951A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1C6F0087" w14:textId="4E346C40" w:rsidR="005F2AC9" w:rsidRPr="00A166D4" w:rsidRDefault="00F82ABB" w:rsidP="00A166D4">
            <w:pPr>
              <w:spacing w:before="0" w:after="0"/>
              <w:jc w:val="both"/>
              <w:rPr>
                <w:rFonts w:ascii="Times New Roman" w:eastAsia="Times New Roman" w:hAnsi="Times New Roman" w:cs="Times New Roman"/>
                <w:color w:val="000000" w:themeColor="text1"/>
                <w:sz w:val="24"/>
                <w:szCs w:val="24"/>
                <w:lang w:val="en-GB"/>
              </w:rPr>
            </w:pPr>
            <w:r w:rsidRPr="00A166D4">
              <w:rPr>
                <w:rFonts w:ascii="Times New Roman" w:eastAsia="Times New Roman" w:hAnsi="Times New Roman" w:cs="Times New Roman"/>
                <w:color w:val="000000" w:themeColor="text1"/>
                <w:sz w:val="24"/>
                <w:szCs w:val="24"/>
                <w:lang w:val="en-GB"/>
              </w:rPr>
              <w:t>Number of monitoring-evaluation reports reviewed in the system (at the regional, municipal and national level)</w:t>
            </w:r>
          </w:p>
        </w:tc>
        <w:tc>
          <w:tcPr>
            <w:tcW w:w="925"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6BC2B651" w14:textId="51DC8386" w:rsidR="005F2AC9" w:rsidRPr="00A166D4" w:rsidRDefault="00F82ABB"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228,000 individuals 111,035 (female) 116,964 (male) 78,000 children 7,608 women HoH</w:t>
            </w:r>
          </w:p>
          <w:p w14:paraId="27D9269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0A9DDF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FB65E8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804223F"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72D9494C" w14:textId="42D0316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62,000          </w:t>
            </w:r>
          </w:p>
          <w:p w14:paraId="14DDEEC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11F3AF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625DF4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5F4C1C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9BAAE3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9BAFD7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5305371" w14:textId="77777777" w:rsidR="00673E5A" w:rsidRPr="00A166D4" w:rsidRDefault="00673E5A" w:rsidP="00A166D4">
            <w:pPr>
              <w:spacing w:before="0" w:after="0"/>
              <w:jc w:val="both"/>
              <w:rPr>
                <w:rFonts w:ascii="Times New Roman" w:eastAsia="Times New Roman" w:hAnsi="Times New Roman" w:cs="Times New Roman"/>
                <w:color w:val="000000" w:themeColor="text1"/>
                <w:sz w:val="24"/>
                <w:szCs w:val="24"/>
              </w:rPr>
            </w:pPr>
          </w:p>
          <w:p w14:paraId="451942F6" w14:textId="77777777" w:rsidR="00673E5A" w:rsidRPr="00A166D4" w:rsidRDefault="00673E5A" w:rsidP="00A166D4">
            <w:pPr>
              <w:spacing w:before="0" w:after="0"/>
              <w:jc w:val="both"/>
              <w:rPr>
                <w:rFonts w:ascii="Times New Roman" w:eastAsia="Times New Roman" w:hAnsi="Times New Roman" w:cs="Times New Roman"/>
                <w:color w:val="000000" w:themeColor="text1"/>
                <w:sz w:val="24"/>
                <w:szCs w:val="24"/>
              </w:rPr>
            </w:pPr>
          </w:p>
          <w:p w14:paraId="0FF05B1E" w14:textId="77777777" w:rsidR="00673E5A" w:rsidRPr="00A166D4" w:rsidRDefault="00673E5A" w:rsidP="00A166D4">
            <w:pPr>
              <w:spacing w:before="0" w:after="0"/>
              <w:jc w:val="both"/>
              <w:rPr>
                <w:rFonts w:ascii="Times New Roman" w:hAnsi="Times New Roman" w:cs="Times New Roman"/>
                <w:sz w:val="24"/>
                <w:szCs w:val="24"/>
              </w:rPr>
            </w:pPr>
          </w:p>
          <w:p w14:paraId="58C6DBE4" w14:textId="77777777" w:rsidR="00673E5A" w:rsidRPr="00A166D4" w:rsidRDefault="00673E5A" w:rsidP="00A166D4">
            <w:pPr>
              <w:spacing w:before="0" w:after="0"/>
              <w:jc w:val="both"/>
              <w:rPr>
                <w:rFonts w:ascii="Times New Roman" w:hAnsi="Times New Roman" w:cs="Times New Roman"/>
                <w:sz w:val="24"/>
                <w:szCs w:val="24"/>
              </w:rPr>
            </w:pPr>
          </w:p>
          <w:p w14:paraId="61FC7241" w14:textId="77777777" w:rsidR="00673E5A" w:rsidRPr="00A166D4" w:rsidRDefault="00673E5A" w:rsidP="00A166D4">
            <w:pPr>
              <w:spacing w:before="0" w:after="0"/>
              <w:jc w:val="both"/>
              <w:rPr>
                <w:rFonts w:ascii="Times New Roman" w:hAnsi="Times New Roman" w:cs="Times New Roman"/>
                <w:sz w:val="24"/>
                <w:szCs w:val="24"/>
              </w:rPr>
            </w:pPr>
          </w:p>
          <w:p w14:paraId="29FA125E" w14:textId="77777777" w:rsidR="00673E5A" w:rsidRPr="00A166D4" w:rsidRDefault="00673E5A" w:rsidP="00A166D4">
            <w:pPr>
              <w:spacing w:before="0" w:after="0"/>
              <w:jc w:val="both"/>
              <w:rPr>
                <w:rFonts w:ascii="Times New Roman" w:hAnsi="Times New Roman" w:cs="Times New Roman"/>
                <w:sz w:val="24"/>
                <w:szCs w:val="24"/>
              </w:rPr>
            </w:pPr>
          </w:p>
          <w:p w14:paraId="71F0206E" w14:textId="77777777" w:rsidR="00673E5A" w:rsidRPr="00A166D4" w:rsidRDefault="00673E5A" w:rsidP="00A166D4">
            <w:pPr>
              <w:spacing w:before="0" w:after="0"/>
              <w:jc w:val="both"/>
              <w:rPr>
                <w:rFonts w:ascii="Times New Roman" w:hAnsi="Times New Roman" w:cs="Times New Roman"/>
                <w:sz w:val="24"/>
                <w:szCs w:val="24"/>
              </w:rPr>
            </w:pPr>
          </w:p>
          <w:p w14:paraId="70D35A97" w14:textId="77777777" w:rsidR="00673E5A" w:rsidRPr="00A166D4" w:rsidRDefault="00673E5A" w:rsidP="00A166D4">
            <w:pPr>
              <w:spacing w:before="0" w:after="0"/>
              <w:jc w:val="both"/>
              <w:rPr>
                <w:rFonts w:ascii="Times New Roman" w:hAnsi="Times New Roman" w:cs="Times New Roman"/>
                <w:sz w:val="24"/>
                <w:szCs w:val="24"/>
              </w:rPr>
            </w:pPr>
          </w:p>
          <w:p w14:paraId="050566BD" w14:textId="77777777" w:rsidR="00673E5A" w:rsidRPr="00A166D4" w:rsidRDefault="00673E5A" w:rsidP="00A166D4">
            <w:pPr>
              <w:spacing w:before="0" w:after="0"/>
              <w:jc w:val="both"/>
              <w:rPr>
                <w:rFonts w:ascii="Times New Roman" w:hAnsi="Times New Roman" w:cs="Times New Roman"/>
                <w:sz w:val="24"/>
                <w:szCs w:val="24"/>
              </w:rPr>
            </w:pPr>
          </w:p>
          <w:p w14:paraId="18260BDB" w14:textId="77777777" w:rsidR="00673E5A" w:rsidRPr="00A166D4" w:rsidRDefault="00673E5A" w:rsidP="00A166D4">
            <w:pPr>
              <w:spacing w:before="0" w:after="0"/>
              <w:jc w:val="both"/>
              <w:rPr>
                <w:rFonts w:ascii="Times New Roman" w:hAnsi="Times New Roman" w:cs="Times New Roman"/>
                <w:sz w:val="24"/>
                <w:szCs w:val="24"/>
              </w:rPr>
            </w:pPr>
          </w:p>
          <w:p w14:paraId="0F05C9A7" w14:textId="77777777" w:rsidR="009F62DF" w:rsidRDefault="009F62DF" w:rsidP="00A166D4">
            <w:pPr>
              <w:spacing w:before="0" w:after="0"/>
              <w:jc w:val="both"/>
              <w:rPr>
                <w:rFonts w:ascii="Times New Roman" w:hAnsi="Times New Roman" w:cs="Times New Roman"/>
                <w:sz w:val="24"/>
                <w:szCs w:val="24"/>
              </w:rPr>
            </w:pPr>
          </w:p>
          <w:p w14:paraId="18B4A73B" w14:textId="77777777" w:rsidR="009F62DF" w:rsidRDefault="009F62DF" w:rsidP="00A166D4">
            <w:pPr>
              <w:spacing w:before="0" w:after="0"/>
              <w:jc w:val="both"/>
              <w:rPr>
                <w:rFonts w:ascii="Times New Roman" w:hAnsi="Times New Roman" w:cs="Times New Roman"/>
                <w:sz w:val="24"/>
                <w:szCs w:val="24"/>
              </w:rPr>
            </w:pPr>
          </w:p>
          <w:p w14:paraId="020B840C" w14:textId="77777777" w:rsidR="009F62DF" w:rsidRDefault="009F62DF" w:rsidP="00A166D4">
            <w:pPr>
              <w:spacing w:before="0" w:after="0"/>
              <w:jc w:val="both"/>
              <w:rPr>
                <w:rFonts w:ascii="Times New Roman" w:hAnsi="Times New Roman" w:cs="Times New Roman"/>
                <w:sz w:val="24"/>
                <w:szCs w:val="24"/>
              </w:rPr>
            </w:pPr>
          </w:p>
          <w:p w14:paraId="2B57069C" w14:textId="77777777" w:rsidR="009F62DF" w:rsidRDefault="009F62DF" w:rsidP="00A166D4">
            <w:pPr>
              <w:spacing w:before="0" w:after="0"/>
              <w:jc w:val="both"/>
              <w:rPr>
                <w:rFonts w:ascii="Times New Roman" w:hAnsi="Times New Roman" w:cs="Times New Roman"/>
                <w:sz w:val="24"/>
                <w:szCs w:val="24"/>
              </w:rPr>
            </w:pPr>
          </w:p>
          <w:p w14:paraId="18AFDAE0" w14:textId="77777777" w:rsidR="009F62DF" w:rsidRDefault="009F62DF" w:rsidP="00A166D4">
            <w:pPr>
              <w:spacing w:before="0" w:after="0"/>
              <w:jc w:val="both"/>
              <w:rPr>
                <w:rFonts w:ascii="Times New Roman" w:hAnsi="Times New Roman" w:cs="Times New Roman"/>
                <w:sz w:val="24"/>
                <w:szCs w:val="24"/>
              </w:rPr>
            </w:pPr>
          </w:p>
          <w:p w14:paraId="0F46002A" w14:textId="44A568BC" w:rsidR="005F2AC9" w:rsidRPr="00A166D4" w:rsidRDefault="00F82ABB"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hAnsi="Times New Roman" w:cs="Times New Roman"/>
                <w:sz w:val="24"/>
                <w:szCs w:val="24"/>
              </w:rPr>
              <w:t>250 employees</w:t>
            </w:r>
          </w:p>
          <w:p w14:paraId="0B8116F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259BA3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748F52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4F246C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D91A67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7AB23B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B85846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C34954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092C60C" w14:textId="77777777" w:rsidR="00673E5A" w:rsidRPr="00A166D4" w:rsidRDefault="00673E5A" w:rsidP="00A166D4">
            <w:pPr>
              <w:spacing w:before="0" w:after="0"/>
              <w:jc w:val="both"/>
              <w:rPr>
                <w:rFonts w:ascii="Times New Roman" w:eastAsia="Times New Roman" w:hAnsi="Times New Roman" w:cs="Times New Roman"/>
                <w:color w:val="000000" w:themeColor="text1"/>
                <w:sz w:val="24"/>
                <w:szCs w:val="24"/>
              </w:rPr>
            </w:pPr>
          </w:p>
          <w:p w14:paraId="4E2E1F83"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335F067F" w14:textId="48570A2C"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5 </w:t>
            </w:r>
            <w:r w:rsidR="00F82ABB" w:rsidRPr="00A166D4">
              <w:rPr>
                <w:rFonts w:ascii="Times New Roman" w:hAnsi="Times New Roman" w:cs="Times New Roman"/>
                <w:sz w:val="24"/>
                <w:szCs w:val="24"/>
              </w:rPr>
              <w:t>reports</w:t>
            </w:r>
          </w:p>
        </w:tc>
        <w:tc>
          <w:tcPr>
            <w:tcW w:w="94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533A91D4" w14:textId="625A1587" w:rsidR="005F2AC9" w:rsidRPr="00A166D4" w:rsidRDefault="00F82ABB"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181,871 individuals 89,117 (female) 92,754 (male) 6,174 women HoH</w:t>
            </w:r>
          </w:p>
          <w:p w14:paraId="08F95DB1"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18C037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36D3CC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0C25F2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6B8EF33"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4E65A39F"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1B93CD47"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23B263CA"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1447D4AA" w14:textId="1036DC69"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50,600           </w:t>
            </w:r>
          </w:p>
          <w:p w14:paraId="22B62D7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1FBE2E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73DD27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9BF67A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EF79461"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B0447F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E49E32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39C959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923280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CBDA5AA" w14:textId="77777777" w:rsidR="00673E5A" w:rsidRPr="00A166D4" w:rsidRDefault="00673E5A" w:rsidP="00A166D4">
            <w:pPr>
              <w:spacing w:before="0" w:after="0"/>
              <w:jc w:val="both"/>
              <w:rPr>
                <w:rFonts w:ascii="Times New Roman" w:hAnsi="Times New Roman" w:cs="Times New Roman"/>
                <w:sz w:val="24"/>
                <w:szCs w:val="24"/>
              </w:rPr>
            </w:pPr>
          </w:p>
          <w:p w14:paraId="3A668D4F" w14:textId="77777777" w:rsidR="00673E5A" w:rsidRPr="00A166D4" w:rsidRDefault="00673E5A" w:rsidP="00A166D4">
            <w:pPr>
              <w:spacing w:before="0" w:after="0"/>
              <w:jc w:val="both"/>
              <w:rPr>
                <w:rFonts w:ascii="Times New Roman" w:hAnsi="Times New Roman" w:cs="Times New Roman"/>
                <w:sz w:val="24"/>
                <w:szCs w:val="24"/>
              </w:rPr>
            </w:pPr>
          </w:p>
          <w:p w14:paraId="5E78A017" w14:textId="77777777" w:rsidR="00673E5A" w:rsidRPr="00A166D4" w:rsidRDefault="00673E5A" w:rsidP="00A166D4">
            <w:pPr>
              <w:spacing w:before="0" w:after="0"/>
              <w:jc w:val="both"/>
              <w:rPr>
                <w:rFonts w:ascii="Times New Roman" w:hAnsi="Times New Roman" w:cs="Times New Roman"/>
                <w:sz w:val="24"/>
                <w:szCs w:val="24"/>
              </w:rPr>
            </w:pPr>
          </w:p>
          <w:p w14:paraId="79E08082" w14:textId="77777777" w:rsidR="00673E5A" w:rsidRPr="00A166D4" w:rsidRDefault="00673E5A" w:rsidP="00A166D4">
            <w:pPr>
              <w:spacing w:before="0" w:after="0"/>
              <w:jc w:val="both"/>
              <w:rPr>
                <w:rFonts w:ascii="Times New Roman" w:hAnsi="Times New Roman" w:cs="Times New Roman"/>
                <w:sz w:val="24"/>
                <w:szCs w:val="24"/>
              </w:rPr>
            </w:pPr>
          </w:p>
          <w:p w14:paraId="37F35C81" w14:textId="77777777" w:rsidR="00673E5A" w:rsidRPr="00A166D4" w:rsidRDefault="00673E5A" w:rsidP="00A166D4">
            <w:pPr>
              <w:spacing w:before="0" w:after="0"/>
              <w:jc w:val="both"/>
              <w:rPr>
                <w:rFonts w:ascii="Times New Roman" w:hAnsi="Times New Roman" w:cs="Times New Roman"/>
                <w:sz w:val="24"/>
                <w:szCs w:val="24"/>
              </w:rPr>
            </w:pPr>
          </w:p>
          <w:p w14:paraId="38EC8EC5" w14:textId="77777777" w:rsidR="009F62DF" w:rsidRDefault="009F62DF" w:rsidP="00A166D4">
            <w:pPr>
              <w:spacing w:before="0" w:after="0"/>
              <w:jc w:val="both"/>
              <w:rPr>
                <w:rFonts w:ascii="Times New Roman" w:hAnsi="Times New Roman" w:cs="Times New Roman"/>
                <w:sz w:val="24"/>
                <w:szCs w:val="24"/>
              </w:rPr>
            </w:pPr>
          </w:p>
          <w:p w14:paraId="087AB301" w14:textId="77777777" w:rsidR="009F62DF" w:rsidRDefault="009F62DF" w:rsidP="00A166D4">
            <w:pPr>
              <w:spacing w:before="0" w:after="0"/>
              <w:jc w:val="both"/>
              <w:rPr>
                <w:rFonts w:ascii="Times New Roman" w:hAnsi="Times New Roman" w:cs="Times New Roman"/>
                <w:sz w:val="24"/>
                <w:szCs w:val="24"/>
              </w:rPr>
            </w:pPr>
          </w:p>
          <w:p w14:paraId="247133EC" w14:textId="77777777" w:rsidR="009F62DF" w:rsidRDefault="009F62DF" w:rsidP="00A166D4">
            <w:pPr>
              <w:spacing w:before="0" w:after="0"/>
              <w:jc w:val="both"/>
              <w:rPr>
                <w:rFonts w:ascii="Times New Roman" w:hAnsi="Times New Roman" w:cs="Times New Roman"/>
                <w:sz w:val="24"/>
                <w:szCs w:val="24"/>
              </w:rPr>
            </w:pPr>
          </w:p>
          <w:p w14:paraId="5F648A11" w14:textId="77777777" w:rsidR="009F62DF" w:rsidRDefault="009F62DF" w:rsidP="00A166D4">
            <w:pPr>
              <w:spacing w:before="0" w:after="0"/>
              <w:jc w:val="both"/>
              <w:rPr>
                <w:rFonts w:ascii="Times New Roman" w:hAnsi="Times New Roman" w:cs="Times New Roman"/>
                <w:sz w:val="24"/>
                <w:szCs w:val="24"/>
              </w:rPr>
            </w:pPr>
          </w:p>
          <w:p w14:paraId="4F4B2B3C" w14:textId="77777777" w:rsidR="009F62DF" w:rsidRDefault="009F62DF" w:rsidP="00A166D4">
            <w:pPr>
              <w:spacing w:before="0" w:after="0"/>
              <w:jc w:val="both"/>
              <w:rPr>
                <w:rFonts w:ascii="Times New Roman" w:hAnsi="Times New Roman" w:cs="Times New Roman"/>
                <w:sz w:val="24"/>
                <w:szCs w:val="24"/>
              </w:rPr>
            </w:pPr>
          </w:p>
          <w:p w14:paraId="0843200D" w14:textId="77777777" w:rsidR="009F62DF" w:rsidRDefault="009F62DF" w:rsidP="00A166D4">
            <w:pPr>
              <w:spacing w:before="0" w:after="0"/>
              <w:jc w:val="both"/>
              <w:rPr>
                <w:rFonts w:ascii="Times New Roman" w:hAnsi="Times New Roman" w:cs="Times New Roman"/>
                <w:sz w:val="24"/>
                <w:szCs w:val="24"/>
              </w:rPr>
            </w:pPr>
          </w:p>
          <w:p w14:paraId="078FC201" w14:textId="77777777" w:rsidR="009F62DF" w:rsidRDefault="009F62DF" w:rsidP="00A166D4">
            <w:pPr>
              <w:spacing w:before="0" w:after="0"/>
              <w:jc w:val="both"/>
              <w:rPr>
                <w:rFonts w:ascii="Times New Roman" w:hAnsi="Times New Roman" w:cs="Times New Roman"/>
                <w:sz w:val="24"/>
                <w:szCs w:val="24"/>
              </w:rPr>
            </w:pPr>
          </w:p>
          <w:p w14:paraId="12AC9C9A" w14:textId="1231477A" w:rsidR="005F2AC9" w:rsidRPr="00A166D4" w:rsidRDefault="00F82ABB"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hAnsi="Times New Roman" w:cs="Times New Roman"/>
                <w:sz w:val="24"/>
                <w:szCs w:val="24"/>
              </w:rPr>
              <w:t>350 employees</w:t>
            </w:r>
          </w:p>
          <w:p w14:paraId="0300775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3EE412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6476AF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CE03E4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1C1355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C28B38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07D441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0A95F8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8FA6B7C"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33CFA086"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29F3B22D" w14:textId="19FA565B"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7 </w:t>
            </w:r>
            <w:r w:rsidR="00F82ABB" w:rsidRPr="00A166D4">
              <w:rPr>
                <w:rFonts w:ascii="Times New Roman" w:hAnsi="Times New Roman" w:cs="Times New Roman"/>
                <w:sz w:val="24"/>
                <w:szCs w:val="24"/>
              </w:rPr>
              <w:t>reports</w:t>
            </w:r>
          </w:p>
        </w:tc>
        <w:tc>
          <w:tcPr>
            <w:tcW w:w="927"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3038BB66" w14:textId="407D16E4" w:rsidR="005F2AC9" w:rsidRPr="00A166D4" w:rsidRDefault="00F82ABB"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210,000 individuals 94,500 (female) 115,500 (male) 8,600 women HoH</w:t>
            </w:r>
          </w:p>
          <w:p w14:paraId="0B7A078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380A1B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8C895C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226411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09BF4B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51EF5CB"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05A9C7CE"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361EC2AB" w14:textId="3FC863CF"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58,000            </w:t>
            </w:r>
          </w:p>
          <w:p w14:paraId="551ED9B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B93E34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383F14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7CC887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C9B016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190FE7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280053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454AF8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FDD94E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2A5F56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3C42C9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F29C4BF" w14:textId="77777777" w:rsidR="00673E5A" w:rsidRPr="00A166D4" w:rsidRDefault="00673E5A" w:rsidP="00A166D4">
            <w:pPr>
              <w:spacing w:before="0" w:after="0"/>
              <w:jc w:val="both"/>
              <w:rPr>
                <w:rFonts w:ascii="Times New Roman" w:hAnsi="Times New Roman" w:cs="Times New Roman"/>
                <w:sz w:val="24"/>
                <w:szCs w:val="24"/>
              </w:rPr>
            </w:pPr>
          </w:p>
          <w:p w14:paraId="4BF16C5A" w14:textId="77777777" w:rsidR="00673E5A" w:rsidRPr="00A166D4" w:rsidRDefault="00673E5A" w:rsidP="00A166D4">
            <w:pPr>
              <w:spacing w:before="0" w:after="0"/>
              <w:jc w:val="both"/>
              <w:rPr>
                <w:rFonts w:ascii="Times New Roman" w:hAnsi="Times New Roman" w:cs="Times New Roman"/>
                <w:sz w:val="24"/>
                <w:szCs w:val="24"/>
              </w:rPr>
            </w:pPr>
          </w:p>
          <w:p w14:paraId="4EEE35DD" w14:textId="77777777" w:rsidR="00673E5A" w:rsidRPr="00A166D4" w:rsidRDefault="00673E5A" w:rsidP="00A166D4">
            <w:pPr>
              <w:spacing w:before="0" w:after="0"/>
              <w:jc w:val="both"/>
              <w:rPr>
                <w:rFonts w:ascii="Times New Roman" w:hAnsi="Times New Roman" w:cs="Times New Roman"/>
                <w:sz w:val="24"/>
                <w:szCs w:val="24"/>
              </w:rPr>
            </w:pPr>
          </w:p>
          <w:p w14:paraId="2D110591" w14:textId="77777777" w:rsidR="00673E5A" w:rsidRPr="00A166D4" w:rsidRDefault="00673E5A" w:rsidP="00A166D4">
            <w:pPr>
              <w:spacing w:before="0" w:after="0"/>
              <w:jc w:val="both"/>
              <w:rPr>
                <w:rFonts w:ascii="Times New Roman" w:hAnsi="Times New Roman" w:cs="Times New Roman"/>
                <w:sz w:val="24"/>
                <w:szCs w:val="24"/>
              </w:rPr>
            </w:pPr>
          </w:p>
          <w:p w14:paraId="46ADAB03" w14:textId="77777777" w:rsidR="00673E5A" w:rsidRPr="00A166D4" w:rsidRDefault="00673E5A" w:rsidP="00A166D4">
            <w:pPr>
              <w:spacing w:before="0" w:after="0"/>
              <w:jc w:val="both"/>
              <w:rPr>
                <w:rFonts w:ascii="Times New Roman" w:hAnsi="Times New Roman" w:cs="Times New Roman"/>
                <w:sz w:val="24"/>
                <w:szCs w:val="24"/>
              </w:rPr>
            </w:pPr>
          </w:p>
          <w:p w14:paraId="34B07209" w14:textId="77777777" w:rsidR="00673E5A" w:rsidRPr="00A166D4" w:rsidRDefault="00673E5A" w:rsidP="00A166D4">
            <w:pPr>
              <w:spacing w:before="0" w:after="0"/>
              <w:jc w:val="both"/>
              <w:rPr>
                <w:rFonts w:ascii="Times New Roman" w:hAnsi="Times New Roman" w:cs="Times New Roman"/>
                <w:sz w:val="24"/>
                <w:szCs w:val="24"/>
              </w:rPr>
            </w:pPr>
          </w:p>
          <w:p w14:paraId="2815C60C" w14:textId="77777777" w:rsidR="009F62DF" w:rsidRDefault="009F62DF" w:rsidP="00A166D4">
            <w:pPr>
              <w:spacing w:before="0" w:after="0"/>
              <w:jc w:val="both"/>
              <w:rPr>
                <w:rFonts w:ascii="Times New Roman" w:hAnsi="Times New Roman" w:cs="Times New Roman"/>
                <w:sz w:val="24"/>
                <w:szCs w:val="24"/>
              </w:rPr>
            </w:pPr>
          </w:p>
          <w:p w14:paraId="5CFBD7A1" w14:textId="77777777" w:rsidR="009F62DF" w:rsidRDefault="009F62DF" w:rsidP="00A166D4">
            <w:pPr>
              <w:spacing w:before="0" w:after="0"/>
              <w:jc w:val="both"/>
              <w:rPr>
                <w:rFonts w:ascii="Times New Roman" w:hAnsi="Times New Roman" w:cs="Times New Roman"/>
                <w:sz w:val="24"/>
                <w:szCs w:val="24"/>
              </w:rPr>
            </w:pPr>
          </w:p>
          <w:p w14:paraId="4D2F2848" w14:textId="77777777" w:rsidR="009F62DF" w:rsidRDefault="009F62DF" w:rsidP="00A166D4">
            <w:pPr>
              <w:spacing w:before="0" w:after="0"/>
              <w:jc w:val="both"/>
              <w:rPr>
                <w:rFonts w:ascii="Times New Roman" w:hAnsi="Times New Roman" w:cs="Times New Roman"/>
                <w:sz w:val="24"/>
                <w:szCs w:val="24"/>
              </w:rPr>
            </w:pPr>
          </w:p>
          <w:p w14:paraId="38E577A9" w14:textId="77777777" w:rsidR="009F62DF" w:rsidRDefault="009F62DF" w:rsidP="00A166D4">
            <w:pPr>
              <w:spacing w:before="0" w:after="0"/>
              <w:jc w:val="both"/>
              <w:rPr>
                <w:rFonts w:ascii="Times New Roman" w:hAnsi="Times New Roman" w:cs="Times New Roman"/>
                <w:sz w:val="24"/>
                <w:szCs w:val="24"/>
              </w:rPr>
            </w:pPr>
          </w:p>
          <w:p w14:paraId="005D1B5B" w14:textId="25293510" w:rsidR="005F2AC9" w:rsidRPr="00A166D4" w:rsidRDefault="00F82ABB"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hAnsi="Times New Roman" w:cs="Times New Roman"/>
                <w:sz w:val="24"/>
                <w:szCs w:val="24"/>
              </w:rPr>
              <w:t>700 employees</w:t>
            </w:r>
          </w:p>
          <w:p w14:paraId="0EEF21D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6F2F0C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10BF42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2A2D48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BC0AA0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9474D4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F6C268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30F20C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FB27FF3"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43B64C96"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4CFB5DFF" w14:textId="6DE34AB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15 </w:t>
            </w:r>
            <w:r w:rsidR="00F82ABB" w:rsidRPr="00A166D4">
              <w:rPr>
                <w:rFonts w:ascii="Times New Roman" w:hAnsi="Times New Roman" w:cs="Times New Roman"/>
                <w:sz w:val="24"/>
                <w:szCs w:val="24"/>
              </w:rPr>
              <w:t>reports</w:t>
            </w:r>
          </w:p>
          <w:p w14:paraId="6251D8F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tc>
        <w:tc>
          <w:tcPr>
            <w:tcW w:w="121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15C07A6E" w14:textId="6104D803" w:rsidR="005F2AC9" w:rsidRPr="00A166D4" w:rsidRDefault="00F82ABB"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SSS / administrative data</w:t>
            </w:r>
          </w:p>
          <w:p w14:paraId="142599B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186CD7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B84E26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3EDC47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397AA3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C68F38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1535C7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60FBDB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4EEDA7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A3F243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35E871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C72318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6666580"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5FFA3AC0"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091C71E1"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54FA4320"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094B83C6"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5053FBAA" w14:textId="1FEE053C" w:rsidR="005F2AC9" w:rsidRPr="00A166D4" w:rsidRDefault="00F82ABB"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SSS / administrative data</w:t>
            </w:r>
          </w:p>
          <w:p w14:paraId="40EA79B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E4C589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1F077E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134659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229D35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99E15D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0B7988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E63C70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4D6B8F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C83099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A1432C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3ED1AC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9C460C3" w14:textId="77777777" w:rsidR="00673E5A" w:rsidRPr="00A166D4" w:rsidRDefault="00673E5A" w:rsidP="00A166D4">
            <w:pPr>
              <w:spacing w:before="0" w:after="0"/>
              <w:jc w:val="both"/>
              <w:rPr>
                <w:rFonts w:ascii="Times New Roman" w:hAnsi="Times New Roman" w:cs="Times New Roman"/>
                <w:sz w:val="24"/>
                <w:szCs w:val="24"/>
              </w:rPr>
            </w:pPr>
          </w:p>
          <w:p w14:paraId="2B78EDEC" w14:textId="77777777" w:rsidR="00673E5A" w:rsidRPr="00A166D4" w:rsidRDefault="00673E5A" w:rsidP="00A166D4">
            <w:pPr>
              <w:spacing w:before="0" w:after="0"/>
              <w:jc w:val="both"/>
              <w:rPr>
                <w:rFonts w:ascii="Times New Roman" w:hAnsi="Times New Roman" w:cs="Times New Roman"/>
                <w:sz w:val="24"/>
                <w:szCs w:val="24"/>
              </w:rPr>
            </w:pPr>
          </w:p>
          <w:p w14:paraId="5E68B855" w14:textId="77777777" w:rsidR="00673E5A" w:rsidRPr="00A166D4" w:rsidRDefault="00673E5A" w:rsidP="00A166D4">
            <w:pPr>
              <w:spacing w:before="0" w:after="0"/>
              <w:jc w:val="both"/>
              <w:rPr>
                <w:rFonts w:ascii="Times New Roman" w:hAnsi="Times New Roman" w:cs="Times New Roman"/>
                <w:sz w:val="24"/>
                <w:szCs w:val="24"/>
              </w:rPr>
            </w:pPr>
          </w:p>
          <w:p w14:paraId="0099381F" w14:textId="77777777" w:rsidR="009F62DF" w:rsidRDefault="009F62DF" w:rsidP="00A166D4">
            <w:pPr>
              <w:spacing w:before="0" w:after="0"/>
              <w:jc w:val="both"/>
              <w:rPr>
                <w:rFonts w:ascii="Times New Roman" w:hAnsi="Times New Roman" w:cs="Times New Roman"/>
                <w:sz w:val="24"/>
                <w:szCs w:val="24"/>
              </w:rPr>
            </w:pPr>
          </w:p>
          <w:p w14:paraId="5F7093C2" w14:textId="77777777" w:rsidR="009F62DF" w:rsidRDefault="009F62DF" w:rsidP="00A166D4">
            <w:pPr>
              <w:spacing w:before="0" w:after="0"/>
              <w:jc w:val="both"/>
              <w:rPr>
                <w:rFonts w:ascii="Times New Roman" w:hAnsi="Times New Roman" w:cs="Times New Roman"/>
                <w:sz w:val="24"/>
                <w:szCs w:val="24"/>
              </w:rPr>
            </w:pPr>
          </w:p>
          <w:p w14:paraId="6D867234" w14:textId="77777777" w:rsidR="009F62DF" w:rsidRDefault="009F62DF" w:rsidP="00A166D4">
            <w:pPr>
              <w:spacing w:before="0" w:after="0"/>
              <w:jc w:val="both"/>
              <w:rPr>
                <w:rFonts w:ascii="Times New Roman" w:hAnsi="Times New Roman" w:cs="Times New Roman"/>
                <w:sz w:val="24"/>
                <w:szCs w:val="24"/>
              </w:rPr>
            </w:pPr>
          </w:p>
          <w:p w14:paraId="53D909BA" w14:textId="77777777" w:rsidR="009F62DF" w:rsidRDefault="009F62DF" w:rsidP="00A166D4">
            <w:pPr>
              <w:spacing w:before="0" w:after="0"/>
              <w:jc w:val="both"/>
              <w:rPr>
                <w:rFonts w:ascii="Times New Roman" w:hAnsi="Times New Roman" w:cs="Times New Roman"/>
                <w:sz w:val="24"/>
                <w:szCs w:val="24"/>
              </w:rPr>
            </w:pPr>
          </w:p>
          <w:p w14:paraId="3B4A66B6" w14:textId="59D8238F" w:rsidR="005F2AC9" w:rsidRPr="00A166D4" w:rsidRDefault="00F82ABB"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hAnsi="Times New Roman" w:cs="Times New Roman"/>
                <w:sz w:val="24"/>
                <w:szCs w:val="24"/>
              </w:rPr>
              <w:t>SSS / administrative data</w:t>
            </w:r>
          </w:p>
          <w:p w14:paraId="30531BF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F6500B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0D93D7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91858C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6135E0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69A8E72" w14:textId="77777777" w:rsidR="00673E5A" w:rsidRPr="00A166D4" w:rsidRDefault="00673E5A" w:rsidP="00A166D4">
            <w:pPr>
              <w:spacing w:before="0" w:after="0"/>
              <w:jc w:val="both"/>
              <w:rPr>
                <w:rFonts w:ascii="Times New Roman" w:hAnsi="Times New Roman" w:cs="Times New Roman"/>
                <w:sz w:val="24"/>
                <w:szCs w:val="24"/>
              </w:rPr>
            </w:pPr>
          </w:p>
          <w:p w14:paraId="527A81F7" w14:textId="77777777" w:rsidR="00673E5A" w:rsidRPr="00A166D4" w:rsidRDefault="00673E5A" w:rsidP="00A166D4">
            <w:pPr>
              <w:spacing w:before="0" w:after="0"/>
              <w:jc w:val="both"/>
              <w:rPr>
                <w:rFonts w:ascii="Times New Roman" w:hAnsi="Times New Roman" w:cs="Times New Roman"/>
                <w:sz w:val="24"/>
                <w:szCs w:val="24"/>
              </w:rPr>
            </w:pPr>
          </w:p>
          <w:p w14:paraId="57B08B3C" w14:textId="77777777" w:rsidR="00673E5A" w:rsidRPr="00A166D4" w:rsidRDefault="00673E5A" w:rsidP="00A166D4">
            <w:pPr>
              <w:spacing w:before="0" w:after="0"/>
              <w:jc w:val="both"/>
              <w:rPr>
                <w:rFonts w:ascii="Times New Roman" w:hAnsi="Times New Roman" w:cs="Times New Roman"/>
                <w:sz w:val="24"/>
                <w:szCs w:val="24"/>
              </w:rPr>
            </w:pPr>
          </w:p>
          <w:p w14:paraId="27EFD236" w14:textId="77777777" w:rsidR="009F62DF" w:rsidRDefault="009F62DF" w:rsidP="00A166D4">
            <w:pPr>
              <w:spacing w:before="0" w:after="0"/>
              <w:jc w:val="both"/>
              <w:rPr>
                <w:rFonts w:ascii="Times New Roman" w:hAnsi="Times New Roman" w:cs="Times New Roman"/>
                <w:sz w:val="24"/>
                <w:szCs w:val="24"/>
              </w:rPr>
            </w:pPr>
          </w:p>
          <w:p w14:paraId="20E7B671" w14:textId="77777777" w:rsidR="009F62DF" w:rsidRDefault="009F62DF" w:rsidP="00A166D4">
            <w:pPr>
              <w:spacing w:before="0" w:after="0"/>
              <w:jc w:val="both"/>
              <w:rPr>
                <w:rFonts w:ascii="Times New Roman" w:hAnsi="Times New Roman" w:cs="Times New Roman"/>
                <w:sz w:val="24"/>
                <w:szCs w:val="24"/>
              </w:rPr>
            </w:pPr>
          </w:p>
          <w:p w14:paraId="1009006B" w14:textId="3660213B" w:rsidR="005F2AC9" w:rsidRPr="00A166D4" w:rsidRDefault="00F82ABB"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hAnsi="Times New Roman" w:cs="Times New Roman"/>
                <w:sz w:val="24"/>
                <w:szCs w:val="24"/>
              </w:rPr>
              <w:t>SSS / administrative data</w:t>
            </w:r>
          </w:p>
        </w:tc>
        <w:tc>
          <w:tcPr>
            <w:tcW w:w="110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4461BE3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tc>
      </w:tr>
      <w:tr w:rsidR="005F2AC9" w:rsidRPr="00A166D4" w14:paraId="7492387A" w14:textId="77777777">
        <w:trPr>
          <w:trHeight w:val="300"/>
        </w:trPr>
        <w:tc>
          <w:tcPr>
            <w:tcW w:w="953" w:type="dxa"/>
            <w:vMerge/>
            <w:tcBorders>
              <w:top w:val="single" w:sz="6" w:space="0" w:color="000000"/>
              <w:left w:val="single" w:sz="6" w:space="0" w:color="000000"/>
              <w:bottom w:val="single" w:sz="6" w:space="0" w:color="000000"/>
              <w:right w:val="single" w:sz="6" w:space="0" w:color="000000"/>
            </w:tcBorders>
            <w:shd w:val="clear" w:color="auto" w:fill="FFF2CC"/>
            <w:vAlign w:val="center"/>
          </w:tcPr>
          <w:p w14:paraId="36E67B05" w14:textId="77777777" w:rsidR="005F2AC9" w:rsidRPr="00A166D4" w:rsidRDefault="005F2AC9" w:rsidP="00A166D4">
            <w:pPr>
              <w:spacing w:before="0" w:after="0"/>
              <w:jc w:val="both"/>
              <w:rPr>
                <w:rFonts w:ascii="Times New Roman" w:hAnsi="Times New Roman" w:cs="Times New Roman"/>
                <w:color w:val="000000" w:themeColor="text1"/>
                <w:sz w:val="24"/>
                <w:szCs w:val="24"/>
              </w:rPr>
            </w:pPr>
          </w:p>
        </w:tc>
        <w:tc>
          <w:tcPr>
            <w:tcW w:w="1481"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430A468F" w14:textId="1AB87FB6"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sq-AL"/>
              </w:rPr>
              <w:t>A1.2. Improving the socio-economic reintegration of individuals (women and men) who are part of the Economic Assistance scheme, through linkage with employment and the promotion of social enterprises.</w:t>
            </w:r>
          </w:p>
        </w:tc>
        <w:tc>
          <w:tcPr>
            <w:tcW w:w="156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4304DFC7"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Number of EA and PwD beneficiary individuals employed through employment programmes</w:t>
            </w:r>
          </w:p>
          <w:p w14:paraId="7E300BD7" w14:textId="4EBCFB63"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213AFAB6"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Number of young people who are part of the economic assistance programme benefiting from the Youth Guarantee Scheme, by gender, age group 15–29 years, by gender</w:t>
            </w:r>
          </w:p>
          <w:p w14:paraId="6E608977" w14:textId="503BCD2C"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66A38EA" w14:textId="2DFE87F0"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Number (or %) of women benefiting from various employment promotion schemes (or from the NAES ecosystem)</w:t>
            </w:r>
            <w:r w:rsidR="00B56839" w:rsidRPr="00A166D4">
              <w:rPr>
                <w:rFonts w:ascii="Times New Roman" w:eastAsia="Times New Roman" w:hAnsi="Times New Roman" w:cs="Times New Roman"/>
                <w:color w:val="000000" w:themeColor="text1"/>
                <w:sz w:val="24"/>
                <w:szCs w:val="24"/>
              </w:rPr>
              <w:t xml:space="preserve"> </w:t>
            </w:r>
          </w:p>
          <w:p w14:paraId="04162E0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tc>
        <w:tc>
          <w:tcPr>
            <w:tcW w:w="925"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61F0347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2,824 </w:t>
            </w:r>
          </w:p>
          <w:p w14:paraId="571940A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7ED1F97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85C504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8808BF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2687145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2725417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B4DAB4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0CE2750"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p>
          <w:p w14:paraId="3D319754" w14:textId="5FC72544"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60 39 female 41 male</w:t>
            </w:r>
          </w:p>
          <w:p w14:paraId="61BAC7E7" w14:textId="7AF2519B"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593DA0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242155E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2DEA5531"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11D3087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7F800D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3045028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27E1D3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106F4F16"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p>
          <w:p w14:paraId="56ED86D7"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p>
          <w:p w14:paraId="437F41B2"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p>
          <w:p w14:paraId="47245F16"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p>
          <w:p w14:paraId="1B341868" w14:textId="5960B378"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1,637</w:t>
            </w:r>
          </w:p>
        </w:tc>
        <w:tc>
          <w:tcPr>
            <w:tcW w:w="94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38991B8F"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3,009</w:t>
            </w:r>
          </w:p>
          <w:p w14:paraId="64C30541"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lang w:val="it-IT"/>
              </w:rPr>
            </w:pPr>
            <w:r w:rsidRPr="00A166D4">
              <w:rPr>
                <w:rFonts w:ascii="Times New Roman" w:eastAsia="Times New Roman" w:hAnsi="Times New Roman" w:cs="Times New Roman"/>
                <w:color w:val="000000" w:themeColor="text1"/>
                <w:sz w:val="24"/>
                <w:szCs w:val="24"/>
                <w:highlight w:val="yellow"/>
                <w:lang w:val="it-IT"/>
              </w:rPr>
              <w:t xml:space="preserve"> </w:t>
            </w:r>
          </w:p>
          <w:p w14:paraId="28AD7352"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lang w:val="it-IT"/>
              </w:rPr>
            </w:pPr>
            <w:r w:rsidRPr="00A166D4">
              <w:rPr>
                <w:rFonts w:ascii="Times New Roman" w:eastAsia="Times New Roman" w:hAnsi="Times New Roman" w:cs="Times New Roman"/>
                <w:color w:val="000000" w:themeColor="text1"/>
                <w:sz w:val="24"/>
                <w:szCs w:val="24"/>
                <w:highlight w:val="yellow"/>
                <w:lang w:val="it-IT"/>
              </w:rPr>
              <w:t xml:space="preserve"> </w:t>
            </w:r>
          </w:p>
          <w:p w14:paraId="212DC910"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lang w:val="it-IT"/>
              </w:rPr>
            </w:pPr>
            <w:r w:rsidRPr="00A166D4">
              <w:rPr>
                <w:rFonts w:ascii="Times New Roman" w:eastAsia="Times New Roman" w:hAnsi="Times New Roman" w:cs="Times New Roman"/>
                <w:color w:val="000000" w:themeColor="text1"/>
                <w:sz w:val="24"/>
                <w:szCs w:val="24"/>
                <w:highlight w:val="yellow"/>
                <w:lang w:val="it-IT"/>
              </w:rPr>
              <w:t xml:space="preserve"> </w:t>
            </w:r>
          </w:p>
          <w:p w14:paraId="74872E1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lang w:val="it-IT"/>
              </w:rPr>
            </w:pPr>
          </w:p>
          <w:p w14:paraId="0100534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lang w:val="it-IT"/>
              </w:rPr>
            </w:pPr>
          </w:p>
          <w:p w14:paraId="04873DF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lang w:val="it-IT"/>
              </w:rPr>
            </w:pPr>
          </w:p>
          <w:p w14:paraId="53619DB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lang w:val="it-IT"/>
              </w:rPr>
            </w:pPr>
          </w:p>
          <w:p w14:paraId="28A59CE5"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p>
          <w:p w14:paraId="35339C5C" w14:textId="35A8D2A4" w:rsidR="005F2AC9" w:rsidRPr="00A166D4" w:rsidRDefault="00F82ABB" w:rsidP="00A166D4">
            <w:pPr>
              <w:spacing w:before="0" w:after="0"/>
              <w:jc w:val="both"/>
              <w:rPr>
                <w:rFonts w:ascii="Times New Roman" w:eastAsia="Times New Roman" w:hAnsi="Times New Roman" w:cs="Times New Roman"/>
                <w:color w:val="000000" w:themeColor="text1"/>
                <w:sz w:val="24"/>
                <w:szCs w:val="24"/>
                <w:highlight w:val="yellow"/>
                <w:lang w:val="it-IT"/>
              </w:rPr>
            </w:pPr>
            <w:r w:rsidRPr="00A166D4">
              <w:rPr>
                <w:rFonts w:ascii="Times New Roman" w:eastAsia="Times New Roman" w:hAnsi="Times New Roman" w:cs="Times New Roman"/>
                <w:color w:val="000000" w:themeColor="text1"/>
                <w:sz w:val="24"/>
                <w:szCs w:val="24"/>
                <w:lang w:val="it-IT"/>
              </w:rPr>
              <w:t>100 65 female 35 male</w:t>
            </w:r>
            <w:r w:rsidR="00B56839" w:rsidRPr="00A166D4">
              <w:rPr>
                <w:rFonts w:ascii="Times New Roman" w:eastAsia="Times New Roman" w:hAnsi="Times New Roman" w:cs="Times New Roman"/>
                <w:color w:val="000000" w:themeColor="text1"/>
                <w:sz w:val="24"/>
                <w:szCs w:val="24"/>
                <w:highlight w:val="yellow"/>
                <w:lang w:val="it-IT"/>
              </w:rPr>
              <w:t xml:space="preserve"> </w:t>
            </w:r>
          </w:p>
          <w:p w14:paraId="18025735"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lang w:val="it-IT"/>
              </w:rPr>
            </w:pPr>
            <w:r w:rsidRPr="00A166D4">
              <w:rPr>
                <w:rFonts w:ascii="Times New Roman" w:eastAsia="Times New Roman" w:hAnsi="Times New Roman" w:cs="Times New Roman"/>
                <w:color w:val="000000" w:themeColor="text1"/>
                <w:sz w:val="24"/>
                <w:szCs w:val="24"/>
                <w:highlight w:val="yellow"/>
                <w:lang w:val="it-IT"/>
              </w:rPr>
              <w:t xml:space="preserve"> </w:t>
            </w:r>
          </w:p>
          <w:p w14:paraId="2CD8414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lang w:val="it-IT"/>
              </w:rPr>
            </w:pPr>
          </w:p>
          <w:p w14:paraId="7F4E17E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lang w:val="it-IT"/>
              </w:rPr>
            </w:pPr>
          </w:p>
          <w:p w14:paraId="71F7556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lang w:val="it-IT"/>
              </w:rPr>
            </w:pPr>
          </w:p>
          <w:p w14:paraId="389426A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lang w:val="it-IT"/>
              </w:rPr>
            </w:pPr>
          </w:p>
          <w:p w14:paraId="269BFDE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lang w:val="it-IT"/>
              </w:rPr>
            </w:pPr>
          </w:p>
          <w:p w14:paraId="496979D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lang w:val="it-IT"/>
              </w:rPr>
            </w:pPr>
          </w:p>
          <w:p w14:paraId="6E72FF0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lang w:val="it-IT"/>
              </w:rPr>
            </w:pPr>
          </w:p>
          <w:p w14:paraId="4CAF4B1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lang w:val="it-IT"/>
              </w:rPr>
            </w:pPr>
          </w:p>
          <w:p w14:paraId="10DA6CA2"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p>
          <w:p w14:paraId="049A34CE"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p>
          <w:p w14:paraId="33CA8454"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p>
          <w:p w14:paraId="7BDFD7F6" w14:textId="2AE87B2F"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lang w:val="it-IT"/>
              </w:rPr>
            </w:pPr>
            <w:r w:rsidRPr="00A166D4">
              <w:rPr>
                <w:rFonts w:ascii="Times New Roman" w:eastAsia="Times New Roman" w:hAnsi="Times New Roman" w:cs="Times New Roman"/>
                <w:color w:val="000000" w:themeColor="text1"/>
                <w:sz w:val="24"/>
                <w:szCs w:val="24"/>
                <w:lang w:val="it-IT"/>
              </w:rPr>
              <w:t>2,128</w:t>
            </w:r>
          </w:p>
        </w:tc>
        <w:tc>
          <w:tcPr>
            <w:tcW w:w="927"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556D042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5,070</w:t>
            </w:r>
          </w:p>
          <w:p w14:paraId="524656D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F7D5E4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79789A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B890291"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2345D4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0DEB362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138922F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0AD22198"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p>
          <w:p w14:paraId="7445D190" w14:textId="3A5F80FC"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150 98 female 42 male</w:t>
            </w:r>
            <w:r w:rsidR="00B56839" w:rsidRPr="00A166D4">
              <w:rPr>
                <w:rFonts w:ascii="Times New Roman" w:eastAsia="Times New Roman" w:hAnsi="Times New Roman" w:cs="Times New Roman"/>
                <w:color w:val="000000" w:themeColor="text1"/>
                <w:sz w:val="24"/>
                <w:szCs w:val="24"/>
                <w:lang w:val="it-IT"/>
              </w:rPr>
              <w:t xml:space="preserve"> </w:t>
            </w:r>
          </w:p>
          <w:p w14:paraId="35856C1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A905BB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F1A44A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DC8B31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778ADC3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252EC43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0E29EEE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B1DCB3B" w14:textId="77777777" w:rsidR="00962E92" w:rsidRPr="00A166D4" w:rsidRDefault="00962E92" w:rsidP="00A166D4">
            <w:pPr>
              <w:spacing w:before="0" w:after="0"/>
              <w:jc w:val="both"/>
              <w:rPr>
                <w:rFonts w:ascii="Times New Roman" w:eastAsia="Times New Roman" w:hAnsi="Times New Roman" w:cs="Times New Roman"/>
                <w:color w:val="000000" w:themeColor="text1"/>
                <w:sz w:val="24"/>
                <w:szCs w:val="24"/>
                <w:lang w:val="it-IT"/>
              </w:rPr>
            </w:pPr>
          </w:p>
          <w:p w14:paraId="63766857"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p>
          <w:p w14:paraId="69CE19DB"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p>
          <w:p w14:paraId="25CBCA2D"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p>
          <w:p w14:paraId="2C84C78C"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p>
          <w:p w14:paraId="79BF2952" w14:textId="1617DCF8"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2,770</w:t>
            </w:r>
          </w:p>
        </w:tc>
        <w:tc>
          <w:tcPr>
            <w:tcW w:w="121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4AE4B5A" w14:textId="25AB535F"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NAES / administrative data</w:t>
            </w:r>
            <w:r w:rsidR="00B56839" w:rsidRPr="00A166D4">
              <w:rPr>
                <w:rFonts w:ascii="Times New Roman" w:eastAsia="Times New Roman" w:hAnsi="Times New Roman" w:cs="Times New Roman"/>
                <w:color w:val="000000" w:themeColor="text1"/>
                <w:sz w:val="24"/>
                <w:szCs w:val="24"/>
              </w:rPr>
              <w:t xml:space="preserve"> </w:t>
            </w:r>
          </w:p>
          <w:p w14:paraId="2D8D617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3E0B45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E72A06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91C5745"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rPr>
            </w:pPr>
          </w:p>
          <w:p w14:paraId="458CB786"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rPr>
            </w:pPr>
          </w:p>
          <w:p w14:paraId="283A7B4C"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rPr>
            </w:pPr>
          </w:p>
          <w:p w14:paraId="170CD12C" w14:textId="58113C13"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NAES / administrative data</w:t>
            </w:r>
            <w:r w:rsidR="00B56839" w:rsidRPr="00A166D4">
              <w:rPr>
                <w:rFonts w:ascii="Times New Roman" w:eastAsia="Times New Roman" w:hAnsi="Times New Roman" w:cs="Times New Roman"/>
                <w:color w:val="000000" w:themeColor="text1"/>
                <w:sz w:val="24"/>
                <w:szCs w:val="24"/>
              </w:rPr>
              <w:t xml:space="preserve"> </w:t>
            </w:r>
          </w:p>
          <w:p w14:paraId="61C13CB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D43B12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8F0934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04F617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05AD51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7ACC7E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F686F75"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rPr>
            </w:pPr>
          </w:p>
          <w:p w14:paraId="5E1FE601"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rPr>
            </w:pPr>
          </w:p>
          <w:p w14:paraId="6C817D39"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rPr>
            </w:pPr>
          </w:p>
          <w:p w14:paraId="2E375413"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rPr>
            </w:pPr>
          </w:p>
          <w:p w14:paraId="0FC9EAB6"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rPr>
            </w:pPr>
          </w:p>
          <w:p w14:paraId="764B57FB"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rPr>
            </w:pPr>
          </w:p>
          <w:p w14:paraId="0F9B25EC"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02D37312" w14:textId="77777777" w:rsidR="009F62DF" w:rsidRDefault="009F62DF" w:rsidP="00A166D4">
            <w:pPr>
              <w:spacing w:before="0" w:after="0"/>
              <w:jc w:val="both"/>
              <w:rPr>
                <w:rFonts w:ascii="Times New Roman" w:eastAsia="Times New Roman" w:hAnsi="Times New Roman" w:cs="Times New Roman"/>
                <w:color w:val="000000" w:themeColor="text1"/>
                <w:sz w:val="24"/>
                <w:szCs w:val="24"/>
              </w:rPr>
            </w:pPr>
          </w:p>
          <w:p w14:paraId="6AA09C9C" w14:textId="4E0A7911"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NAES / administrative data</w:t>
            </w:r>
            <w:r w:rsidR="00B56839" w:rsidRPr="00A166D4">
              <w:rPr>
                <w:rFonts w:ascii="Times New Roman" w:eastAsia="Times New Roman" w:hAnsi="Times New Roman" w:cs="Times New Roman"/>
                <w:color w:val="000000" w:themeColor="text1"/>
                <w:sz w:val="24"/>
                <w:szCs w:val="24"/>
              </w:rPr>
              <w:t xml:space="preserve"> </w:t>
            </w:r>
          </w:p>
          <w:p w14:paraId="2EA5063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tc>
        <w:tc>
          <w:tcPr>
            <w:tcW w:w="110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BEBEA8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tc>
      </w:tr>
      <w:tr w:rsidR="005F2AC9" w:rsidRPr="00A166D4" w14:paraId="68D10465" w14:textId="77777777">
        <w:trPr>
          <w:trHeight w:val="300"/>
        </w:trPr>
        <w:tc>
          <w:tcPr>
            <w:tcW w:w="953" w:type="dxa"/>
            <w:vMerge/>
            <w:tcBorders>
              <w:top w:val="single" w:sz="6" w:space="0" w:color="000000"/>
              <w:left w:val="single" w:sz="6" w:space="0" w:color="000000"/>
              <w:bottom w:val="single" w:sz="6" w:space="0" w:color="000000"/>
              <w:right w:val="single" w:sz="6" w:space="0" w:color="000000"/>
            </w:tcBorders>
            <w:shd w:val="clear" w:color="auto" w:fill="FFF2CC"/>
            <w:vAlign w:val="center"/>
          </w:tcPr>
          <w:p w14:paraId="288D99EE" w14:textId="77777777" w:rsidR="005F2AC9" w:rsidRPr="00A166D4" w:rsidRDefault="005F2AC9" w:rsidP="00A166D4">
            <w:pPr>
              <w:spacing w:before="0" w:after="0"/>
              <w:jc w:val="both"/>
              <w:rPr>
                <w:rFonts w:ascii="Times New Roman" w:hAnsi="Times New Roman" w:cs="Times New Roman"/>
                <w:color w:val="000000" w:themeColor="text1"/>
                <w:sz w:val="24"/>
                <w:szCs w:val="24"/>
              </w:rPr>
            </w:pPr>
          </w:p>
        </w:tc>
        <w:tc>
          <w:tcPr>
            <w:tcW w:w="1481"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5B5711CE" w14:textId="002303E2"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A1.3. Improving the capacity of the economic assistance programme and financial benefits to respond in a timely manner to the vulnerabilities of crisis and emergency situations.</w:t>
            </w:r>
          </w:p>
        </w:tc>
        <w:tc>
          <w:tcPr>
            <w:tcW w:w="156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685C6EF1"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Number of social protection programme personnel trained on the crisis response approach of EA and disability schemes/systems (at local, regional and central level, by gender and municipalities/regions)</w:t>
            </w:r>
          </w:p>
          <w:p w14:paraId="051AB02B" w14:textId="77777777" w:rsidR="00F82ABB"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p>
          <w:p w14:paraId="28D6E644" w14:textId="3D190D29"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2EE9D0AA" w14:textId="46036106" w:rsidR="005F2AC9" w:rsidRPr="00A166D4" w:rsidRDefault="00F82ABB"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Number of municipalities that have drafted guidelines for integrating the response to crisis and emergency situations</w:t>
            </w:r>
          </w:p>
        </w:tc>
        <w:tc>
          <w:tcPr>
            <w:tcW w:w="925"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5AF6CAA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N/A</w:t>
            </w:r>
          </w:p>
          <w:p w14:paraId="48C9015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244776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77A5E21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1DE87B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109FDF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37605E7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0715F45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704BB55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237A02D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1ACA9E7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A2CDCF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626DFD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2C66976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76CAD86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EDDCC8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7DFC257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A3FBDEB" w14:textId="77777777" w:rsidR="009F62DF"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0E2090B5" w14:textId="77777777" w:rsidR="009F62DF" w:rsidRDefault="009F62DF" w:rsidP="00A166D4">
            <w:pPr>
              <w:spacing w:before="0" w:after="0"/>
              <w:jc w:val="both"/>
              <w:rPr>
                <w:rFonts w:ascii="Times New Roman" w:eastAsia="Times New Roman" w:hAnsi="Times New Roman" w:cs="Times New Roman"/>
                <w:color w:val="000000" w:themeColor="text1"/>
                <w:sz w:val="24"/>
                <w:szCs w:val="24"/>
                <w:lang w:val="it-IT"/>
              </w:rPr>
            </w:pPr>
          </w:p>
          <w:p w14:paraId="72255299" w14:textId="77777777" w:rsidR="009F62DF" w:rsidRDefault="009F62DF" w:rsidP="00A166D4">
            <w:pPr>
              <w:spacing w:before="0" w:after="0"/>
              <w:jc w:val="both"/>
              <w:rPr>
                <w:rFonts w:ascii="Times New Roman" w:eastAsia="Times New Roman" w:hAnsi="Times New Roman" w:cs="Times New Roman"/>
                <w:color w:val="000000" w:themeColor="text1"/>
                <w:sz w:val="24"/>
                <w:szCs w:val="24"/>
                <w:lang w:val="it-IT"/>
              </w:rPr>
            </w:pPr>
          </w:p>
          <w:p w14:paraId="59BCE916" w14:textId="125C1885"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N/A</w:t>
            </w:r>
          </w:p>
        </w:tc>
        <w:tc>
          <w:tcPr>
            <w:tcW w:w="94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3F46E0E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N/A</w:t>
            </w:r>
          </w:p>
          <w:p w14:paraId="1D3018E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93814D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785059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2533C77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E77419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01C549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9E6D031"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6CDDAB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324D76E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0D83C0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28317B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A32363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356377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2D9BA501"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4715F51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3068A2D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238036C2" w14:textId="77777777" w:rsidR="009F62DF"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02828702" w14:textId="77777777" w:rsidR="009F62DF" w:rsidRDefault="009F62DF" w:rsidP="00A166D4">
            <w:pPr>
              <w:spacing w:before="0" w:after="0"/>
              <w:jc w:val="both"/>
              <w:rPr>
                <w:rFonts w:ascii="Times New Roman" w:eastAsia="Times New Roman" w:hAnsi="Times New Roman" w:cs="Times New Roman"/>
                <w:color w:val="000000" w:themeColor="text1"/>
                <w:sz w:val="24"/>
                <w:szCs w:val="24"/>
                <w:lang w:val="it-IT"/>
              </w:rPr>
            </w:pPr>
          </w:p>
          <w:p w14:paraId="6D1CAE3E" w14:textId="77777777" w:rsidR="009F62DF" w:rsidRDefault="009F62DF" w:rsidP="00A166D4">
            <w:pPr>
              <w:spacing w:before="0" w:after="0"/>
              <w:jc w:val="both"/>
              <w:rPr>
                <w:rFonts w:ascii="Times New Roman" w:eastAsia="Times New Roman" w:hAnsi="Times New Roman" w:cs="Times New Roman"/>
                <w:color w:val="000000" w:themeColor="text1"/>
                <w:sz w:val="24"/>
                <w:szCs w:val="24"/>
                <w:lang w:val="it-IT"/>
              </w:rPr>
            </w:pPr>
          </w:p>
          <w:p w14:paraId="4767DC29" w14:textId="648212EB"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N/A</w:t>
            </w:r>
          </w:p>
          <w:p w14:paraId="7675E55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tc>
        <w:tc>
          <w:tcPr>
            <w:tcW w:w="927"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312CDE82" w14:textId="60A50A98"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400 employees</w:t>
            </w:r>
            <w:r w:rsidR="00B56839" w:rsidRPr="00A166D4">
              <w:rPr>
                <w:rFonts w:ascii="Times New Roman" w:eastAsia="Times New Roman" w:hAnsi="Times New Roman" w:cs="Times New Roman"/>
                <w:color w:val="000000" w:themeColor="text1"/>
                <w:sz w:val="24"/>
                <w:szCs w:val="24"/>
                <w:lang w:val="it-IT"/>
              </w:rPr>
              <w:t xml:space="preserve"> </w:t>
            </w:r>
          </w:p>
          <w:p w14:paraId="2160E26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CDAD76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286243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3F27583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370562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7A6E38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08736A1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4EB9C91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4864AEA1"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98C3B91"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73D604C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74828E6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4F9ECBB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4796FD1F" w14:textId="77777777" w:rsidR="00673E5A"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87AD0DF" w14:textId="77777777" w:rsidR="009F62DF" w:rsidRDefault="009F62DF" w:rsidP="00A166D4">
            <w:pPr>
              <w:spacing w:before="0" w:after="0"/>
              <w:jc w:val="both"/>
              <w:rPr>
                <w:rFonts w:ascii="Times New Roman" w:eastAsia="Times New Roman" w:hAnsi="Times New Roman" w:cs="Times New Roman"/>
                <w:color w:val="000000" w:themeColor="text1"/>
                <w:sz w:val="24"/>
                <w:szCs w:val="24"/>
                <w:lang w:val="it-IT"/>
              </w:rPr>
            </w:pPr>
          </w:p>
          <w:p w14:paraId="3F421609" w14:textId="77777777" w:rsidR="009F62DF" w:rsidRDefault="009F62DF" w:rsidP="00A166D4">
            <w:pPr>
              <w:spacing w:before="0" w:after="0"/>
              <w:jc w:val="both"/>
              <w:rPr>
                <w:rFonts w:ascii="Times New Roman" w:eastAsia="Times New Roman" w:hAnsi="Times New Roman" w:cs="Times New Roman"/>
                <w:color w:val="000000" w:themeColor="text1"/>
                <w:sz w:val="24"/>
                <w:szCs w:val="24"/>
                <w:lang w:val="it-IT"/>
              </w:rPr>
            </w:pPr>
          </w:p>
          <w:p w14:paraId="69713667" w14:textId="77777777" w:rsidR="009F62DF" w:rsidRDefault="009F62DF" w:rsidP="00A166D4">
            <w:pPr>
              <w:spacing w:before="0" w:after="0"/>
              <w:jc w:val="both"/>
              <w:rPr>
                <w:rFonts w:ascii="Times New Roman" w:eastAsia="Times New Roman" w:hAnsi="Times New Roman" w:cs="Times New Roman"/>
                <w:color w:val="000000" w:themeColor="text1"/>
                <w:sz w:val="24"/>
                <w:szCs w:val="24"/>
                <w:lang w:val="it-IT"/>
              </w:rPr>
            </w:pPr>
          </w:p>
          <w:p w14:paraId="6D2751B5" w14:textId="65542DE2"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61 bashki</w:t>
            </w:r>
          </w:p>
          <w:p w14:paraId="18768A5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tc>
        <w:tc>
          <w:tcPr>
            <w:tcW w:w="121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7124A010" w14:textId="2BF9A824"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SSS / administrative data</w:t>
            </w:r>
            <w:r w:rsidR="00B56839" w:rsidRPr="00A166D4">
              <w:rPr>
                <w:rFonts w:ascii="Times New Roman" w:eastAsia="Times New Roman" w:hAnsi="Times New Roman" w:cs="Times New Roman"/>
                <w:color w:val="000000" w:themeColor="text1"/>
                <w:sz w:val="24"/>
                <w:szCs w:val="24"/>
              </w:rPr>
              <w:t xml:space="preserve">  </w:t>
            </w:r>
          </w:p>
          <w:p w14:paraId="251D6D4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4F683E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C60E42E" w14:textId="77777777" w:rsidR="00F82ABB" w:rsidRPr="00A166D4" w:rsidRDefault="00F82ABB" w:rsidP="00A166D4">
            <w:pPr>
              <w:spacing w:before="0" w:after="0"/>
              <w:jc w:val="both"/>
              <w:rPr>
                <w:rFonts w:ascii="Times New Roman" w:hAnsi="Times New Roman" w:cs="Times New Roman"/>
                <w:sz w:val="24"/>
                <w:szCs w:val="24"/>
              </w:rPr>
            </w:pPr>
          </w:p>
          <w:p w14:paraId="68512647" w14:textId="77777777" w:rsidR="00F82ABB" w:rsidRPr="00A166D4" w:rsidRDefault="00F82ABB" w:rsidP="00A166D4">
            <w:pPr>
              <w:spacing w:before="0" w:after="0"/>
              <w:jc w:val="both"/>
              <w:rPr>
                <w:rFonts w:ascii="Times New Roman" w:hAnsi="Times New Roman" w:cs="Times New Roman"/>
                <w:sz w:val="24"/>
                <w:szCs w:val="24"/>
              </w:rPr>
            </w:pPr>
          </w:p>
          <w:p w14:paraId="1C16FF79" w14:textId="77777777" w:rsidR="00F82ABB" w:rsidRPr="00A166D4" w:rsidRDefault="00F82ABB" w:rsidP="00A166D4">
            <w:pPr>
              <w:spacing w:before="0" w:after="0"/>
              <w:jc w:val="both"/>
              <w:rPr>
                <w:rFonts w:ascii="Times New Roman" w:hAnsi="Times New Roman" w:cs="Times New Roman"/>
                <w:sz w:val="24"/>
                <w:szCs w:val="24"/>
              </w:rPr>
            </w:pPr>
          </w:p>
          <w:p w14:paraId="524B8B7A" w14:textId="77777777" w:rsidR="00F82ABB" w:rsidRPr="00A166D4" w:rsidRDefault="00F82ABB" w:rsidP="00A166D4">
            <w:pPr>
              <w:spacing w:before="0" w:after="0"/>
              <w:jc w:val="both"/>
              <w:rPr>
                <w:rFonts w:ascii="Times New Roman" w:hAnsi="Times New Roman" w:cs="Times New Roman"/>
                <w:sz w:val="24"/>
                <w:szCs w:val="24"/>
              </w:rPr>
            </w:pPr>
          </w:p>
          <w:p w14:paraId="2F938E95" w14:textId="77777777" w:rsidR="00F82ABB" w:rsidRPr="00A166D4" w:rsidRDefault="00F82ABB" w:rsidP="00A166D4">
            <w:pPr>
              <w:spacing w:before="0" w:after="0"/>
              <w:jc w:val="both"/>
              <w:rPr>
                <w:rFonts w:ascii="Times New Roman" w:hAnsi="Times New Roman" w:cs="Times New Roman"/>
                <w:sz w:val="24"/>
                <w:szCs w:val="24"/>
              </w:rPr>
            </w:pPr>
          </w:p>
          <w:p w14:paraId="681F0364" w14:textId="77777777" w:rsidR="00F82ABB" w:rsidRPr="00A166D4" w:rsidRDefault="00F82ABB" w:rsidP="00A166D4">
            <w:pPr>
              <w:spacing w:before="0" w:after="0"/>
              <w:jc w:val="both"/>
              <w:rPr>
                <w:rFonts w:ascii="Times New Roman" w:hAnsi="Times New Roman" w:cs="Times New Roman"/>
                <w:sz w:val="24"/>
                <w:szCs w:val="24"/>
              </w:rPr>
            </w:pPr>
          </w:p>
          <w:p w14:paraId="7AB20333" w14:textId="77777777" w:rsidR="00F82ABB" w:rsidRPr="00A166D4" w:rsidRDefault="00F82ABB" w:rsidP="00A166D4">
            <w:pPr>
              <w:spacing w:before="0" w:after="0"/>
              <w:jc w:val="both"/>
              <w:rPr>
                <w:rFonts w:ascii="Times New Roman" w:hAnsi="Times New Roman" w:cs="Times New Roman"/>
                <w:sz w:val="24"/>
                <w:szCs w:val="24"/>
              </w:rPr>
            </w:pPr>
          </w:p>
          <w:p w14:paraId="01D63CDB" w14:textId="77777777" w:rsidR="00F82ABB" w:rsidRPr="00A166D4" w:rsidRDefault="00F82ABB" w:rsidP="00A166D4">
            <w:pPr>
              <w:spacing w:before="0" w:after="0"/>
              <w:jc w:val="both"/>
              <w:rPr>
                <w:rFonts w:ascii="Times New Roman" w:hAnsi="Times New Roman" w:cs="Times New Roman"/>
                <w:sz w:val="24"/>
                <w:szCs w:val="24"/>
              </w:rPr>
            </w:pPr>
          </w:p>
          <w:p w14:paraId="1BDF378F" w14:textId="77777777" w:rsidR="00F82ABB" w:rsidRPr="00A166D4" w:rsidRDefault="00F82ABB" w:rsidP="00A166D4">
            <w:pPr>
              <w:spacing w:before="0" w:after="0"/>
              <w:jc w:val="both"/>
              <w:rPr>
                <w:rFonts w:ascii="Times New Roman" w:hAnsi="Times New Roman" w:cs="Times New Roman"/>
                <w:sz w:val="24"/>
                <w:szCs w:val="24"/>
              </w:rPr>
            </w:pPr>
          </w:p>
          <w:p w14:paraId="3FCD41AE" w14:textId="77777777" w:rsidR="00F82ABB" w:rsidRPr="00A166D4" w:rsidRDefault="00F82ABB" w:rsidP="00A166D4">
            <w:pPr>
              <w:spacing w:before="0" w:after="0"/>
              <w:jc w:val="both"/>
              <w:rPr>
                <w:rFonts w:ascii="Times New Roman" w:hAnsi="Times New Roman" w:cs="Times New Roman"/>
                <w:sz w:val="24"/>
                <w:szCs w:val="24"/>
              </w:rPr>
            </w:pPr>
          </w:p>
          <w:p w14:paraId="61B38D4E" w14:textId="77777777" w:rsidR="00F82ABB" w:rsidRPr="00A166D4" w:rsidRDefault="00F82ABB" w:rsidP="00A166D4">
            <w:pPr>
              <w:spacing w:before="0" w:after="0"/>
              <w:jc w:val="both"/>
              <w:rPr>
                <w:rFonts w:ascii="Times New Roman" w:hAnsi="Times New Roman" w:cs="Times New Roman"/>
                <w:sz w:val="24"/>
                <w:szCs w:val="24"/>
              </w:rPr>
            </w:pPr>
          </w:p>
          <w:p w14:paraId="784879E2" w14:textId="77777777" w:rsidR="00673E5A" w:rsidRPr="00A166D4" w:rsidRDefault="00673E5A" w:rsidP="00A166D4">
            <w:pPr>
              <w:spacing w:before="0" w:after="0"/>
              <w:jc w:val="both"/>
              <w:rPr>
                <w:rFonts w:ascii="Times New Roman" w:hAnsi="Times New Roman" w:cs="Times New Roman"/>
                <w:sz w:val="24"/>
                <w:szCs w:val="24"/>
              </w:rPr>
            </w:pPr>
          </w:p>
          <w:p w14:paraId="5372986D" w14:textId="77777777" w:rsidR="009F62DF" w:rsidRDefault="009F62DF" w:rsidP="00A166D4">
            <w:pPr>
              <w:spacing w:before="0" w:after="0"/>
              <w:jc w:val="both"/>
              <w:rPr>
                <w:rFonts w:ascii="Times New Roman" w:hAnsi="Times New Roman" w:cs="Times New Roman"/>
                <w:sz w:val="24"/>
                <w:szCs w:val="24"/>
              </w:rPr>
            </w:pPr>
          </w:p>
          <w:p w14:paraId="5438BEF3" w14:textId="77777777" w:rsidR="009F62DF" w:rsidRDefault="009F62DF" w:rsidP="00A166D4">
            <w:pPr>
              <w:spacing w:before="0" w:after="0"/>
              <w:jc w:val="both"/>
              <w:rPr>
                <w:rFonts w:ascii="Times New Roman" w:hAnsi="Times New Roman" w:cs="Times New Roman"/>
                <w:sz w:val="24"/>
                <w:szCs w:val="24"/>
              </w:rPr>
            </w:pPr>
          </w:p>
          <w:p w14:paraId="1360ACE2" w14:textId="77777777" w:rsidR="009F62DF" w:rsidRDefault="009F62DF" w:rsidP="00A166D4">
            <w:pPr>
              <w:spacing w:before="0" w:after="0"/>
              <w:jc w:val="both"/>
              <w:rPr>
                <w:rFonts w:ascii="Times New Roman" w:hAnsi="Times New Roman" w:cs="Times New Roman"/>
                <w:sz w:val="24"/>
                <w:szCs w:val="24"/>
              </w:rPr>
            </w:pPr>
          </w:p>
          <w:p w14:paraId="302E19F8" w14:textId="20024D6A" w:rsidR="005F2AC9" w:rsidRPr="00A166D4" w:rsidRDefault="00F82ABB"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SSS / administrative data</w:t>
            </w:r>
          </w:p>
        </w:tc>
        <w:tc>
          <w:tcPr>
            <w:tcW w:w="110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73A700A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tc>
      </w:tr>
    </w:tbl>
    <w:p w14:paraId="35A28F1A" w14:textId="77777777" w:rsidR="005F2AC9" w:rsidRPr="00A166D4" w:rsidRDefault="00B56839" w:rsidP="00A166D4">
      <w:pPr>
        <w:contextualSpacing/>
        <w:jc w:val="both"/>
        <w:rPr>
          <w:rFonts w:ascii="Times New Roman" w:hAnsi="Times New Roman" w:cs="Times New Roman"/>
          <w:color w:val="000000" w:themeColor="text1"/>
          <w:kern w:val="2"/>
          <w:sz w:val="24"/>
          <w:szCs w:val="24"/>
        </w:rPr>
      </w:pPr>
      <w:r w:rsidRPr="00A166D4">
        <w:rPr>
          <w:rFonts w:ascii="Times New Roman" w:hAnsi="Times New Roman" w:cs="Times New Roman"/>
          <w:color w:val="000000" w:themeColor="text1"/>
          <w:sz w:val="24"/>
          <w:szCs w:val="24"/>
          <w:lang w:val="sq-AL"/>
        </w:rPr>
        <w:t xml:space="preserve"> </w:t>
      </w:r>
    </w:p>
    <w:p w14:paraId="516376BC" w14:textId="77777777" w:rsidR="00A64919" w:rsidRPr="00A166D4" w:rsidRDefault="00A64919"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During 2025, the implementation of Strategic Objective A1 focused on the further consolidation of the Economic Assistance (EA) scheme, with the main aim of socio-economic reintegration of working-age members who are beneficiaries of this scheme.</w:t>
      </w:r>
    </w:p>
    <w:p w14:paraId="6FCEE0FC" w14:textId="77777777" w:rsidR="00A64919" w:rsidRPr="00A166D4" w:rsidRDefault="00A64919"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Following the measures undertaken in 2024 for the improvement of targeting, transparency and socio-economic verification mechanisms, during 2025 the approach of transforming the scheme from a passive support instrument into an active integration mechanism was deepened. This transformation was supported by:</w:t>
      </w:r>
    </w:p>
    <w:p w14:paraId="6E9A29D1" w14:textId="77777777" w:rsidR="00A64919" w:rsidRPr="00A166D4" w:rsidRDefault="00A64919" w:rsidP="00320C75">
      <w:pPr>
        <w:numPr>
          <w:ilvl w:val="0"/>
          <w:numId w:val="10"/>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strengthening the obligation for registration and referral at employment offices for working-age members;</w:t>
      </w:r>
    </w:p>
    <w:p w14:paraId="2B4323F3" w14:textId="77777777" w:rsidR="00A64919" w:rsidRPr="00A166D4" w:rsidRDefault="00A64919" w:rsidP="00320C75">
      <w:pPr>
        <w:numPr>
          <w:ilvl w:val="0"/>
          <w:numId w:val="10"/>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inter-institutional coordination between the State Social Service, NAES and local self-government units;</w:t>
      </w:r>
    </w:p>
    <w:p w14:paraId="49C6DFD8" w14:textId="77777777" w:rsidR="00A64919" w:rsidRPr="00A166D4" w:rsidRDefault="00A64919" w:rsidP="00320C75">
      <w:pPr>
        <w:numPr>
          <w:ilvl w:val="0"/>
          <w:numId w:val="10"/>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improving field verification and administrative controls to guarantee fairness and efficiency in benefit provision.</w:t>
      </w:r>
    </w:p>
    <w:p w14:paraId="237C8779" w14:textId="1F66A122" w:rsidR="005F2AC9" w:rsidRPr="00A166D4" w:rsidRDefault="00A64919"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During this year, the average number of beneficiary families was approximately 50,600 families. The average number of applicants during the year was approximately 52,800. On average, 96% of applicants are beneficiaries in the scheme. The average number of beneficiaries from the 6% fund allocated to municipalities is approximately 4,000 families.</w:t>
      </w:r>
    </w:p>
    <w:p w14:paraId="7B65E90C" w14:textId="77777777" w:rsidR="005F2AC9" w:rsidRPr="00A166D4" w:rsidRDefault="00B56839" w:rsidP="00A166D4">
      <w:pPr>
        <w:spacing w:after="0"/>
        <w:jc w:val="both"/>
        <w:rPr>
          <w:rFonts w:ascii="Times New Roman" w:hAnsi="Times New Roman" w:cs="Times New Roman"/>
          <w:color w:val="000000" w:themeColor="text1"/>
          <w:sz w:val="24"/>
          <w:szCs w:val="24"/>
        </w:rPr>
      </w:pPr>
      <w:r w:rsidRPr="00A166D4">
        <w:rPr>
          <w:rFonts w:ascii="Times New Roman" w:hAnsi="Times New Roman" w:cs="Times New Roman"/>
          <w:noProof/>
          <w:sz w:val="24"/>
          <w:szCs w:val="24"/>
        </w:rPr>
        <w:drawing>
          <wp:inline distT="0" distB="0" distL="0" distR="0" wp14:anchorId="2FC12174" wp14:editId="1F2D2520">
            <wp:extent cx="5886450" cy="1809750"/>
            <wp:effectExtent l="0" t="0" r="0" b="0"/>
            <wp:docPr id="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pic:cNvPicPr>
                      <a:picLocks noChangeAspect="1" noChangeArrowheads="1"/>
                    </pic:cNvPicPr>
                  </pic:nvPicPr>
                  <pic:blipFill>
                    <a:blip r:embed="rId13"/>
                    <a:stretch>
                      <a:fillRect/>
                    </a:stretch>
                  </pic:blipFill>
                  <pic:spPr bwMode="auto">
                    <a:xfrm>
                      <a:off x="0" y="0"/>
                      <a:ext cx="5886450" cy="1809750"/>
                    </a:xfrm>
                    <a:prstGeom prst="rect">
                      <a:avLst/>
                    </a:prstGeom>
                    <a:noFill/>
                  </pic:spPr>
                </pic:pic>
              </a:graphicData>
            </a:graphic>
          </wp:inline>
        </w:drawing>
      </w:r>
    </w:p>
    <w:p w14:paraId="16F64888" w14:textId="106D91D9" w:rsidR="005F2AC9" w:rsidRPr="00A166D4" w:rsidRDefault="00A64919" w:rsidP="00A166D4">
      <w:pPr>
        <w:spacing w:after="0"/>
        <w:jc w:val="both"/>
        <w:rPr>
          <w:rFonts w:ascii="Times New Roman" w:eastAsia="Times New Roman" w:hAnsi="Times New Roman" w:cs="Times New Roman"/>
          <w:i/>
          <w:iCs/>
          <w:color w:val="000000" w:themeColor="text1"/>
          <w:sz w:val="24"/>
          <w:szCs w:val="24"/>
          <w:lang w:val="sq-AL"/>
        </w:rPr>
      </w:pPr>
      <w:r w:rsidRPr="00485482">
        <w:rPr>
          <w:rFonts w:ascii="Times New Roman" w:eastAsia="Times New Roman" w:hAnsi="Times New Roman" w:cs="Times New Roman"/>
          <w:i/>
          <w:iCs/>
          <w:color w:val="000000" w:themeColor="text1"/>
          <w:sz w:val="24"/>
          <w:szCs w:val="24"/>
          <w:lang w:val="sq-AL"/>
        </w:rPr>
        <w:t>Chart 1: Number of beneficiary families from the EA scheme, January – December 2025</w:t>
      </w:r>
    </w:p>
    <w:p w14:paraId="2973FEAD" w14:textId="77777777" w:rsidR="00A64919" w:rsidRPr="00A166D4" w:rsidRDefault="00A64919" w:rsidP="00A166D4">
      <w:pPr>
        <w:spacing w:after="0"/>
        <w:jc w:val="both"/>
        <w:rPr>
          <w:rFonts w:ascii="Times New Roman" w:hAnsi="Times New Roman" w:cs="Times New Roman"/>
          <w:color w:val="000000" w:themeColor="text1"/>
          <w:sz w:val="24"/>
          <w:szCs w:val="24"/>
          <w:lang w:val="sq-AL"/>
        </w:rPr>
      </w:pPr>
    </w:p>
    <w:p w14:paraId="0FF34EB2" w14:textId="77777777" w:rsidR="00A64919" w:rsidRPr="00A166D4" w:rsidRDefault="00A64919" w:rsidP="00A166D4">
      <w:pPr>
        <w:spacing w:after="0"/>
        <w:jc w:val="both"/>
        <w:rPr>
          <w:rFonts w:ascii="Times New Roman" w:hAnsi="Times New Roman" w:cs="Times New Roman"/>
          <w:color w:val="000000" w:themeColor="text1"/>
          <w:sz w:val="24"/>
          <w:szCs w:val="24"/>
          <w:lang w:val="sq-AL"/>
        </w:rPr>
      </w:pPr>
      <w:r w:rsidRPr="00A166D4">
        <w:rPr>
          <w:rFonts w:ascii="Times New Roman" w:hAnsi="Times New Roman" w:cs="Times New Roman"/>
          <w:color w:val="000000" w:themeColor="text1"/>
          <w:sz w:val="24"/>
          <w:szCs w:val="24"/>
          <w:lang w:val="sq-AL"/>
        </w:rPr>
        <w:t>The districts with the highest number of beneficiaries are Elbasan district with approximately 10,092 families, Dibër district with 9,113 families, Kukës district with 7,780 families, Korçë district with 6,499, and Shkodër district with 3,807 families.</w:t>
      </w:r>
    </w:p>
    <w:p w14:paraId="33B3EEDA" w14:textId="77777777" w:rsidR="00A64919" w:rsidRPr="00A166D4" w:rsidRDefault="00A64919" w:rsidP="00A166D4">
      <w:pPr>
        <w:spacing w:after="0"/>
        <w:jc w:val="both"/>
        <w:rPr>
          <w:rFonts w:ascii="Times New Roman" w:hAnsi="Times New Roman" w:cs="Times New Roman"/>
          <w:color w:val="000000" w:themeColor="text1"/>
          <w:sz w:val="24"/>
          <w:szCs w:val="24"/>
          <w:lang w:val="sq-AL"/>
        </w:rPr>
      </w:pPr>
    </w:p>
    <w:p w14:paraId="71B45BA4" w14:textId="04F040D1" w:rsidR="005F2AC9" w:rsidRPr="00A166D4" w:rsidRDefault="00B56839" w:rsidP="00A166D4">
      <w:pPr>
        <w:spacing w:after="0"/>
        <w:jc w:val="both"/>
        <w:rPr>
          <w:rFonts w:ascii="Times New Roman" w:hAnsi="Times New Roman" w:cs="Times New Roman"/>
          <w:color w:val="000000" w:themeColor="text1"/>
          <w:sz w:val="24"/>
          <w:szCs w:val="24"/>
        </w:rPr>
      </w:pPr>
      <w:r w:rsidRPr="00A166D4">
        <w:rPr>
          <w:rFonts w:ascii="Times New Roman" w:hAnsi="Times New Roman" w:cs="Times New Roman"/>
          <w:noProof/>
          <w:sz w:val="24"/>
          <w:szCs w:val="24"/>
        </w:rPr>
        <w:drawing>
          <wp:inline distT="0" distB="0" distL="0" distR="0" wp14:anchorId="21F60921" wp14:editId="76C8FBEB">
            <wp:extent cx="5608955" cy="2206625"/>
            <wp:effectExtent l="0" t="0" r="0" b="0"/>
            <wp:docPr id="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
                    <pic:cNvPicPr>
                      <a:picLocks noChangeAspect="1" noChangeArrowheads="1"/>
                    </pic:cNvPicPr>
                  </pic:nvPicPr>
                  <pic:blipFill>
                    <a:blip r:embed="rId14"/>
                    <a:stretch>
                      <a:fillRect/>
                    </a:stretch>
                  </pic:blipFill>
                  <pic:spPr bwMode="auto">
                    <a:xfrm>
                      <a:off x="0" y="0"/>
                      <a:ext cx="5608955" cy="2206625"/>
                    </a:xfrm>
                    <a:prstGeom prst="rect">
                      <a:avLst/>
                    </a:prstGeom>
                    <a:noFill/>
                  </pic:spPr>
                </pic:pic>
              </a:graphicData>
            </a:graphic>
          </wp:inline>
        </w:drawing>
      </w:r>
    </w:p>
    <w:p w14:paraId="6B772667" w14:textId="3CB11C55" w:rsidR="00A64919" w:rsidRPr="00A166D4" w:rsidRDefault="00A64919" w:rsidP="00A166D4">
      <w:pPr>
        <w:spacing w:after="0"/>
        <w:jc w:val="both"/>
        <w:rPr>
          <w:rFonts w:ascii="Times New Roman" w:eastAsia="Times New Roman" w:hAnsi="Times New Roman" w:cs="Times New Roman"/>
          <w:i/>
          <w:iCs/>
          <w:color w:val="000000" w:themeColor="text1"/>
          <w:sz w:val="24"/>
          <w:szCs w:val="24"/>
          <w:lang w:val="sq-AL"/>
        </w:rPr>
      </w:pPr>
      <w:r w:rsidRPr="00485482">
        <w:rPr>
          <w:rFonts w:ascii="Times New Roman" w:eastAsia="Times New Roman" w:hAnsi="Times New Roman" w:cs="Times New Roman"/>
          <w:i/>
          <w:iCs/>
          <w:color w:val="000000" w:themeColor="text1"/>
          <w:sz w:val="24"/>
          <w:szCs w:val="24"/>
          <w:lang w:val="sq-AL"/>
        </w:rPr>
        <w:t>Chart 2: Number of EA beneficiaries by district</w:t>
      </w:r>
    </w:p>
    <w:p w14:paraId="0267BDFA"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From the analysis of the scheme, a gradual decrease in the number of beneficiary families is observed during the reporting period. This trend is linked to the continuation of the monitoring processes and administrative verifications of beneficiary files, which aimed at harmonising the data and updating the list of beneficiaries in accordance with the legal criteria in force.</w:t>
      </w:r>
    </w:p>
    <w:p w14:paraId="60EFD64B"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Furthermore, a number of families were found not to have fulfilled the obligation of quarterly periodic declarations, as well as cases where movements of members outside the country were verified, identified through official control systems. In parallel, a proportion of working-age individuals were included in employment or labour market activation programmes, reflecting in the reduction of their participation in the scheme.</w:t>
      </w:r>
    </w:p>
    <w:p w14:paraId="6BFCD71C"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From the analysis of the structure of rejections, it results that:</w:t>
      </w:r>
    </w:p>
    <w:p w14:paraId="5DD5322C" w14:textId="77777777" w:rsidR="002340F7" w:rsidRPr="00A166D4" w:rsidRDefault="002340F7" w:rsidP="00320C75">
      <w:pPr>
        <w:numPr>
          <w:ilvl w:val="0"/>
          <w:numId w:val="1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Approximately 48% of rejections are related to scoring criteria, indicating that the majority of cases are rejected due to non-fulfilment of the conditions established in the scheme.</w:t>
      </w:r>
    </w:p>
    <w:p w14:paraId="56F2BC7E" w14:textId="77777777" w:rsidR="002340F7" w:rsidRPr="00A166D4" w:rsidRDefault="002340F7" w:rsidP="00320C75">
      <w:pPr>
        <w:numPr>
          <w:ilvl w:val="0"/>
          <w:numId w:val="1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Approximately 37% of rejections are caused by procedural and documentary non-compliance, signalling problems in completing supporting documentation, declarations or meeting administrative requirements.</w:t>
      </w:r>
    </w:p>
    <w:p w14:paraId="393606F0" w14:textId="77777777" w:rsidR="002340F7" w:rsidRPr="00A166D4" w:rsidRDefault="002340F7" w:rsidP="00320C75">
      <w:pPr>
        <w:numPr>
          <w:ilvl w:val="0"/>
          <w:numId w:val="11"/>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Approximately 15% of rejections result from non-appearance of applicants, a phenomenon observed mainly in periods with seasonal impact.</w:t>
      </w:r>
    </w:p>
    <w:p w14:paraId="68B504DE"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Number of beneficiaries from special categories in December 2025:</w:t>
      </w:r>
    </w:p>
    <w:p w14:paraId="0388B722" w14:textId="77777777" w:rsidR="002340F7" w:rsidRPr="00A166D4" w:rsidRDefault="002340F7" w:rsidP="00320C75">
      <w:pPr>
        <w:numPr>
          <w:ilvl w:val="0"/>
          <w:numId w:val="2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1,257 orphans not in social care institutions</w:t>
      </w:r>
    </w:p>
    <w:p w14:paraId="2EE637D8" w14:textId="77777777" w:rsidR="002340F7" w:rsidRPr="00A166D4" w:rsidRDefault="002340F7" w:rsidP="00320C75">
      <w:pPr>
        <w:numPr>
          <w:ilvl w:val="0"/>
          <w:numId w:val="2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1,143 victims of violence</w:t>
      </w:r>
    </w:p>
    <w:p w14:paraId="50F91E8D" w14:textId="77777777" w:rsidR="002340F7" w:rsidRPr="00A166D4" w:rsidRDefault="002340F7" w:rsidP="00320C75">
      <w:pPr>
        <w:numPr>
          <w:ilvl w:val="0"/>
          <w:numId w:val="2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17 victims of trafficking</w:t>
      </w:r>
    </w:p>
    <w:p w14:paraId="0015F333" w14:textId="77777777" w:rsidR="002340F7" w:rsidRPr="00A166D4" w:rsidRDefault="002340F7" w:rsidP="00320C75">
      <w:pPr>
        <w:numPr>
          <w:ilvl w:val="0"/>
          <w:numId w:val="2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54 families with triplets and quadruplets</w:t>
      </w:r>
    </w:p>
    <w:p w14:paraId="651F952F"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The number of Roma/Egyptian beneficiaries </w:t>
      </w:r>
      <w:r w:rsidRPr="009F62DF">
        <w:rPr>
          <w:rFonts w:ascii="Times New Roman" w:eastAsia="Times New Roman" w:hAnsi="Times New Roman" w:cs="Times New Roman"/>
          <w:b/>
          <w:bCs/>
          <w:sz w:val="24"/>
          <w:szCs w:val="24"/>
        </w:rPr>
        <w:t>is 2,334 families</w:t>
      </w:r>
      <w:r w:rsidRPr="00A166D4">
        <w:rPr>
          <w:rFonts w:ascii="Times New Roman" w:eastAsia="Times New Roman" w:hAnsi="Times New Roman" w:cs="Times New Roman"/>
          <w:sz w:val="24"/>
          <w:szCs w:val="24"/>
        </w:rPr>
        <w:t>, of which 721 are Roma families and 1,613 are Egyptian families.</w:t>
      </w:r>
    </w:p>
    <w:p w14:paraId="07AB2BFB" w14:textId="77777777" w:rsidR="002340F7" w:rsidRPr="009F62DF" w:rsidRDefault="002340F7" w:rsidP="00A166D4">
      <w:pPr>
        <w:suppressAutoHyphens w:val="0"/>
        <w:spacing w:beforeAutospacing="1" w:after="100" w:afterAutospacing="1"/>
        <w:jc w:val="both"/>
        <w:rPr>
          <w:rFonts w:ascii="Times New Roman" w:eastAsia="Times New Roman" w:hAnsi="Times New Roman" w:cs="Times New Roman"/>
          <w:b/>
          <w:bCs/>
          <w:sz w:val="24"/>
          <w:szCs w:val="24"/>
        </w:rPr>
      </w:pPr>
      <w:r w:rsidRPr="00A166D4">
        <w:rPr>
          <w:rFonts w:ascii="Times New Roman" w:eastAsia="Times New Roman" w:hAnsi="Times New Roman" w:cs="Times New Roman"/>
          <w:sz w:val="24"/>
          <w:szCs w:val="24"/>
        </w:rPr>
        <w:t xml:space="preserve">The total number of individual beneficiaries of the scheme is </w:t>
      </w:r>
      <w:r w:rsidRPr="009F62DF">
        <w:rPr>
          <w:rFonts w:ascii="Times New Roman" w:eastAsia="Times New Roman" w:hAnsi="Times New Roman" w:cs="Times New Roman"/>
          <w:b/>
          <w:bCs/>
          <w:sz w:val="24"/>
          <w:szCs w:val="24"/>
        </w:rPr>
        <w:t>181,871 individuals</w:t>
      </w:r>
      <w:r w:rsidRPr="00A166D4">
        <w:rPr>
          <w:rFonts w:ascii="Times New Roman" w:eastAsia="Times New Roman" w:hAnsi="Times New Roman" w:cs="Times New Roman"/>
          <w:sz w:val="24"/>
          <w:szCs w:val="24"/>
        </w:rPr>
        <w:t xml:space="preserve">, of whom </w:t>
      </w:r>
      <w:r w:rsidRPr="009F62DF">
        <w:rPr>
          <w:rFonts w:ascii="Times New Roman" w:eastAsia="Times New Roman" w:hAnsi="Times New Roman" w:cs="Times New Roman"/>
          <w:b/>
          <w:bCs/>
          <w:sz w:val="24"/>
          <w:szCs w:val="24"/>
        </w:rPr>
        <w:t>49% are female and 51% are male.</w:t>
      </w:r>
    </w:p>
    <w:p w14:paraId="4CC2FF9E"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The number of children in the scheme disaggregated by age group </w:t>
      </w:r>
      <w:r w:rsidRPr="009F62DF">
        <w:rPr>
          <w:rFonts w:ascii="Times New Roman" w:eastAsia="Times New Roman" w:hAnsi="Times New Roman" w:cs="Times New Roman"/>
          <w:b/>
          <w:bCs/>
          <w:sz w:val="24"/>
          <w:szCs w:val="24"/>
        </w:rPr>
        <w:t>0–18 years</w:t>
      </w:r>
      <w:r w:rsidRPr="00A166D4">
        <w:rPr>
          <w:rFonts w:ascii="Times New Roman" w:eastAsia="Times New Roman" w:hAnsi="Times New Roman" w:cs="Times New Roman"/>
          <w:sz w:val="24"/>
          <w:szCs w:val="24"/>
        </w:rPr>
        <w:t xml:space="preserve"> </w:t>
      </w:r>
      <w:r w:rsidRPr="009F62DF">
        <w:rPr>
          <w:rFonts w:ascii="Times New Roman" w:eastAsia="Times New Roman" w:hAnsi="Times New Roman" w:cs="Times New Roman"/>
          <w:b/>
          <w:bCs/>
          <w:sz w:val="24"/>
          <w:szCs w:val="24"/>
        </w:rPr>
        <w:t>is 61,932 children</w:t>
      </w:r>
      <w:r w:rsidRPr="00A166D4">
        <w:rPr>
          <w:rFonts w:ascii="Times New Roman" w:eastAsia="Times New Roman" w:hAnsi="Times New Roman" w:cs="Times New Roman"/>
          <w:sz w:val="24"/>
          <w:szCs w:val="24"/>
        </w:rPr>
        <w:t xml:space="preserve">, and age group </w:t>
      </w:r>
      <w:r w:rsidRPr="009F62DF">
        <w:rPr>
          <w:rFonts w:ascii="Times New Roman" w:eastAsia="Times New Roman" w:hAnsi="Times New Roman" w:cs="Times New Roman"/>
          <w:b/>
          <w:bCs/>
          <w:sz w:val="24"/>
          <w:szCs w:val="24"/>
        </w:rPr>
        <w:t>6–14 years</w:t>
      </w:r>
      <w:r w:rsidRPr="00A166D4">
        <w:rPr>
          <w:rFonts w:ascii="Times New Roman" w:eastAsia="Times New Roman" w:hAnsi="Times New Roman" w:cs="Times New Roman"/>
          <w:sz w:val="24"/>
          <w:szCs w:val="24"/>
        </w:rPr>
        <w:t xml:space="preserve"> is </w:t>
      </w:r>
      <w:r w:rsidRPr="009F62DF">
        <w:rPr>
          <w:rFonts w:ascii="Times New Roman" w:eastAsia="Times New Roman" w:hAnsi="Times New Roman" w:cs="Times New Roman"/>
          <w:b/>
          <w:bCs/>
          <w:sz w:val="24"/>
          <w:szCs w:val="24"/>
        </w:rPr>
        <w:t>34,455 children</w:t>
      </w:r>
      <w:r w:rsidRPr="00A166D4">
        <w:rPr>
          <w:rFonts w:ascii="Times New Roman" w:eastAsia="Times New Roman" w:hAnsi="Times New Roman" w:cs="Times New Roman"/>
          <w:sz w:val="24"/>
          <w:szCs w:val="24"/>
        </w:rPr>
        <w:t>.</w:t>
      </w:r>
    </w:p>
    <w:p w14:paraId="6FD53C84"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The number </w:t>
      </w:r>
      <w:r w:rsidRPr="009F62DF">
        <w:rPr>
          <w:rFonts w:ascii="Times New Roman" w:eastAsia="Times New Roman" w:hAnsi="Times New Roman" w:cs="Times New Roman"/>
          <w:b/>
          <w:bCs/>
          <w:sz w:val="24"/>
          <w:szCs w:val="24"/>
        </w:rPr>
        <w:t xml:space="preserve">of persons with disabilities </w:t>
      </w:r>
      <w:r w:rsidRPr="00A166D4">
        <w:rPr>
          <w:rFonts w:ascii="Times New Roman" w:eastAsia="Times New Roman" w:hAnsi="Times New Roman" w:cs="Times New Roman"/>
          <w:sz w:val="24"/>
          <w:szCs w:val="24"/>
        </w:rPr>
        <w:t xml:space="preserve">(PwD) is </w:t>
      </w:r>
      <w:r w:rsidRPr="009F62DF">
        <w:rPr>
          <w:rFonts w:ascii="Times New Roman" w:eastAsia="Times New Roman" w:hAnsi="Times New Roman" w:cs="Times New Roman"/>
          <w:b/>
          <w:bCs/>
          <w:sz w:val="24"/>
          <w:szCs w:val="24"/>
        </w:rPr>
        <w:t>10,664 individuals</w:t>
      </w:r>
      <w:r w:rsidRPr="00A166D4">
        <w:rPr>
          <w:rFonts w:ascii="Times New Roman" w:eastAsia="Times New Roman" w:hAnsi="Times New Roman" w:cs="Times New Roman"/>
          <w:sz w:val="24"/>
          <w:szCs w:val="24"/>
        </w:rPr>
        <w:t xml:space="preserve"> (10,509 from families in need and 155 from special categories).</w:t>
      </w:r>
    </w:p>
    <w:p w14:paraId="627F9846"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The </w:t>
      </w:r>
      <w:r w:rsidRPr="009F62DF">
        <w:rPr>
          <w:rFonts w:ascii="Times New Roman" w:eastAsia="Times New Roman" w:hAnsi="Times New Roman" w:cs="Times New Roman"/>
          <w:b/>
          <w:bCs/>
          <w:sz w:val="24"/>
          <w:szCs w:val="24"/>
        </w:rPr>
        <w:t>number of individuals of pension age</w:t>
      </w:r>
      <w:r w:rsidRPr="00A166D4">
        <w:rPr>
          <w:rFonts w:ascii="Times New Roman" w:eastAsia="Times New Roman" w:hAnsi="Times New Roman" w:cs="Times New Roman"/>
          <w:sz w:val="24"/>
          <w:szCs w:val="24"/>
        </w:rPr>
        <w:t xml:space="preserve"> (calculated as women over 60 and men over 65 years of age) is </w:t>
      </w:r>
      <w:r w:rsidRPr="009F62DF">
        <w:rPr>
          <w:rFonts w:ascii="Times New Roman" w:eastAsia="Times New Roman" w:hAnsi="Times New Roman" w:cs="Times New Roman"/>
          <w:b/>
          <w:bCs/>
          <w:sz w:val="24"/>
          <w:szCs w:val="24"/>
        </w:rPr>
        <w:t>8,497 individuals.</w:t>
      </w:r>
    </w:p>
    <w:p w14:paraId="5401AD17"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Female heads of household benefiting from the EA scheme constitute approximately 12% of the total number of beneficiary families. Currently, the number of female heads of household beneficiaries is </w:t>
      </w:r>
      <w:r w:rsidRPr="009F62DF">
        <w:rPr>
          <w:rFonts w:ascii="Times New Roman" w:eastAsia="Times New Roman" w:hAnsi="Times New Roman" w:cs="Times New Roman"/>
          <w:b/>
          <w:bCs/>
          <w:sz w:val="24"/>
          <w:szCs w:val="24"/>
        </w:rPr>
        <w:t>6,174</w:t>
      </w:r>
      <w:r w:rsidRPr="00A166D4">
        <w:rPr>
          <w:rFonts w:ascii="Times New Roman" w:eastAsia="Times New Roman" w:hAnsi="Times New Roman" w:cs="Times New Roman"/>
          <w:sz w:val="24"/>
          <w:szCs w:val="24"/>
        </w:rPr>
        <w:t>, of whom 3,700 have children aged 0–18 years.</w:t>
      </w:r>
    </w:p>
    <w:p w14:paraId="5F5A2844"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Regarding the size of EA beneficiary families, the scheme is dominated by families with four or more members. Approximately 67% of EA scheme beneficiary families are composed of families with 4 or more members (4 members, 5 members, 6 members and more than 6 members).</w:t>
      </w:r>
    </w:p>
    <w:p w14:paraId="20C79B89"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Families with children constitute 58% of beneficiary families. Specifically, there are 27,610 families with children. The number of families with three or more children receiving doubled payments is 9,170 families, of which 71% are families with three children, 22% are families with four children, and 7% are families with more than four children.</w:t>
      </w:r>
    </w:p>
    <w:p w14:paraId="24A6A0A7" w14:textId="77777777" w:rsidR="002340F7" w:rsidRPr="009F62DF" w:rsidRDefault="002340F7" w:rsidP="00A166D4">
      <w:pPr>
        <w:suppressAutoHyphens w:val="0"/>
        <w:spacing w:beforeAutospacing="1" w:after="100" w:afterAutospacing="1"/>
        <w:jc w:val="both"/>
        <w:rPr>
          <w:rFonts w:ascii="Times New Roman" w:eastAsia="Times New Roman" w:hAnsi="Times New Roman" w:cs="Times New Roman"/>
          <w:b/>
          <w:bCs/>
          <w:sz w:val="24"/>
          <w:szCs w:val="24"/>
        </w:rPr>
      </w:pPr>
      <w:r w:rsidRPr="009F62DF">
        <w:rPr>
          <w:rFonts w:ascii="Times New Roman" w:eastAsia="Times New Roman" w:hAnsi="Times New Roman" w:cs="Times New Roman"/>
          <w:b/>
          <w:bCs/>
          <w:sz w:val="24"/>
          <w:szCs w:val="24"/>
        </w:rPr>
        <w:t>Employment of working-age members</w:t>
      </w:r>
    </w:p>
    <w:p w14:paraId="276DDDE4"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The proportion of </w:t>
      </w:r>
      <w:r w:rsidRPr="009F62DF">
        <w:rPr>
          <w:rFonts w:ascii="Times New Roman" w:eastAsia="Times New Roman" w:hAnsi="Times New Roman" w:cs="Times New Roman"/>
          <w:b/>
          <w:bCs/>
          <w:i/>
          <w:iCs/>
          <w:sz w:val="24"/>
          <w:szCs w:val="24"/>
        </w:rPr>
        <w:t>individuals who are of working age</w:t>
      </w:r>
      <w:r w:rsidRPr="00A166D4">
        <w:rPr>
          <w:rFonts w:ascii="Times New Roman" w:eastAsia="Times New Roman" w:hAnsi="Times New Roman" w:cs="Times New Roman"/>
          <w:sz w:val="24"/>
          <w:szCs w:val="24"/>
        </w:rPr>
        <w:t xml:space="preserve"> constitutes approximately 60% of the total beneficiary individuals, of whom the largest share in this percentage is held by the 31–50 age group (46% respectively).</w:t>
      </w:r>
    </w:p>
    <w:p w14:paraId="3CE648A6"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The total number of working-age individuals for the period is approximately </w:t>
      </w:r>
      <w:r w:rsidRPr="009F62DF">
        <w:rPr>
          <w:rFonts w:ascii="Times New Roman" w:eastAsia="Times New Roman" w:hAnsi="Times New Roman" w:cs="Times New Roman"/>
          <w:b/>
          <w:bCs/>
          <w:sz w:val="24"/>
          <w:szCs w:val="24"/>
        </w:rPr>
        <w:t>109,623 individuals</w:t>
      </w:r>
      <w:r w:rsidRPr="00A166D4">
        <w:rPr>
          <w:rFonts w:ascii="Times New Roman" w:eastAsia="Times New Roman" w:hAnsi="Times New Roman" w:cs="Times New Roman"/>
          <w:sz w:val="24"/>
          <w:szCs w:val="24"/>
        </w:rPr>
        <w:t xml:space="preserve"> (defined according to the legislation as women from 18–60 years and men from 18–65 years).</w:t>
      </w:r>
    </w:p>
    <w:p w14:paraId="697DD375"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Disaggregated by age group:</w:t>
      </w:r>
    </w:p>
    <w:p w14:paraId="1B261077" w14:textId="77777777" w:rsidR="002340F7" w:rsidRPr="00A166D4" w:rsidRDefault="002340F7" w:rsidP="00320C75">
      <w:pPr>
        <w:numPr>
          <w:ilvl w:val="0"/>
          <w:numId w:val="24"/>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18–30 years: 30,188 individuals</w:t>
      </w:r>
    </w:p>
    <w:p w14:paraId="1E525A5B" w14:textId="77777777" w:rsidR="002340F7" w:rsidRPr="00A166D4" w:rsidRDefault="002340F7" w:rsidP="00320C75">
      <w:pPr>
        <w:numPr>
          <w:ilvl w:val="0"/>
          <w:numId w:val="24"/>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31–50 years: 50,738 individuals</w:t>
      </w:r>
    </w:p>
    <w:p w14:paraId="53D7A3FD" w14:textId="026B1756" w:rsidR="005F2AC9" w:rsidRPr="00A166D4" w:rsidRDefault="002340F7" w:rsidP="00320C75">
      <w:pPr>
        <w:numPr>
          <w:ilvl w:val="0"/>
          <w:numId w:val="24"/>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Over 50 years: 28,697 individuals</w:t>
      </w:r>
    </w:p>
    <w:p w14:paraId="12BB017F" w14:textId="77777777" w:rsidR="005F2AC9" w:rsidRPr="00A166D4" w:rsidRDefault="00B56839" w:rsidP="00A166D4">
      <w:pPr>
        <w:spacing w:before="0" w:after="0"/>
        <w:ind w:right="113"/>
        <w:jc w:val="both"/>
        <w:rPr>
          <w:rFonts w:ascii="Times New Roman" w:hAnsi="Times New Roman" w:cs="Times New Roman"/>
          <w:color w:val="000000" w:themeColor="text1"/>
          <w:sz w:val="24"/>
          <w:szCs w:val="24"/>
        </w:rPr>
      </w:pPr>
      <w:r w:rsidRPr="00A166D4">
        <w:rPr>
          <w:rFonts w:ascii="Times New Roman" w:hAnsi="Times New Roman" w:cs="Times New Roman"/>
          <w:noProof/>
          <w:sz w:val="24"/>
          <w:szCs w:val="24"/>
        </w:rPr>
        <w:drawing>
          <wp:inline distT="0" distB="0" distL="0" distR="0" wp14:anchorId="17756AC6" wp14:editId="0E8DDFE9">
            <wp:extent cx="5267325" cy="1713230"/>
            <wp:effectExtent l="0" t="0" r="0" b="0"/>
            <wp:docPr id="9"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pic:cNvPicPr>
                      <a:picLocks noChangeAspect="1" noChangeArrowheads="1"/>
                    </pic:cNvPicPr>
                  </pic:nvPicPr>
                  <pic:blipFill>
                    <a:blip r:embed="rId15"/>
                    <a:stretch>
                      <a:fillRect/>
                    </a:stretch>
                  </pic:blipFill>
                  <pic:spPr bwMode="auto">
                    <a:xfrm>
                      <a:off x="0" y="0"/>
                      <a:ext cx="5267325" cy="1713230"/>
                    </a:xfrm>
                    <a:prstGeom prst="rect">
                      <a:avLst/>
                    </a:prstGeom>
                    <a:noFill/>
                  </pic:spPr>
                </pic:pic>
              </a:graphicData>
            </a:graphic>
          </wp:inline>
        </w:drawing>
      </w:r>
    </w:p>
    <w:p w14:paraId="6B708246" w14:textId="53DCEED4" w:rsidR="002340F7" w:rsidRPr="00A166D4" w:rsidRDefault="002340F7" w:rsidP="00A166D4">
      <w:pPr>
        <w:shd w:val="clear" w:color="auto" w:fill="FFFFFF" w:themeFill="background1"/>
        <w:jc w:val="both"/>
        <w:rPr>
          <w:rFonts w:ascii="Times New Roman" w:eastAsia="Times New Roman" w:hAnsi="Times New Roman" w:cs="Times New Roman"/>
          <w:i/>
          <w:iCs/>
          <w:color w:val="000000" w:themeColor="text1"/>
          <w:sz w:val="24"/>
          <w:szCs w:val="24"/>
          <w:lang w:val="sq-AL"/>
        </w:rPr>
      </w:pPr>
      <w:r w:rsidRPr="00485482">
        <w:rPr>
          <w:rFonts w:ascii="Times New Roman" w:eastAsia="Times New Roman" w:hAnsi="Times New Roman" w:cs="Times New Roman"/>
          <w:i/>
          <w:iCs/>
          <w:color w:val="000000" w:themeColor="text1"/>
          <w:sz w:val="24"/>
          <w:szCs w:val="24"/>
          <w:lang w:val="sq-AL"/>
        </w:rPr>
        <w:t>Chart 3: Percentage of working-age individuals by age group</w:t>
      </w:r>
    </w:p>
    <w:p w14:paraId="3269FCA9" w14:textId="7D56AF4A" w:rsidR="005F2AC9" w:rsidRPr="00A166D4" w:rsidRDefault="002340F7" w:rsidP="00A166D4">
      <w:pPr>
        <w:pStyle w:val="font-claude-response-body"/>
        <w:spacing w:line="276" w:lineRule="auto"/>
        <w:jc w:val="both"/>
      </w:pPr>
      <w:r w:rsidRPr="00A166D4">
        <w:t>With the aim of transforming the EA programme into an integration scheme through the creation of employment opportunities, within the framework of the implementation of DCM No. 882, dated 24.12.2019 "On the inter-institutional coordination mechanism for the referral for employment of individuals and working-age members of families benefiting from economic assistance", and following the joint orders of 2022, 2023, 2024 "On the approval of the referral mechanism for the employment and social integration of working-age individuals", during 2025, 2,501 individuals from families benefiting from the economic assistance scheme were employed, and 1,156 members were referred for vocational training.</w:t>
      </w:r>
    </w:p>
    <w:bookmarkEnd w:id="5"/>
    <w:p w14:paraId="2904ABA9"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9F62DF">
        <w:rPr>
          <w:rFonts w:ascii="Times New Roman" w:eastAsia="Times New Roman" w:hAnsi="Times New Roman" w:cs="Times New Roman"/>
          <w:b/>
          <w:bCs/>
          <w:sz w:val="24"/>
          <w:szCs w:val="24"/>
        </w:rPr>
        <w:t>The social enterprise financing programme</w:t>
      </w:r>
      <w:r w:rsidRPr="00A166D4">
        <w:rPr>
          <w:rFonts w:ascii="Times New Roman" w:eastAsia="Times New Roman" w:hAnsi="Times New Roman" w:cs="Times New Roman"/>
          <w:sz w:val="24"/>
          <w:szCs w:val="24"/>
        </w:rPr>
        <w:t xml:space="preserve"> is a programme through which integration through employment of vulnerable groups is aimed.</w:t>
      </w:r>
    </w:p>
    <w:p w14:paraId="333A29EB"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forms of support through subsidies include the support for opening new jobs, payment of the minimum wage of social enterprise employees, as well as support for the payment of compulsory social and health insurance contributions of social enterprise employees belonging to disadvantaged groups for at least three years.</w:t>
      </w:r>
    </w:p>
    <w:p w14:paraId="5966E6B3"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Financially supported social enterprises must employ individuals from disadvantaged groups, of whom 50% are part of the programme for exiting the Economic Assistance scheme. Through this programme, the socio-economic reintegration of working-age individuals is further supported, turning the economic assistance scheme into an active scheme.</w:t>
      </w:r>
    </w:p>
    <w:p w14:paraId="5BAD420F"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9F62DF">
        <w:rPr>
          <w:rFonts w:ascii="Times New Roman" w:eastAsia="Times New Roman" w:hAnsi="Times New Roman" w:cs="Times New Roman"/>
          <w:b/>
          <w:bCs/>
          <w:sz w:val="24"/>
          <w:szCs w:val="24"/>
        </w:rPr>
        <w:t>In total, there are 13 organisations</w:t>
      </w:r>
      <w:r w:rsidRPr="00A166D4">
        <w:rPr>
          <w:rFonts w:ascii="Times New Roman" w:eastAsia="Times New Roman" w:hAnsi="Times New Roman" w:cs="Times New Roman"/>
          <w:sz w:val="24"/>
          <w:szCs w:val="24"/>
        </w:rPr>
        <w:t xml:space="preserve"> that have obtained the status of social enterprise, and during 2025, three social enterprises received financial support.</w:t>
      </w:r>
    </w:p>
    <w:p w14:paraId="20CC1BE8"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During 2025, in implementation of Decision No. 174, dated 24.03.2023 of the Council of Ministers "On the determination of the forms of financial support through subsidies for social enterprises, for the period 2023–2025", a total of 3 social enterprises received financial support:</w:t>
      </w:r>
    </w:p>
    <w:p w14:paraId="515760AE" w14:textId="77777777" w:rsidR="002340F7" w:rsidRPr="00A166D4" w:rsidRDefault="002340F7" w:rsidP="00320C75">
      <w:pPr>
        <w:numPr>
          <w:ilvl w:val="0"/>
          <w:numId w:val="12"/>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National Association for Integration, Development and Assistance for Vulnerable Groups.</w:t>
      </w:r>
    </w:p>
    <w:p w14:paraId="2024E567" w14:textId="77777777" w:rsidR="002340F7" w:rsidRPr="00A166D4" w:rsidRDefault="002340F7" w:rsidP="00320C75">
      <w:pPr>
        <w:numPr>
          <w:ilvl w:val="0"/>
          <w:numId w:val="12"/>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Social Centre in Assistance to People in Need.</w:t>
      </w:r>
    </w:p>
    <w:p w14:paraId="4281735D" w14:textId="77777777" w:rsidR="002340F7" w:rsidRPr="00A166D4" w:rsidRDefault="002340F7" w:rsidP="00320C75">
      <w:pPr>
        <w:numPr>
          <w:ilvl w:val="0"/>
          <w:numId w:val="12"/>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Protection of the Rights of Urban and Rural Women.</w:t>
      </w:r>
    </w:p>
    <w:p w14:paraId="7B33938B" w14:textId="77777777" w:rsidR="002340F7" w:rsidRPr="00A166D4" w:rsidRDefault="002340F7"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total value of the fund spent during 2025 for the three social enterprises is 13,583,848 ALL for approximately 30 employees hired from disadvantaged groups, of whom 90% are beneficiaries of the economic assistance scheme.</w:t>
      </w:r>
    </w:p>
    <w:p w14:paraId="04B036C2" w14:textId="77777777" w:rsidR="002340F7" w:rsidRPr="009F62DF" w:rsidRDefault="002340F7" w:rsidP="00A166D4">
      <w:pPr>
        <w:suppressAutoHyphens w:val="0"/>
        <w:spacing w:beforeAutospacing="1" w:after="100" w:afterAutospacing="1"/>
        <w:jc w:val="both"/>
        <w:rPr>
          <w:rFonts w:ascii="Times New Roman" w:eastAsia="Times New Roman" w:hAnsi="Times New Roman" w:cs="Times New Roman"/>
          <w:b/>
          <w:bCs/>
          <w:i/>
          <w:iCs/>
          <w:sz w:val="24"/>
          <w:szCs w:val="24"/>
        </w:rPr>
      </w:pPr>
      <w:r w:rsidRPr="009F62DF">
        <w:rPr>
          <w:rFonts w:ascii="Times New Roman" w:eastAsia="Times New Roman" w:hAnsi="Times New Roman" w:cs="Times New Roman"/>
          <w:b/>
          <w:bCs/>
          <w:i/>
          <w:iCs/>
          <w:sz w:val="24"/>
          <w:szCs w:val="24"/>
          <w:u w:val="single"/>
        </w:rPr>
        <w:t>Specific/strategic objective A2</w:t>
      </w:r>
      <w:r w:rsidRPr="009F62DF">
        <w:rPr>
          <w:rFonts w:ascii="Times New Roman" w:eastAsia="Times New Roman" w:hAnsi="Times New Roman" w:cs="Times New Roman"/>
          <w:b/>
          <w:bCs/>
          <w:i/>
          <w:iCs/>
          <w:sz w:val="24"/>
          <w:szCs w:val="24"/>
        </w:rPr>
        <w:t>: Consolidation of social protection reforms in the field of disability for support and participation in public and private life.</w:t>
      </w:r>
    </w:p>
    <w:p w14:paraId="77315C4E" w14:textId="77777777" w:rsidR="002340F7" w:rsidRPr="00A166D4" w:rsidRDefault="002340F7" w:rsidP="009F62DF">
      <w:pPr>
        <w:suppressAutoHyphens w:val="0"/>
        <w:spacing w:beforeAutospacing="1" w:after="0"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This specific objective aims to be achieved through the following priority measures:</w:t>
      </w:r>
    </w:p>
    <w:p w14:paraId="08661FBD" w14:textId="77777777" w:rsidR="009F62DF" w:rsidRDefault="002340F7" w:rsidP="009F62DF">
      <w:pPr>
        <w:suppressAutoHyphens w:val="0"/>
        <w:spacing w:beforeAutospacing="1" w:after="0"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A2.1. Improving the performance and transparency of the disability assessment scheme with the aim of effectively and gender-responsively addressing their individual needs, including in crisis and emergency situations.</w:t>
      </w:r>
    </w:p>
    <w:p w14:paraId="02A2B2E9" w14:textId="6381DF73" w:rsidR="00A44C0A" w:rsidRPr="00A166D4" w:rsidRDefault="002340F7" w:rsidP="009F62DF">
      <w:pPr>
        <w:suppressAutoHyphens w:val="0"/>
        <w:spacing w:before="0" w:after="100" w:afterAutospacing="1" w:line="240" w:lineRule="auto"/>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A2.2. Strengthening cooperation and continued support for the effective implementation of the Social Employment Fund for Persons with Disabilities and other employment programmes</w:t>
      </w:r>
    </w:p>
    <w:p w14:paraId="4D741783" w14:textId="77777777" w:rsidR="009F62DF" w:rsidRDefault="009F62DF" w:rsidP="00A166D4">
      <w:pPr>
        <w:spacing w:after="0"/>
        <w:jc w:val="both"/>
        <w:rPr>
          <w:rFonts w:ascii="Times New Roman" w:eastAsia="Times New Roman" w:hAnsi="Times New Roman" w:cs="Times New Roman"/>
          <w:b/>
          <w:bCs/>
          <w:color w:val="000000" w:themeColor="text1"/>
          <w:sz w:val="24"/>
          <w:szCs w:val="24"/>
          <w:lang w:val="it-IT"/>
        </w:rPr>
      </w:pPr>
    </w:p>
    <w:p w14:paraId="77444082" w14:textId="77777777" w:rsidR="009F62DF" w:rsidRDefault="009F62DF" w:rsidP="00A166D4">
      <w:pPr>
        <w:spacing w:after="0"/>
        <w:jc w:val="both"/>
        <w:rPr>
          <w:rFonts w:ascii="Times New Roman" w:eastAsia="Times New Roman" w:hAnsi="Times New Roman" w:cs="Times New Roman"/>
          <w:b/>
          <w:bCs/>
          <w:color w:val="000000" w:themeColor="text1"/>
          <w:sz w:val="24"/>
          <w:szCs w:val="24"/>
          <w:lang w:val="it-IT"/>
        </w:rPr>
      </w:pPr>
    </w:p>
    <w:p w14:paraId="0E924D44" w14:textId="77777777" w:rsidR="009F62DF" w:rsidRDefault="009F62DF" w:rsidP="00A166D4">
      <w:pPr>
        <w:spacing w:after="0"/>
        <w:jc w:val="both"/>
        <w:rPr>
          <w:rFonts w:ascii="Times New Roman" w:eastAsia="Times New Roman" w:hAnsi="Times New Roman" w:cs="Times New Roman"/>
          <w:b/>
          <w:bCs/>
          <w:color w:val="000000" w:themeColor="text1"/>
          <w:sz w:val="24"/>
          <w:szCs w:val="24"/>
          <w:lang w:val="it-IT"/>
        </w:rPr>
      </w:pPr>
    </w:p>
    <w:p w14:paraId="3E7E24B0" w14:textId="77777777" w:rsidR="009F62DF" w:rsidRDefault="009F62DF" w:rsidP="00A166D4">
      <w:pPr>
        <w:spacing w:after="0"/>
        <w:jc w:val="both"/>
        <w:rPr>
          <w:rFonts w:ascii="Times New Roman" w:eastAsia="Times New Roman" w:hAnsi="Times New Roman" w:cs="Times New Roman"/>
          <w:b/>
          <w:bCs/>
          <w:color w:val="000000" w:themeColor="text1"/>
          <w:sz w:val="24"/>
          <w:szCs w:val="24"/>
          <w:lang w:val="it-IT"/>
        </w:rPr>
      </w:pPr>
    </w:p>
    <w:p w14:paraId="5500A52F" w14:textId="77777777" w:rsidR="009F62DF" w:rsidRDefault="009F62DF" w:rsidP="00A166D4">
      <w:pPr>
        <w:spacing w:after="0"/>
        <w:jc w:val="both"/>
        <w:rPr>
          <w:rFonts w:ascii="Times New Roman" w:eastAsia="Times New Roman" w:hAnsi="Times New Roman" w:cs="Times New Roman"/>
          <w:b/>
          <w:bCs/>
          <w:color w:val="000000" w:themeColor="text1"/>
          <w:sz w:val="24"/>
          <w:szCs w:val="24"/>
          <w:lang w:val="it-IT"/>
        </w:rPr>
      </w:pPr>
    </w:p>
    <w:p w14:paraId="39DBC96D" w14:textId="77777777" w:rsidR="009F62DF" w:rsidRDefault="009F62DF" w:rsidP="00A166D4">
      <w:pPr>
        <w:spacing w:after="0"/>
        <w:jc w:val="both"/>
        <w:rPr>
          <w:rFonts w:ascii="Times New Roman" w:eastAsia="Times New Roman" w:hAnsi="Times New Roman" w:cs="Times New Roman"/>
          <w:b/>
          <w:bCs/>
          <w:color w:val="000000" w:themeColor="text1"/>
          <w:sz w:val="24"/>
          <w:szCs w:val="24"/>
          <w:lang w:val="it-IT"/>
        </w:rPr>
      </w:pPr>
    </w:p>
    <w:p w14:paraId="01AC2C43" w14:textId="14CDE520" w:rsidR="005F2AC9" w:rsidRPr="00A166D4" w:rsidRDefault="00B556B5" w:rsidP="009F62DF">
      <w:pPr>
        <w:spacing w:after="0"/>
        <w:jc w:val="center"/>
        <w:rPr>
          <w:rFonts w:ascii="Times New Roman" w:eastAsia="Times New Roman" w:hAnsi="Times New Roman" w:cs="Times New Roman"/>
          <w:b/>
          <w:bCs/>
          <w:color w:val="000000" w:themeColor="text1"/>
          <w:sz w:val="24"/>
          <w:szCs w:val="24"/>
          <w:lang w:val="it-IT"/>
        </w:rPr>
      </w:pPr>
      <w:r w:rsidRPr="00A166D4">
        <w:rPr>
          <w:rFonts w:ascii="Times New Roman" w:eastAsia="Times New Roman" w:hAnsi="Times New Roman" w:cs="Times New Roman"/>
          <w:b/>
          <w:bCs/>
          <w:color w:val="000000" w:themeColor="text1"/>
          <w:sz w:val="24"/>
          <w:szCs w:val="24"/>
          <w:lang w:val="it-IT"/>
        </w:rPr>
        <w:t>Table: Passport Indicators for Specific Objective A.2.</w:t>
      </w:r>
    </w:p>
    <w:p w14:paraId="08C0B383" w14:textId="77777777" w:rsidR="00B556B5" w:rsidRPr="00A166D4" w:rsidRDefault="00B556B5" w:rsidP="00A166D4">
      <w:pPr>
        <w:spacing w:after="0"/>
        <w:jc w:val="both"/>
        <w:rPr>
          <w:rFonts w:ascii="Times New Roman" w:hAnsi="Times New Roman" w:cs="Times New Roman"/>
          <w:i/>
          <w:iCs/>
          <w:color w:val="000000" w:themeColor="text1"/>
          <w:sz w:val="24"/>
          <w:szCs w:val="24"/>
        </w:rPr>
      </w:pPr>
    </w:p>
    <w:tbl>
      <w:tblPr>
        <w:tblStyle w:val="TableGrid"/>
        <w:tblW w:w="9119" w:type="dxa"/>
        <w:tblInd w:w="135" w:type="dxa"/>
        <w:tblLayout w:type="fixed"/>
        <w:tblLook w:val="04A0" w:firstRow="1" w:lastRow="0" w:firstColumn="1" w:lastColumn="0" w:noHBand="0" w:noVBand="1"/>
      </w:tblPr>
      <w:tblGrid>
        <w:gridCol w:w="1077"/>
        <w:gridCol w:w="1466"/>
        <w:gridCol w:w="1342"/>
        <w:gridCol w:w="918"/>
        <w:gridCol w:w="894"/>
        <w:gridCol w:w="916"/>
        <w:gridCol w:w="1360"/>
        <w:gridCol w:w="1146"/>
      </w:tblGrid>
      <w:tr w:rsidR="005F2AC9" w:rsidRPr="00A166D4" w14:paraId="12B5110F" w14:textId="77777777">
        <w:trPr>
          <w:trHeight w:val="1425"/>
        </w:trPr>
        <w:tc>
          <w:tcPr>
            <w:tcW w:w="1076" w:type="dxa"/>
            <w:tcBorders>
              <w:top w:val="single" w:sz="6" w:space="0" w:color="000000"/>
              <w:left w:val="single" w:sz="6" w:space="0" w:color="000000"/>
              <w:bottom w:val="single" w:sz="6" w:space="0" w:color="000000"/>
              <w:right w:val="single" w:sz="6" w:space="0" w:color="000000"/>
            </w:tcBorders>
            <w:shd w:val="clear" w:color="auto" w:fill="DAE8F8"/>
            <w:vAlign w:val="center"/>
          </w:tcPr>
          <w:p w14:paraId="452AC940" w14:textId="77777777" w:rsidR="005F2AC9" w:rsidRPr="00A166D4" w:rsidRDefault="005F2AC9" w:rsidP="00A166D4">
            <w:pPr>
              <w:spacing w:before="0" w:after="0"/>
              <w:jc w:val="both"/>
              <w:rPr>
                <w:rFonts w:ascii="Times New Roman" w:eastAsia="Times New Roman" w:hAnsi="Times New Roman" w:cs="Times New Roman"/>
                <w:b/>
                <w:bCs/>
                <w:color w:val="000000" w:themeColor="text1"/>
                <w:sz w:val="24"/>
                <w:szCs w:val="24"/>
              </w:rPr>
            </w:pPr>
          </w:p>
        </w:tc>
        <w:tc>
          <w:tcPr>
            <w:tcW w:w="1466" w:type="dxa"/>
            <w:tcBorders>
              <w:top w:val="single" w:sz="6" w:space="0" w:color="000000"/>
              <w:left w:val="single" w:sz="6" w:space="0" w:color="000000"/>
              <w:bottom w:val="single" w:sz="6" w:space="0" w:color="000000"/>
              <w:right w:val="single" w:sz="6" w:space="0" w:color="000000"/>
            </w:tcBorders>
            <w:shd w:val="clear" w:color="auto" w:fill="DAE8F8"/>
          </w:tcPr>
          <w:p w14:paraId="15777DF6" w14:textId="193671AA"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b/>
                <w:bCs/>
                <w:color w:val="000000" w:themeColor="text1"/>
                <w:sz w:val="24"/>
                <w:szCs w:val="24"/>
              </w:rPr>
              <w:t>Ob</w:t>
            </w:r>
            <w:r w:rsidR="006F5716" w:rsidRPr="00A166D4">
              <w:rPr>
                <w:rFonts w:ascii="Times New Roman" w:eastAsia="Times New Roman" w:hAnsi="Times New Roman" w:cs="Times New Roman"/>
                <w:b/>
                <w:bCs/>
                <w:color w:val="000000" w:themeColor="text1"/>
                <w:sz w:val="24"/>
                <w:szCs w:val="24"/>
              </w:rPr>
              <w:t>jectives</w:t>
            </w:r>
          </w:p>
        </w:tc>
        <w:tc>
          <w:tcPr>
            <w:tcW w:w="1342" w:type="dxa"/>
            <w:tcBorders>
              <w:top w:val="single" w:sz="6" w:space="0" w:color="000000"/>
              <w:left w:val="single" w:sz="6" w:space="0" w:color="000000"/>
              <w:bottom w:val="single" w:sz="6" w:space="0" w:color="000000"/>
              <w:right w:val="single" w:sz="6" w:space="0" w:color="000000"/>
            </w:tcBorders>
            <w:shd w:val="clear" w:color="auto" w:fill="DAE8F8"/>
          </w:tcPr>
          <w:p w14:paraId="24280B74" w14:textId="63BF0E33" w:rsidR="005F2AC9" w:rsidRPr="00A166D4" w:rsidRDefault="008C22B3"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hAnsi="Times New Roman" w:cs="Times New Roman"/>
                <w:sz w:val="24"/>
                <w:szCs w:val="24"/>
              </w:rPr>
              <w:t>Indicator</w:t>
            </w:r>
          </w:p>
        </w:tc>
        <w:tc>
          <w:tcPr>
            <w:tcW w:w="918" w:type="dxa"/>
            <w:tcBorders>
              <w:top w:val="single" w:sz="6" w:space="0" w:color="000000"/>
              <w:left w:val="single" w:sz="6" w:space="0" w:color="000000"/>
              <w:bottom w:val="single" w:sz="6" w:space="0" w:color="000000"/>
              <w:right w:val="single" w:sz="6" w:space="0" w:color="000000"/>
            </w:tcBorders>
            <w:shd w:val="clear" w:color="auto" w:fill="DAE8F8"/>
          </w:tcPr>
          <w:p w14:paraId="2F4C26C0" w14:textId="4F31F434"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Baseline value</w:t>
            </w:r>
          </w:p>
        </w:tc>
        <w:tc>
          <w:tcPr>
            <w:tcW w:w="894" w:type="dxa"/>
            <w:tcBorders>
              <w:top w:val="single" w:sz="6" w:space="0" w:color="000000"/>
              <w:left w:val="single" w:sz="6" w:space="0" w:color="000000"/>
              <w:bottom w:val="single" w:sz="6" w:space="0" w:color="000000"/>
              <w:right w:val="single" w:sz="6" w:space="0" w:color="000000"/>
            </w:tcBorders>
            <w:shd w:val="clear" w:color="auto" w:fill="DAE8F8"/>
          </w:tcPr>
          <w:p w14:paraId="5A3B7C78" w14:textId="32394FCC" w:rsidR="005F2AC9" w:rsidRPr="00A166D4" w:rsidRDefault="008C22B3"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hAnsi="Times New Roman" w:cs="Times New Roman"/>
                <w:sz w:val="24"/>
                <w:szCs w:val="24"/>
              </w:rPr>
              <w:t>Year 2025</w:t>
            </w:r>
          </w:p>
        </w:tc>
        <w:tc>
          <w:tcPr>
            <w:tcW w:w="916" w:type="dxa"/>
            <w:tcBorders>
              <w:top w:val="single" w:sz="6" w:space="0" w:color="000000"/>
              <w:left w:val="single" w:sz="6" w:space="0" w:color="000000"/>
              <w:bottom w:val="single" w:sz="6" w:space="0" w:color="000000"/>
              <w:right w:val="single" w:sz="6" w:space="0" w:color="000000"/>
            </w:tcBorders>
            <w:shd w:val="clear" w:color="auto" w:fill="DAE8F8"/>
          </w:tcPr>
          <w:p w14:paraId="3722E3C2" w14:textId="6BB92EC7"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Target 2030</w:t>
            </w:r>
          </w:p>
        </w:tc>
        <w:tc>
          <w:tcPr>
            <w:tcW w:w="1360" w:type="dxa"/>
            <w:tcBorders>
              <w:top w:val="single" w:sz="6" w:space="0" w:color="000000"/>
              <w:left w:val="single" w:sz="6" w:space="0" w:color="000000"/>
              <w:bottom w:val="single" w:sz="6" w:space="0" w:color="000000"/>
              <w:right w:val="single" w:sz="6" w:space="0" w:color="000000"/>
            </w:tcBorders>
            <w:shd w:val="clear" w:color="auto" w:fill="DAE8F8"/>
          </w:tcPr>
          <w:p w14:paraId="50884CFC" w14:textId="36FF4D8C"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Sources and means of verification</w:t>
            </w:r>
          </w:p>
        </w:tc>
        <w:tc>
          <w:tcPr>
            <w:tcW w:w="1146" w:type="dxa"/>
            <w:tcBorders>
              <w:top w:val="single" w:sz="6" w:space="0" w:color="000000"/>
              <w:left w:val="single" w:sz="6" w:space="0" w:color="000000"/>
              <w:bottom w:val="single" w:sz="6" w:space="0" w:color="000000"/>
              <w:right w:val="single" w:sz="6" w:space="0" w:color="000000"/>
            </w:tcBorders>
            <w:shd w:val="clear" w:color="auto" w:fill="DAE8F8"/>
          </w:tcPr>
          <w:p w14:paraId="17FE52A4" w14:textId="090B159D"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Reference in other documents</w:t>
            </w:r>
          </w:p>
        </w:tc>
      </w:tr>
      <w:tr w:rsidR="005F2AC9" w:rsidRPr="00A166D4" w14:paraId="3A7598F7" w14:textId="77777777">
        <w:trPr>
          <w:trHeight w:val="300"/>
        </w:trPr>
        <w:tc>
          <w:tcPr>
            <w:tcW w:w="1076" w:type="dxa"/>
            <w:tcBorders>
              <w:top w:val="single" w:sz="6" w:space="0" w:color="000000"/>
              <w:left w:val="single" w:sz="6" w:space="0" w:color="000000"/>
              <w:bottom w:val="single" w:sz="6" w:space="0" w:color="000000"/>
              <w:right w:val="single" w:sz="6" w:space="0" w:color="000000"/>
            </w:tcBorders>
            <w:shd w:val="clear" w:color="auto" w:fill="FFF2CC"/>
            <w:vAlign w:val="center"/>
          </w:tcPr>
          <w:p w14:paraId="475C17C2" w14:textId="7A2CA586" w:rsidR="005F2AC9" w:rsidRPr="00A166D4" w:rsidRDefault="006F5716" w:rsidP="00A166D4">
            <w:pPr>
              <w:spacing w:before="0" w:after="0"/>
              <w:jc w:val="both"/>
              <w:rPr>
                <w:rFonts w:ascii="Times New Roman" w:eastAsia="Times New Roman" w:hAnsi="Times New Roman" w:cs="Times New Roman"/>
                <w:b/>
                <w:bCs/>
                <w:color w:val="000000" w:themeColor="text1"/>
                <w:sz w:val="24"/>
                <w:szCs w:val="24"/>
                <w:lang w:val="sq-AL"/>
              </w:rPr>
            </w:pPr>
            <w:r w:rsidRPr="00A166D4">
              <w:rPr>
                <w:rFonts w:ascii="Times New Roman" w:eastAsia="Times New Roman" w:hAnsi="Times New Roman" w:cs="Times New Roman"/>
                <w:b/>
                <w:bCs/>
                <w:color w:val="000000" w:themeColor="text1"/>
                <w:sz w:val="24"/>
                <w:szCs w:val="24"/>
                <w:lang w:val="sq-AL"/>
              </w:rPr>
              <w:t>Specific/strategic objective</w:t>
            </w:r>
          </w:p>
        </w:tc>
        <w:tc>
          <w:tcPr>
            <w:tcW w:w="1466" w:type="dxa"/>
            <w:tcBorders>
              <w:top w:val="single" w:sz="6" w:space="0" w:color="000000"/>
              <w:left w:val="single" w:sz="6" w:space="0" w:color="000000"/>
              <w:bottom w:val="single" w:sz="6" w:space="0" w:color="000000"/>
              <w:right w:val="single" w:sz="6" w:space="0" w:color="000000"/>
            </w:tcBorders>
            <w:shd w:val="clear" w:color="auto" w:fill="FFF2CC"/>
          </w:tcPr>
          <w:p w14:paraId="330846DE" w14:textId="0248079C" w:rsidR="005F2AC9" w:rsidRPr="00A166D4" w:rsidRDefault="008C22B3" w:rsidP="00A166D4">
            <w:pPr>
              <w:spacing w:before="0" w:after="0"/>
              <w:jc w:val="both"/>
              <w:rPr>
                <w:rFonts w:ascii="Times New Roman" w:hAnsi="Times New Roman" w:cs="Times New Roman"/>
                <w:color w:val="000000" w:themeColor="text1"/>
                <w:sz w:val="24"/>
                <w:szCs w:val="24"/>
                <w:lang w:val="sq-AL"/>
              </w:rPr>
            </w:pPr>
            <w:r w:rsidRPr="00A166D4">
              <w:rPr>
                <w:rFonts w:ascii="Times New Roman" w:hAnsi="Times New Roman" w:cs="Times New Roman"/>
                <w:sz w:val="24"/>
                <w:szCs w:val="24"/>
              </w:rPr>
              <w:t>A2. Consolidation of social protection reforms in the field of disability for support and participation in public and private life</w:t>
            </w:r>
          </w:p>
        </w:tc>
        <w:tc>
          <w:tcPr>
            <w:tcW w:w="1342" w:type="dxa"/>
            <w:tcBorders>
              <w:top w:val="single" w:sz="6" w:space="0" w:color="000000"/>
              <w:left w:val="single" w:sz="6" w:space="0" w:color="000000"/>
              <w:bottom w:val="single" w:sz="6" w:space="0" w:color="000000"/>
              <w:right w:val="single" w:sz="6" w:space="0" w:color="000000"/>
            </w:tcBorders>
            <w:shd w:val="clear" w:color="auto" w:fill="FFF2CC"/>
          </w:tcPr>
          <w:p w14:paraId="38C3DD21" w14:textId="4176EBB8" w:rsidR="005F2AC9" w:rsidRPr="00A166D4" w:rsidRDefault="003F2374" w:rsidP="00A166D4">
            <w:pPr>
              <w:spacing w:before="0" w:after="0"/>
              <w:jc w:val="both"/>
              <w:rPr>
                <w:rFonts w:ascii="Times New Roman" w:hAnsi="Times New Roman" w:cs="Times New Roman"/>
                <w:color w:val="000000" w:themeColor="text1"/>
                <w:sz w:val="24"/>
                <w:szCs w:val="24"/>
                <w:lang w:val="sq-AL"/>
              </w:rPr>
            </w:pPr>
            <w:r w:rsidRPr="00A166D4">
              <w:rPr>
                <w:rFonts w:ascii="Times New Roman" w:hAnsi="Times New Roman" w:cs="Times New Roman"/>
                <w:sz w:val="24"/>
                <w:szCs w:val="24"/>
              </w:rPr>
              <w:t>Percentage of individuals with Disabilities benefiting from all other support programmes in relation to the total beneficiaries, by gender</w:t>
            </w:r>
            <w:r w:rsidR="00B56839" w:rsidRPr="00A166D4">
              <w:rPr>
                <w:rFonts w:ascii="Times New Roman" w:eastAsia="Times New Roman" w:hAnsi="Times New Roman" w:cs="Times New Roman"/>
                <w:color w:val="000000" w:themeColor="text1"/>
                <w:sz w:val="24"/>
                <w:szCs w:val="24"/>
                <w:lang w:val="sq-AL"/>
              </w:rPr>
              <w:t xml:space="preserve"> </w:t>
            </w:r>
          </w:p>
          <w:p w14:paraId="4D0706F7" w14:textId="77777777" w:rsidR="005F2AC9" w:rsidRPr="00A166D4" w:rsidRDefault="00B56839" w:rsidP="00A166D4">
            <w:pPr>
              <w:spacing w:before="0" w:after="0"/>
              <w:jc w:val="both"/>
              <w:rPr>
                <w:rFonts w:ascii="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 xml:space="preserve"> </w:t>
            </w:r>
          </w:p>
          <w:p w14:paraId="21A3129D" w14:textId="77777777" w:rsidR="005F2AC9" w:rsidRPr="00A166D4" w:rsidRDefault="00B56839" w:rsidP="00A166D4">
            <w:pPr>
              <w:spacing w:before="0" w:after="0"/>
              <w:jc w:val="both"/>
              <w:rPr>
                <w:rFonts w:ascii="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 xml:space="preserve"> </w:t>
            </w:r>
          </w:p>
          <w:p w14:paraId="080DE58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sq-AL"/>
              </w:rPr>
            </w:pPr>
          </w:p>
        </w:tc>
        <w:tc>
          <w:tcPr>
            <w:tcW w:w="918" w:type="dxa"/>
            <w:tcBorders>
              <w:top w:val="single" w:sz="6" w:space="0" w:color="000000"/>
              <w:left w:val="single" w:sz="6" w:space="0" w:color="000000"/>
              <w:bottom w:val="single" w:sz="6" w:space="0" w:color="000000"/>
              <w:right w:val="single" w:sz="6" w:space="0" w:color="000000"/>
            </w:tcBorders>
            <w:shd w:val="clear" w:color="auto" w:fill="FFF2CC"/>
          </w:tcPr>
          <w:p w14:paraId="182C4E3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15%</w:t>
            </w:r>
          </w:p>
          <w:p w14:paraId="76C1F88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A67939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295747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AA137E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5EA170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082EC8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9B876E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4B5FB1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tc>
        <w:tc>
          <w:tcPr>
            <w:tcW w:w="894" w:type="dxa"/>
            <w:tcBorders>
              <w:top w:val="single" w:sz="6" w:space="0" w:color="000000"/>
              <w:left w:val="single" w:sz="6" w:space="0" w:color="000000"/>
              <w:bottom w:val="single" w:sz="6" w:space="0" w:color="000000"/>
              <w:right w:val="single" w:sz="6" w:space="0" w:color="000000"/>
            </w:tcBorders>
            <w:shd w:val="clear" w:color="auto" w:fill="FFF2CC"/>
          </w:tcPr>
          <w:p w14:paraId="146EA1A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27%</w:t>
            </w:r>
          </w:p>
          <w:p w14:paraId="733B9C7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0EF630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AB76BC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9AD548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991A11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2DD5FC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1AFEAC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4CF730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tc>
        <w:tc>
          <w:tcPr>
            <w:tcW w:w="916" w:type="dxa"/>
            <w:tcBorders>
              <w:top w:val="single" w:sz="6" w:space="0" w:color="000000"/>
              <w:left w:val="single" w:sz="6" w:space="0" w:color="000000"/>
              <w:bottom w:val="single" w:sz="6" w:space="0" w:color="000000"/>
              <w:right w:val="single" w:sz="6" w:space="0" w:color="000000"/>
            </w:tcBorders>
            <w:shd w:val="clear" w:color="auto" w:fill="FFF2CC"/>
          </w:tcPr>
          <w:p w14:paraId="657D4C2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50%</w:t>
            </w:r>
          </w:p>
          <w:p w14:paraId="12DF683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FAE872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5830C2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F76F89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22C3F7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68C1E1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86BFC8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1C29CA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200B0E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tc>
        <w:tc>
          <w:tcPr>
            <w:tcW w:w="1360" w:type="dxa"/>
            <w:tcBorders>
              <w:top w:val="single" w:sz="6" w:space="0" w:color="000000"/>
              <w:left w:val="single" w:sz="6" w:space="0" w:color="000000"/>
              <w:bottom w:val="single" w:sz="6" w:space="0" w:color="000000"/>
              <w:right w:val="single" w:sz="6" w:space="0" w:color="000000"/>
            </w:tcBorders>
            <w:shd w:val="clear" w:color="auto" w:fill="FFF2CC"/>
          </w:tcPr>
          <w:p w14:paraId="4F902A0C" w14:textId="3641F8EC"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SSS / administrative data</w:t>
            </w:r>
          </w:p>
        </w:tc>
        <w:tc>
          <w:tcPr>
            <w:tcW w:w="1146" w:type="dxa"/>
            <w:tcBorders>
              <w:top w:val="single" w:sz="6" w:space="0" w:color="000000"/>
              <w:left w:val="single" w:sz="6" w:space="0" w:color="000000"/>
              <w:bottom w:val="single" w:sz="6" w:space="0" w:color="000000"/>
              <w:right w:val="single" w:sz="6" w:space="0" w:color="000000"/>
            </w:tcBorders>
            <w:shd w:val="clear" w:color="auto" w:fill="FFF2CC"/>
          </w:tcPr>
          <w:p w14:paraId="5E81F3DF" w14:textId="736F4E67" w:rsidR="005F2AC9" w:rsidRPr="00A166D4" w:rsidRDefault="008C22B3"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hAnsi="Times New Roman" w:cs="Times New Roman"/>
                <w:sz w:val="24"/>
                <w:szCs w:val="24"/>
              </w:rPr>
              <w:t>SDG – 10.2 NSDEI / Social Protection indicator SDG – 8.5; 8.6; 5.c; 1</w:t>
            </w:r>
          </w:p>
        </w:tc>
      </w:tr>
      <w:tr w:rsidR="005F2AC9" w:rsidRPr="00A166D4" w14:paraId="3E518E4D" w14:textId="77777777">
        <w:trPr>
          <w:trHeight w:val="300"/>
        </w:trPr>
        <w:tc>
          <w:tcPr>
            <w:tcW w:w="1076" w:type="dxa"/>
            <w:vMerge w:val="restart"/>
            <w:tcBorders>
              <w:top w:val="single" w:sz="6" w:space="0" w:color="000000"/>
              <w:left w:val="single" w:sz="6" w:space="0" w:color="000000"/>
              <w:bottom w:val="single" w:sz="6" w:space="0" w:color="000000"/>
              <w:right w:val="single" w:sz="6" w:space="0" w:color="000000"/>
            </w:tcBorders>
            <w:shd w:val="clear" w:color="auto" w:fill="F3EAE1" w:themeFill="accent4" w:themeFillTint="33"/>
            <w:vAlign w:val="center"/>
          </w:tcPr>
          <w:p w14:paraId="4C7A053C" w14:textId="72A9C414" w:rsidR="005F2AC9" w:rsidRPr="00A166D4" w:rsidRDefault="006F5716" w:rsidP="00A166D4">
            <w:pPr>
              <w:spacing w:before="0" w:after="0"/>
              <w:jc w:val="both"/>
              <w:rPr>
                <w:rFonts w:ascii="Times New Roman" w:eastAsia="Times New Roman" w:hAnsi="Times New Roman" w:cs="Times New Roman"/>
                <w:b/>
                <w:bCs/>
                <w:color w:val="000000" w:themeColor="text1"/>
                <w:sz w:val="24"/>
                <w:szCs w:val="24"/>
                <w:lang w:val="sq-AL"/>
              </w:rPr>
            </w:pPr>
            <w:r w:rsidRPr="00A166D4">
              <w:rPr>
                <w:rFonts w:ascii="Times New Roman" w:eastAsia="Times New Roman" w:hAnsi="Times New Roman" w:cs="Times New Roman"/>
                <w:b/>
                <w:bCs/>
                <w:color w:val="000000" w:themeColor="text1"/>
                <w:sz w:val="24"/>
                <w:szCs w:val="24"/>
                <w:lang w:val="sq-AL"/>
              </w:rPr>
              <w:t>Priority measures</w:t>
            </w:r>
          </w:p>
        </w:tc>
        <w:tc>
          <w:tcPr>
            <w:tcW w:w="146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027AFE8" w14:textId="24836EA6" w:rsidR="005F2AC9" w:rsidRPr="00A166D4" w:rsidRDefault="008C22B3" w:rsidP="00A166D4">
            <w:pPr>
              <w:spacing w:before="0" w:after="0"/>
              <w:jc w:val="both"/>
              <w:rPr>
                <w:rFonts w:ascii="Times New Roman" w:hAnsi="Times New Roman" w:cs="Times New Roman"/>
                <w:color w:val="000000" w:themeColor="text1"/>
                <w:sz w:val="24"/>
                <w:szCs w:val="24"/>
                <w:lang w:val="sq-AL"/>
              </w:rPr>
            </w:pPr>
            <w:r w:rsidRPr="00A166D4">
              <w:rPr>
                <w:rFonts w:ascii="Times New Roman" w:hAnsi="Times New Roman" w:cs="Times New Roman"/>
                <w:sz w:val="24"/>
                <w:szCs w:val="24"/>
              </w:rPr>
              <w:t>A2.1. Improving the performance and transparency of the disability assessment scheme with the aim of effectively and gender-responsively addressing their individual needs, including in crisis and emergency situations.</w:t>
            </w:r>
          </w:p>
        </w:tc>
        <w:tc>
          <w:tcPr>
            <w:tcW w:w="1342"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4A36C0CC" w14:textId="3F6E9B03"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Number of individuals receiving work disability payment (by age group and gender)</w:t>
            </w:r>
          </w:p>
        </w:tc>
        <w:tc>
          <w:tcPr>
            <w:tcW w:w="91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318F1EB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10%</w:t>
            </w:r>
          </w:p>
          <w:p w14:paraId="5A9911D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D4E3F0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DD47B7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B910CC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6A3D6A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66FA76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47509B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9032E7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A1960E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AA7F63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89E0D9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27D84F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4621F3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355538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B716EB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73,046</w:t>
            </w:r>
          </w:p>
          <w:p w14:paraId="09B1C0D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340E2B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B452BD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7AFAFE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9FBDE6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E8FD2B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E9359E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5ED895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4BB1AA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18,467</w:t>
            </w:r>
          </w:p>
          <w:p w14:paraId="58F9A9F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CFB59C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1AF0AD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33FD01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21FEBF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DAC06C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B8C9B91"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C38FF04"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73,418</w:t>
            </w:r>
          </w:p>
        </w:tc>
        <w:tc>
          <w:tcPr>
            <w:tcW w:w="894"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19C015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31%</w:t>
            </w:r>
          </w:p>
          <w:p w14:paraId="58EB312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highlight w:val="yellow"/>
              </w:rPr>
              <w:t xml:space="preserve"> </w:t>
            </w:r>
          </w:p>
          <w:p w14:paraId="51C89B6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highlight w:val="yellow"/>
              </w:rPr>
              <w:t xml:space="preserve"> </w:t>
            </w:r>
          </w:p>
          <w:p w14:paraId="17FD95C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highlight w:val="yellow"/>
              </w:rPr>
              <w:t xml:space="preserve"> </w:t>
            </w:r>
          </w:p>
          <w:p w14:paraId="7666EBD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highlight w:val="yellow"/>
              </w:rPr>
              <w:t xml:space="preserve"> </w:t>
            </w:r>
          </w:p>
          <w:p w14:paraId="6571C7E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highlight w:val="yellow"/>
              </w:rPr>
              <w:t xml:space="preserve"> </w:t>
            </w:r>
          </w:p>
          <w:p w14:paraId="590EE96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highlight w:val="yellow"/>
              </w:rPr>
              <w:t xml:space="preserve"> </w:t>
            </w:r>
          </w:p>
          <w:p w14:paraId="2C1D9B6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highlight w:val="yellow"/>
              </w:rPr>
              <w:t xml:space="preserve"> </w:t>
            </w:r>
          </w:p>
          <w:p w14:paraId="06E020C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5F56420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0B2F777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3707965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391EFCE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74D891A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3358201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highlight w:val="yellow"/>
              </w:rPr>
              <w:t xml:space="preserve"> </w:t>
            </w:r>
          </w:p>
          <w:p w14:paraId="56D4C2C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78,043</w:t>
            </w:r>
          </w:p>
          <w:p w14:paraId="3B41997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highlight w:val="yellow"/>
              </w:rPr>
              <w:t xml:space="preserve"> </w:t>
            </w:r>
          </w:p>
          <w:p w14:paraId="5EA890F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highlight w:val="yellow"/>
              </w:rPr>
              <w:t xml:space="preserve"> </w:t>
            </w:r>
          </w:p>
          <w:p w14:paraId="03CF2D4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highlight w:val="yellow"/>
              </w:rPr>
              <w:t xml:space="preserve"> </w:t>
            </w:r>
          </w:p>
          <w:p w14:paraId="3E09B25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150ADB5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5C8D737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39948F4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13495CD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007BEAA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19,642</w:t>
            </w:r>
          </w:p>
          <w:p w14:paraId="2CE662F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highlight w:val="yellow"/>
              </w:rPr>
              <w:t xml:space="preserve"> </w:t>
            </w:r>
          </w:p>
          <w:p w14:paraId="1D6E493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2AFC630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2F706FD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077EFD8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2DD02C1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highlight w:val="yellow"/>
              </w:rPr>
              <w:t xml:space="preserve"> </w:t>
            </w:r>
          </w:p>
          <w:p w14:paraId="263972D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highlight w:val="yellow"/>
              </w:rPr>
              <w:t xml:space="preserve"> </w:t>
            </w:r>
          </w:p>
          <w:p w14:paraId="04F6C46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w:t>
            </w:r>
          </w:p>
        </w:tc>
        <w:tc>
          <w:tcPr>
            <w:tcW w:w="91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9D9B16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40%</w:t>
            </w:r>
          </w:p>
          <w:p w14:paraId="7F7654B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99C4EA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C82230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27868C9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FCCA75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93BB12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22091B2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262D6F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4DEC0D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098C78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02B749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E238F1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534D92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77B230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9FC95E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77,000</w:t>
            </w:r>
          </w:p>
          <w:p w14:paraId="4A103D4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C0C802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69D0F1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258C4B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280694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353310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98D369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973C5F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97EC51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19,000</w:t>
            </w:r>
          </w:p>
          <w:p w14:paraId="5F5CB35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258E73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27AB4EA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1F5011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F377E1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EEDDF3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698780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240752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74,500</w:t>
            </w:r>
          </w:p>
        </w:tc>
        <w:tc>
          <w:tcPr>
            <w:tcW w:w="136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54FCDCDF" w14:textId="5F094131"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SSS / administrative data</w:t>
            </w:r>
            <w:r w:rsidR="00B56839" w:rsidRPr="00A166D4">
              <w:rPr>
                <w:rFonts w:ascii="Times New Roman" w:eastAsia="Times New Roman" w:hAnsi="Times New Roman" w:cs="Times New Roman"/>
                <w:color w:val="000000" w:themeColor="text1"/>
                <w:sz w:val="24"/>
                <w:szCs w:val="24"/>
              </w:rPr>
              <w:t xml:space="preserve"> </w:t>
            </w:r>
          </w:p>
          <w:p w14:paraId="03B235B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6C3C47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F54BCE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0E0DD0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D8C95B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55923B1"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7BB016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C31F74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3E757D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D21F49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3757082" w14:textId="59CAE569"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SSS / administrative data</w:t>
            </w:r>
            <w:r w:rsidR="00B56839" w:rsidRPr="00A166D4">
              <w:rPr>
                <w:rFonts w:ascii="Times New Roman" w:eastAsia="Times New Roman" w:hAnsi="Times New Roman" w:cs="Times New Roman"/>
                <w:color w:val="000000" w:themeColor="text1"/>
                <w:sz w:val="24"/>
                <w:szCs w:val="24"/>
              </w:rPr>
              <w:t xml:space="preserve"> </w:t>
            </w:r>
          </w:p>
          <w:p w14:paraId="4B69EDE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9D8F6C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3814401"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11ACE4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95A5FA7" w14:textId="365F0CA0" w:rsidR="005F2AC9" w:rsidRPr="00A166D4" w:rsidRDefault="008C22B3"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hAnsi="Times New Roman" w:cs="Times New Roman"/>
                <w:sz w:val="24"/>
                <w:szCs w:val="24"/>
              </w:rPr>
              <w:t>SSS / administrative data</w:t>
            </w:r>
          </w:p>
          <w:p w14:paraId="4B14672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8C71D8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9C5EC9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60C12E9" w14:textId="7724E05E"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SSS / administrative data</w:t>
            </w:r>
            <w:r w:rsidR="00B56839" w:rsidRPr="00A166D4">
              <w:rPr>
                <w:rFonts w:ascii="Times New Roman" w:eastAsia="Times New Roman" w:hAnsi="Times New Roman" w:cs="Times New Roman"/>
                <w:color w:val="000000" w:themeColor="text1"/>
                <w:sz w:val="24"/>
                <w:szCs w:val="24"/>
              </w:rPr>
              <w:t xml:space="preserve"> </w:t>
            </w:r>
          </w:p>
          <w:p w14:paraId="583E5AC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tc>
        <w:tc>
          <w:tcPr>
            <w:tcW w:w="114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6B2D278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tc>
      </w:tr>
      <w:tr w:rsidR="005F2AC9" w:rsidRPr="00A166D4" w14:paraId="4720AD99" w14:textId="77777777">
        <w:trPr>
          <w:trHeight w:val="300"/>
        </w:trPr>
        <w:tc>
          <w:tcPr>
            <w:tcW w:w="1076" w:type="dxa"/>
            <w:vMerge/>
            <w:tcBorders>
              <w:top w:val="single" w:sz="6" w:space="0" w:color="000000"/>
              <w:left w:val="single" w:sz="6" w:space="0" w:color="000000"/>
              <w:bottom w:val="single" w:sz="6" w:space="0" w:color="000000"/>
              <w:right w:val="single" w:sz="6" w:space="0" w:color="000000"/>
            </w:tcBorders>
            <w:shd w:val="clear" w:color="auto" w:fill="FFF2CC"/>
            <w:vAlign w:val="center"/>
          </w:tcPr>
          <w:p w14:paraId="59CD0559" w14:textId="77777777" w:rsidR="005F2AC9" w:rsidRPr="00A166D4" w:rsidRDefault="005F2AC9" w:rsidP="00A166D4">
            <w:pPr>
              <w:spacing w:before="0" w:after="0"/>
              <w:jc w:val="both"/>
              <w:rPr>
                <w:rFonts w:ascii="Times New Roman" w:hAnsi="Times New Roman" w:cs="Times New Roman"/>
                <w:color w:val="000000" w:themeColor="text1"/>
                <w:sz w:val="24"/>
                <w:szCs w:val="24"/>
              </w:rPr>
            </w:pPr>
          </w:p>
        </w:tc>
        <w:tc>
          <w:tcPr>
            <w:tcW w:w="146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9531E52" w14:textId="4EF02903"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A2.2. Strengthening cooperation and continued support for the effective implementation of the Social Employment Fund for Persons with Disabilities and other employment programmes.</w:t>
            </w:r>
          </w:p>
        </w:tc>
        <w:tc>
          <w:tcPr>
            <w:tcW w:w="1342"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7C570DB2" w14:textId="77777777" w:rsidR="008C22B3" w:rsidRPr="00A166D4" w:rsidRDefault="008C22B3" w:rsidP="00A166D4">
            <w:pPr>
              <w:spacing w:before="0" w:after="0"/>
              <w:jc w:val="both"/>
              <w:rPr>
                <w:rFonts w:ascii="Times New Roman" w:hAnsi="Times New Roman" w:cs="Times New Roman"/>
                <w:sz w:val="24"/>
                <w:szCs w:val="24"/>
              </w:rPr>
            </w:pPr>
            <w:r w:rsidRPr="00A166D4">
              <w:rPr>
                <w:rFonts w:ascii="Times New Roman" w:hAnsi="Times New Roman" w:cs="Times New Roman"/>
                <w:sz w:val="24"/>
                <w:szCs w:val="24"/>
              </w:rPr>
              <w:t>Number of PwD benefiting from the Social Employment Fund scheme (by age and gender)</w:t>
            </w:r>
          </w:p>
          <w:p w14:paraId="5CB0DBE3" w14:textId="49EBF65C"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07DF9E7" w14:textId="6F212D23"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Number of PwD benefiting from integrated social services</w:t>
            </w:r>
            <w:r w:rsidR="00B56839" w:rsidRPr="00A166D4">
              <w:rPr>
                <w:rFonts w:ascii="Times New Roman" w:eastAsia="Times New Roman" w:hAnsi="Times New Roman" w:cs="Times New Roman"/>
                <w:color w:val="000000" w:themeColor="text1"/>
                <w:sz w:val="24"/>
                <w:szCs w:val="24"/>
                <w:lang w:val="it-IT"/>
              </w:rPr>
              <w:t xml:space="preserve"> </w:t>
            </w:r>
          </w:p>
          <w:p w14:paraId="6BE8D92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tc>
        <w:tc>
          <w:tcPr>
            <w:tcW w:w="918"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5EDE820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N/A </w:t>
            </w:r>
          </w:p>
          <w:p w14:paraId="192F4BD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67D564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1633C6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711231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177D1EB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36107D7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31AA2B6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84FDAD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A8B74C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330C984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053A409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2,503</w:t>
            </w:r>
          </w:p>
          <w:p w14:paraId="26CCE38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D41A9D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7B1DFB0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834AF9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tc>
        <w:tc>
          <w:tcPr>
            <w:tcW w:w="894"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840D83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N/A</w:t>
            </w:r>
          </w:p>
          <w:p w14:paraId="5AB2D3A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96F61B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103DF4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C9A6D8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7B69BF9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22E8105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3BC7EFF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004E859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F67D30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2D17F0A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0A787D4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1,792</w:t>
            </w:r>
          </w:p>
        </w:tc>
        <w:tc>
          <w:tcPr>
            <w:tcW w:w="91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4B6BE11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700</w:t>
            </w:r>
          </w:p>
          <w:p w14:paraId="04A8163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F68048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483A29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902318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0432253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12CA726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7B9438A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004D567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31FA4B3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A24B48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D2F949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3,667</w:t>
            </w:r>
          </w:p>
          <w:p w14:paraId="45631E2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tc>
        <w:tc>
          <w:tcPr>
            <w:tcW w:w="136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376647B0" w14:textId="19BF781D"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SSS / administrative data</w:t>
            </w:r>
            <w:r w:rsidR="00B56839" w:rsidRPr="00A166D4">
              <w:rPr>
                <w:rFonts w:ascii="Times New Roman" w:eastAsia="Times New Roman" w:hAnsi="Times New Roman" w:cs="Times New Roman"/>
                <w:color w:val="000000" w:themeColor="text1"/>
                <w:sz w:val="24"/>
                <w:szCs w:val="24"/>
              </w:rPr>
              <w:t xml:space="preserve"> </w:t>
            </w:r>
          </w:p>
          <w:p w14:paraId="69D9083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61D520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DE03F1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EE134D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0B3F94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3837410" w14:textId="77777777" w:rsidR="009F62DF" w:rsidRDefault="009F62DF" w:rsidP="00A166D4">
            <w:pPr>
              <w:spacing w:before="0" w:after="0"/>
              <w:jc w:val="both"/>
              <w:rPr>
                <w:rFonts w:ascii="Times New Roman" w:hAnsi="Times New Roman" w:cs="Times New Roman"/>
                <w:sz w:val="24"/>
                <w:szCs w:val="24"/>
              </w:rPr>
            </w:pPr>
          </w:p>
          <w:p w14:paraId="19EA3D20" w14:textId="77777777" w:rsidR="009F62DF" w:rsidRDefault="009F62DF" w:rsidP="00A166D4">
            <w:pPr>
              <w:spacing w:before="0" w:after="0"/>
              <w:jc w:val="both"/>
              <w:rPr>
                <w:rFonts w:ascii="Times New Roman" w:hAnsi="Times New Roman" w:cs="Times New Roman"/>
                <w:sz w:val="24"/>
                <w:szCs w:val="24"/>
              </w:rPr>
            </w:pPr>
          </w:p>
          <w:p w14:paraId="544FBE15" w14:textId="77777777" w:rsidR="009F62DF" w:rsidRDefault="009F62DF" w:rsidP="00A166D4">
            <w:pPr>
              <w:spacing w:before="0" w:after="0"/>
              <w:jc w:val="both"/>
              <w:rPr>
                <w:rFonts w:ascii="Times New Roman" w:hAnsi="Times New Roman" w:cs="Times New Roman"/>
                <w:sz w:val="24"/>
                <w:szCs w:val="24"/>
              </w:rPr>
            </w:pPr>
          </w:p>
          <w:p w14:paraId="036F4AAD" w14:textId="4A37A8B3"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SSS / administrative data</w:t>
            </w:r>
          </w:p>
        </w:tc>
        <w:tc>
          <w:tcPr>
            <w:tcW w:w="114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5F908A9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tc>
      </w:tr>
    </w:tbl>
    <w:p w14:paraId="4BB0A704" w14:textId="77777777" w:rsidR="005F2AC9" w:rsidRPr="00A166D4" w:rsidRDefault="005F2AC9" w:rsidP="00A166D4">
      <w:pPr>
        <w:spacing w:after="0"/>
        <w:jc w:val="both"/>
        <w:rPr>
          <w:rFonts w:ascii="Times New Roman" w:hAnsi="Times New Roman" w:cs="Times New Roman"/>
          <w:i/>
          <w:iCs/>
          <w:color w:val="000000" w:themeColor="text1"/>
          <w:sz w:val="24"/>
          <w:szCs w:val="24"/>
          <w:lang w:val="sq-AL"/>
        </w:rPr>
      </w:pPr>
    </w:p>
    <w:p w14:paraId="6CCD043A" w14:textId="77777777" w:rsidR="008C22B3" w:rsidRPr="00A166D4" w:rsidRDefault="008C22B3" w:rsidP="00A166D4">
      <w:pPr>
        <w:pStyle w:val="font-claude-response-body"/>
        <w:spacing w:line="276" w:lineRule="auto"/>
        <w:jc w:val="both"/>
      </w:pPr>
      <w:r w:rsidRPr="00A166D4">
        <w:t>Persons with disabilities are at the centre of policies and programmes undertaken by the government with the aim of guaranteeing and respecting their rights, supporting, rehabilitating and integrating them into social life. Within the framework of this strategic objective, during 2025 the implementation and monitoring of the reform of the disability assessment system continued, transitioning from the medical assessment model to the bio-psycho-social model, which is based on international standards of WHO, ICF, and the UN Convention on the Rights of PwD, ratified by the Albanian State, which enables disability assessment with an approach respecting human rights.</w:t>
      </w:r>
    </w:p>
    <w:p w14:paraId="1028079B" w14:textId="77777777" w:rsidR="008C22B3" w:rsidRPr="00A166D4" w:rsidRDefault="008C22B3" w:rsidP="00A166D4">
      <w:pPr>
        <w:pStyle w:val="font-claude-response-body"/>
        <w:spacing w:line="276" w:lineRule="auto"/>
        <w:jc w:val="both"/>
      </w:pPr>
      <w:r w:rsidRPr="00A166D4">
        <w:t>The bio-psycho-social disability assessment reform was conceived at the signing of the agreement between Albania and the International Bank for Reconstruction and Development (IBRD) for financing the social assistance reform project, ratified by Law No. 84/2012, dated 18.09.2012, "On the ratification of the agreement between Albania and the International Bank for Reconstruction and Development (IBRD) for financing the social assistance modernisation project", and has continued to be supported within the framework of Law No. 53/2018, dated 23.7.2018, "On the ratification of the loan agreement between the Republic of Albania and the International Bank for Reconstruction and Development, for the additional financing for the 'Social Assistance Modernisation' project".</w:t>
      </w:r>
    </w:p>
    <w:p w14:paraId="6AB87363" w14:textId="77777777" w:rsidR="008C22B3" w:rsidRPr="00A166D4" w:rsidRDefault="008C22B3" w:rsidP="00A166D4">
      <w:pPr>
        <w:pStyle w:val="font-claude-response-body"/>
        <w:spacing w:line="276" w:lineRule="auto"/>
        <w:jc w:val="both"/>
      </w:pPr>
      <w:r w:rsidRPr="00A166D4">
        <w:t>The improvement of the assessment system for persons with disabilities as part of the Social Protection programme has been considered a necessity for several years, because the previous assessment model was entirely based on medical criteria and did not take into consideration the needs of the individual for inclusion in social life. The reformed bio-psycho-social assessment system takes into consideration not only the health condition, but also other psycho-social factors in the assessment of the individual's needs and interacts with other integrating schemes such as employment, rehabilitative social services and education. This assessment system is carried out through the use of the National Electronic Register for Persons with Disabilities.</w:t>
      </w:r>
    </w:p>
    <w:p w14:paraId="412F9201" w14:textId="77777777" w:rsidR="008C22B3" w:rsidRPr="00A166D4" w:rsidRDefault="008C22B3" w:rsidP="00A166D4">
      <w:pPr>
        <w:pStyle w:val="font-claude-response-body"/>
        <w:spacing w:line="276" w:lineRule="auto"/>
        <w:jc w:val="both"/>
      </w:pPr>
      <w:r w:rsidRPr="00A166D4">
        <w:t>During 2025, 97,685 persons were supported by the disability programme, of whom 57,030 PwD, 15,303 blind persons, 5,710 paraplegics and tetraplegics, and 19,642 personal assistants.</w:t>
      </w:r>
    </w:p>
    <w:p w14:paraId="5900FF90" w14:textId="77777777" w:rsidR="008C22B3" w:rsidRPr="00A166D4" w:rsidRDefault="008C22B3" w:rsidP="00A166D4">
      <w:pPr>
        <w:pStyle w:val="font-claude-response-body"/>
        <w:spacing w:line="276" w:lineRule="auto"/>
        <w:jc w:val="both"/>
      </w:pPr>
      <w:r w:rsidRPr="00A166D4">
        <w:t>Disability benefit payments and personal assistant payments were indexed in accordance with the provisions of the legislation in force. Likewise, the benefit amount for covering the expenses of the hygiene-sanitary package for paraplegics and tetraplegics is indexed by 2.4% based on the consumer price index according to INSTAT.</w:t>
      </w:r>
    </w:p>
    <w:p w14:paraId="165910EE" w14:textId="77777777" w:rsidR="008C22B3" w:rsidRPr="00A166D4" w:rsidRDefault="008C22B3" w:rsidP="00A166D4">
      <w:pPr>
        <w:pStyle w:val="font-claude-response-body"/>
        <w:spacing w:line="276" w:lineRule="auto"/>
        <w:jc w:val="both"/>
      </w:pPr>
      <w:r w:rsidRPr="00A166D4">
        <w:t>All persons with disabilities, blind persons, paraplegics and tetraplegics, as well as their personal assistants, received financial support in the amount of 15,000 ALL.</w:t>
      </w:r>
    </w:p>
    <w:p w14:paraId="71EB373A" w14:textId="77777777" w:rsidR="008C22B3" w:rsidRPr="00A166D4" w:rsidRDefault="008C22B3" w:rsidP="00A166D4">
      <w:pPr>
        <w:pStyle w:val="font-claude-response-body"/>
        <w:spacing w:line="276" w:lineRule="auto"/>
        <w:jc w:val="both"/>
      </w:pPr>
      <w:r w:rsidRPr="00A166D4">
        <w:t>To increase the capacities of the staff of the assessment commissions, during April 2025, training sessions were conducted for employees at the regional and local level (social administrators) on the topic "Increasing the capacities of health and psycho-social personnel for disability assessment", including capacity building for referral, follow-up, management and support with services for persons with disabilities.</w:t>
      </w:r>
    </w:p>
    <w:p w14:paraId="67B291D2" w14:textId="77777777" w:rsidR="008C22B3" w:rsidRPr="00A166D4" w:rsidRDefault="008C22B3" w:rsidP="00A166D4">
      <w:pPr>
        <w:pStyle w:val="font-claude-response-body"/>
        <w:spacing w:line="276" w:lineRule="auto"/>
        <w:jc w:val="both"/>
      </w:pPr>
      <w:r w:rsidRPr="00A166D4">
        <w:t>The bio-psycho-social disability assessment criteria for adults and children and the methodology for their review were approved by Instruction No. 20, dated 17.01.2025 of MHSW. The revised criteria include interventions in the chapters on Neurological, Oncological, Gastro-hepatological, Rheumatological, Ophthalmological, Endocrine and Orthopaedic diagnoses.</w:t>
      </w:r>
    </w:p>
    <w:p w14:paraId="489118C1" w14:textId="77777777" w:rsidR="008C22B3" w:rsidRPr="00A166D4" w:rsidRDefault="008C22B3" w:rsidP="00A166D4">
      <w:pPr>
        <w:pStyle w:val="font-claude-response-body"/>
        <w:spacing w:line="276" w:lineRule="auto"/>
        <w:jc w:val="both"/>
      </w:pPr>
      <w:r w:rsidRPr="00A166D4">
        <w:t>The identification of individual needs of persons with disabilities is carried out on a case-by-case basis by the bio-psycho-social assessment commissions, including the needs for support with education, employment, vocational training and psycho-social services. The strengthening of cooperation with psycho-social, integrating and rehabilitative service structures coordinates efforts to guarantee a support network for persons with disabilities. In this framework, the cooperation agreements signed by the SSS with 12 Regional Employment Directorates and with 61 Municipalities of the country are being implemented.</w:t>
      </w:r>
    </w:p>
    <w:p w14:paraId="016F7A6F" w14:textId="77777777" w:rsidR="008C22B3" w:rsidRPr="00A166D4" w:rsidRDefault="008C22B3" w:rsidP="00A166D4">
      <w:pPr>
        <w:pStyle w:val="font-claude-response-body"/>
        <w:spacing w:line="276" w:lineRule="auto"/>
        <w:jc w:val="both"/>
      </w:pPr>
      <w:r w:rsidRPr="00A166D4">
        <w:t>For 2025, 13,768 PwD were referred to social services, of whom 1,792 PwD (13%) received services. In education services, 1,284 PwD were referred, of whom 545 PwD or 42.4% benefited (special education/support teacher). From the 12 Regional Commissions established for the implementation of the referral mechanism for employment and social integration of PwD of working age who are employable, 741 persons with disabilities were included in employment and vocational training programmes.</w:t>
      </w:r>
    </w:p>
    <w:p w14:paraId="2CB8B164" w14:textId="77777777" w:rsidR="008C22B3" w:rsidRPr="00A166D4" w:rsidRDefault="008C22B3" w:rsidP="00A166D4">
      <w:pPr>
        <w:pStyle w:val="font-claude-response-body"/>
        <w:spacing w:line="276" w:lineRule="auto"/>
        <w:jc w:val="both"/>
      </w:pPr>
      <w:r w:rsidRPr="00A166D4">
        <w:t>The consolidation of the referral and support mechanism for persons with disabilities remains a challenge, in order to harmonise cash benefits with the package of support through social care, health, education, employment and vocational training services, as well as to increase the number of beneficiaries supported by these programmes, with the aim of the inclusion and integration of persons with disabilities in social life.</w:t>
      </w:r>
    </w:p>
    <w:p w14:paraId="447A2498" w14:textId="77777777" w:rsidR="008C22B3" w:rsidRPr="00A166D4" w:rsidRDefault="008C22B3" w:rsidP="00A166D4">
      <w:pPr>
        <w:pStyle w:val="font-claude-response-body"/>
        <w:spacing w:line="276" w:lineRule="auto"/>
        <w:jc w:val="both"/>
      </w:pPr>
      <w:r w:rsidRPr="00A166D4">
        <w:t>This objective is linked to the implementation of the bio-psycho-social disability assessment reform, which is based on international standards of WHO, ICF, and the UN Convention on the Rights of PwD, guaranteeing a disability assessment with a human rights-based approach. In the social protection programme, persons with disabilities hold the largest share in terms of the number of beneficiaries and the fund covering this category. For 2025, 55% of the fund of the social care budget programme was planned for the financial support of PwD.</w:t>
      </w:r>
    </w:p>
    <w:p w14:paraId="1CDAA357" w14:textId="77777777" w:rsidR="008C22B3" w:rsidRPr="00A166D4" w:rsidRDefault="008C22B3" w:rsidP="00A166D4">
      <w:pPr>
        <w:pStyle w:val="font-claude-response-body"/>
        <w:spacing w:line="276" w:lineRule="auto"/>
        <w:jc w:val="both"/>
      </w:pPr>
      <w:r w:rsidRPr="00A166D4">
        <w:t>The realisation of the indicator for Specific Objective A.2, for 2025, includes 15,745 PwD who benefited from social, education, employment and vocational training services, of whom 14,550 PwD benefited from social care services, 545 PwD from educational services (support teacher/special education) and 741 PwD from employment and vocational training programmes.</w:t>
      </w:r>
    </w:p>
    <w:p w14:paraId="0AB900BF" w14:textId="77777777" w:rsidR="008C22B3" w:rsidRPr="00A166D4" w:rsidRDefault="008C22B3" w:rsidP="00A166D4">
      <w:pPr>
        <w:pStyle w:val="font-claude-response-body"/>
        <w:spacing w:line="276" w:lineRule="auto"/>
        <w:jc w:val="both"/>
      </w:pPr>
      <w:r w:rsidRPr="00A166D4">
        <w:t>One of the measures (measure A.2.1) is linked to improving the performance and transparency of the disability assessment scheme with the aim of effectively and gender-responsively addressing their individual needs, including in crisis and emergency situations. In fulfilment of the indicators for the realisation of this measure, it results that 13,768 PwD, out of 45,127 beneficiaries reassessed for disability in 2025, were referred for support with social services (31%).</w:t>
      </w:r>
    </w:p>
    <w:p w14:paraId="765E6571" w14:textId="77777777" w:rsidR="008C22B3" w:rsidRPr="00A166D4" w:rsidRDefault="008C22B3" w:rsidP="00A166D4">
      <w:pPr>
        <w:pStyle w:val="font-claude-response-body"/>
        <w:spacing w:line="276" w:lineRule="auto"/>
        <w:jc w:val="both"/>
      </w:pPr>
      <w:r w:rsidRPr="00A166D4">
        <w:t>The number of PwD receiving disability benefit payment is 78,043 persons, of whom approximately 13% are children with disabilities (No. 10,000). Women constitute 45% of disability benefit recipients. The number of individuals receiving a personal assistant is 19,642 persons, of whom 3,252 are personal assistants to children with disabilities. Since January 2025, work disability invalids are no longer beneficiaries of the social care programme, as the fund for the supplementary payment above the disability pension has been transferred from this budget programme to the social insurance programme (DCM 772, dated 13.12.2024).</w:t>
      </w:r>
    </w:p>
    <w:p w14:paraId="1E6699E3" w14:textId="77777777" w:rsidR="008C22B3" w:rsidRPr="00A166D4" w:rsidRDefault="008C22B3" w:rsidP="00A166D4">
      <w:pPr>
        <w:pStyle w:val="font-claude-response-body"/>
        <w:spacing w:line="276" w:lineRule="auto"/>
        <w:jc w:val="both"/>
      </w:pPr>
      <w:r w:rsidRPr="00A166D4">
        <w:t>Another measure (measure A.2.2) concerns the strengthening of cooperation and continued support for the effective implementation of the Social Employment Fund for Persons with Disabilities and other employment programmes. Regarding the number of PwD supported through the Social Employment Fund, its implementation has not yet commenced. In fulfilment of the indicators for the realisation of this measure, it results that 14,550 PwD benefit from social care services, respectively 11,000 PwD supported by services established through the Social Fund and 3,550 PwD from residential, day care and community services. During 2025, from the cases referred for support with social services, there are 1,792 new disability cases that were supported with integrated social services.</w:t>
      </w:r>
    </w:p>
    <w:p w14:paraId="612A5A47" w14:textId="77777777" w:rsidR="008C22B3" w:rsidRPr="009F62DF" w:rsidRDefault="008C22B3" w:rsidP="00A166D4">
      <w:pPr>
        <w:pStyle w:val="font-claude-response-body"/>
        <w:spacing w:line="276" w:lineRule="auto"/>
        <w:jc w:val="both"/>
        <w:rPr>
          <w:b/>
          <w:bCs/>
          <w:i/>
          <w:iCs/>
        </w:rPr>
      </w:pPr>
      <w:r w:rsidRPr="009F62DF">
        <w:rPr>
          <w:b/>
          <w:bCs/>
          <w:i/>
          <w:iCs/>
          <w:u w:val="single"/>
        </w:rPr>
        <w:t>Specific/strategic objective A3</w:t>
      </w:r>
      <w:r w:rsidRPr="009F62DF">
        <w:rPr>
          <w:b/>
          <w:bCs/>
          <w:i/>
          <w:iCs/>
        </w:rPr>
        <w:t>: Improving the targeting of children, girls and boys, through gender-sensitive financial schemes and a child-focused social protection programme.</w:t>
      </w:r>
    </w:p>
    <w:p w14:paraId="5E85A875" w14:textId="77777777" w:rsidR="009F62DF" w:rsidRPr="009F62DF" w:rsidRDefault="008C22B3" w:rsidP="00A166D4">
      <w:pPr>
        <w:pStyle w:val="font-claude-response-body"/>
        <w:spacing w:line="276" w:lineRule="auto"/>
        <w:jc w:val="both"/>
        <w:rPr>
          <w:i/>
          <w:iCs/>
        </w:rPr>
      </w:pPr>
      <w:r w:rsidRPr="009F62DF">
        <w:rPr>
          <w:i/>
          <w:iCs/>
        </w:rPr>
        <w:t>Priority measures:</w:t>
      </w:r>
    </w:p>
    <w:p w14:paraId="389F0A7B" w14:textId="77777777" w:rsidR="009F62DF" w:rsidRDefault="008C22B3" w:rsidP="009F62DF">
      <w:pPr>
        <w:pStyle w:val="font-claude-response-body"/>
        <w:spacing w:after="0" w:afterAutospacing="0" w:line="276" w:lineRule="auto"/>
        <w:jc w:val="both"/>
      </w:pPr>
      <w:r w:rsidRPr="00A166D4">
        <w:t xml:space="preserve"> A.3.1 Improving benefits and cross-sectoral cooperation with a focus on children, girls and boys in the economic assistance scheme with the aim of promoting their well-being, taking into account the specific needs of girls and boys. </w:t>
      </w:r>
    </w:p>
    <w:p w14:paraId="30D63434" w14:textId="489C8B76" w:rsidR="008C22B3" w:rsidRPr="00A166D4" w:rsidRDefault="008C22B3" w:rsidP="00A166D4">
      <w:pPr>
        <w:pStyle w:val="font-claude-response-body"/>
        <w:spacing w:line="276" w:lineRule="auto"/>
        <w:jc w:val="both"/>
      </w:pPr>
      <w:r w:rsidRPr="00A166D4">
        <w:t>A.3.2 Strengthening cross-sectoral cooperation with a focus on children in the EA programme and drafting the Child Guarantee Plan.</w:t>
      </w:r>
    </w:p>
    <w:p w14:paraId="0A7E437D" w14:textId="77777777" w:rsidR="009F62DF" w:rsidRDefault="009F62DF" w:rsidP="009F62DF">
      <w:pPr>
        <w:pStyle w:val="font-claude-response-body"/>
        <w:spacing w:line="276" w:lineRule="auto"/>
        <w:jc w:val="center"/>
        <w:rPr>
          <w:b/>
          <w:bCs/>
        </w:rPr>
      </w:pPr>
    </w:p>
    <w:p w14:paraId="13928F9A" w14:textId="77777777" w:rsidR="009F62DF" w:rsidRDefault="009F62DF" w:rsidP="009F62DF">
      <w:pPr>
        <w:pStyle w:val="font-claude-response-body"/>
        <w:spacing w:line="276" w:lineRule="auto"/>
        <w:jc w:val="center"/>
        <w:rPr>
          <w:b/>
          <w:bCs/>
        </w:rPr>
      </w:pPr>
    </w:p>
    <w:p w14:paraId="0BCF75F1" w14:textId="77777777" w:rsidR="009F62DF" w:rsidRDefault="009F62DF" w:rsidP="009F62DF">
      <w:pPr>
        <w:pStyle w:val="font-claude-response-body"/>
        <w:spacing w:line="276" w:lineRule="auto"/>
        <w:jc w:val="center"/>
        <w:rPr>
          <w:b/>
          <w:bCs/>
        </w:rPr>
      </w:pPr>
    </w:p>
    <w:p w14:paraId="74A66D20" w14:textId="77777777" w:rsidR="009F62DF" w:rsidRDefault="009F62DF" w:rsidP="009F62DF">
      <w:pPr>
        <w:pStyle w:val="font-claude-response-body"/>
        <w:spacing w:line="276" w:lineRule="auto"/>
        <w:jc w:val="center"/>
        <w:rPr>
          <w:b/>
          <w:bCs/>
        </w:rPr>
      </w:pPr>
    </w:p>
    <w:p w14:paraId="7BD13C49" w14:textId="30EC4F2E" w:rsidR="005F2AC9" w:rsidRPr="00A166D4" w:rsidRDefault="008C22B3" w:rsidP="009F62DF">
      <w:pPr>
        <w:pStyle w:val="font-claude-response-body"/>
        <w:spacing w:line="276" w:lineRule="auto"/>
        <w:jc w:val="center"/>
        <w:rPr>
          <w:b/>
          <w:bCs/>
        </w:rPr>
      </w:pPr>
      <w:r w:rsidRPr="00A166D4">
        <w:rPr>
          <w:b/>
          <w:bCs/>
        </w:rPr>
        <w:t>Table: Passport Indicators for Specific Objective A.3.</w:t>
      </w:r>
    </w:p>
    <w:tbl>
      <w:tblPr>
        <w:tblStyle w:val="TableGrid"/>
        <w:tblW w:w="9119" w:type="dxa"/>
        <w:tblInd w:w="135" w:type="dxa"/>
        <w:tblLayout w:type="fixed"/>
        <w:tblLook w:val="04A0" w:firstRow="1" w:lastRow="0" w:firstColumn="1" w:lastColumn="0" w:noHBand="0" w:noVBand="1"/>
      </w:tblPr>
      <w:tblGrid>
        <w:gridCol w:w="1018"/>
        <w:gridCol w:w="1333"/>
        <w:gridCol w:w="1376"/>
        <w:gridCol w:w="670"/>
        <w:gridCol w:w="1143"/>
        <w:gridCol w:w="347"/>
        <w:gridCol w:w="893"/>
        <w:gridCol w:w="457"/>
        <w:gridCol w:w="845"/>
        <w:gridCol w:w="415"/>
        <w:gridCol w:w="622"/>
      </w:tblGrid>
      <w:tr w:rsidR="005F2AC9" w:rsidRPr="00A166D4" w14:paraId="36AD6BEA" w14:textId="77777777" w:rsidTr="009F62DF">
        <w:trPr>
          <w:trHeight w:val="1425"/>
        </w:trPr>
        <w:tc>
          <w:tcPr>
            <w:tcW w:w="1018" w:type="dxa"/>
            <w:tcBorders>
              <w:top w:val="single" w:sz="6" w:space="0" w:color="000000"/>
              <w:left w:val="single" w:sz="6" w:space="0" w:color="000000"/>
              <w:bottom w:val="single" w:sz="6" w:space="0" w:color="000000"/>
              <w:right w:val="single" w:sz="6" w:space="0" w:color="000000"/>
            </w:tcBorders>
            <w:shd w:val="clear" w:color="auto" w:fill="DAE8F8"/>
            <w:vAlign w:val="center"/>
          </w:tcPr>
          <w:p w14:paraId="2502B60E" w14:textId="77777777" w:rsidR="005F2AC9" w:rsidRPr="00A166D4" w:rsidRDefault="005F2AC9" w:rsidP="00A166D4">
            <w:pPr>
              <w:spacing w:before="0" w:after="0"/>
              <w:jc w:val="both"/>
              <w:rPr>
                <w:rFonts w:ascii="Times New Roman" w:eastAsia="Times New Roman" w:hAnsi="Times New Roman" w:cs="Times New Roman"/>
                <w:b/>
                <w:bCs/>
                <w:color w:val="000000" w:themeColor="text1"/>
                <w:sz w:val="24"/>
                <w:szCs w:val="24"/>
              </w:rPr>
            </w:pPr>
          </w:p>
        </w:tc>
        <w:tc>
          <w:tcPr>
            <w:tcW w:w="1333" w:type="dxa"/>
            <w:tcBorders>
              <w:top w:val="single" w:sz="6" w:space="0" w:color="000000"/>
              <w:left w:val="single" w:sz="6" w:space="0" w:color="000000"/>
              <w:bottom w:val="single" w:sz="6" w:space="0" w:color="000000"/>
              <w:right w:val="single" w:sz="6" w:space="0" w:color="000000"/>
            </w:tcBorders>
            <w:shd w:val="clear" w:color="auto" w:fill="DAE8F8"/>
          </w:tcPr>
          <w:p w14:paraId="740F0289" w14:textId="1C20B1B6" w:rsidR="005F2AC9" w:rsidRPr="00A166D4" w:rsidRDefault="008C22B3"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hAnsi="Times New Roman" w:cs="Times New Roman"/>
                <w:sz w:val="24"/>
                <w:szCs w:val="24"/>
              </w:rPr>
              <w:t>Objectives</w:t>
            </w:r>
          </w:p>
        </w:tc>
        <w:tc>
          <w:tcPr>
            <w:tcW w:w="1376" w:type="dxa"/>
            <w:tcBorders>
              <w:top w:val="single" w:sz="6" w:space="0" w:color="000000"/>
              <w:left w:val="single" w:sz="6" w:space="0" w:color="000000"/>
              <w:bottom w:val="single" w:sz="6" w:space="0" w:color="000000"/>
              <w:right w:val="single" w:sz="6" w:space="0" w:color="000000"/>
            </w:tcBorders>
            <w:shd w:val="clear" w:color="auto" w:fill="DAE8F8"/>
          </w:tcPr>
          <w:p w14:paraId="7EE13E99" w14:textId="7283F6F2" w:rsidR="005F2AC9" w:rsidRPr="00A166D4" w:rsidRDefault="008C22B3"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hAnsi="Times New Roman" w:cs="Times New Roman"/>
                <w:sz w:val="24"/>
                <w:szCs w:val="24"/>
              </w:rPr>
              <w:t>Indicator</w:t>
            </w:r>
          </w:p>
        </w:tc>
        <w:tc>
          <w:tcPr>
            <w:tcW w:w="670" w:type="dxa"/>
            <w:tcBorders>
              <w:top w:val="single" w:sz="6" w:space="0" w:color="000000"/>
              <w:left w:val="single" w:sz="6" w:space="0" w:color="000000"/>
              <w:bottom w:val="single" w:sz="6" w:space="0" w:color="000000"/>
              <w:right w:val="single" w:sz="6" w:space="0" w:color="000000"/>
            </w:tcBorders>
            <w:shd w:val="clear" w:color="auto" w:fill="DAE8F8"/>
          </w:tcPr>
          <w:p w14:paraId="222B651A" w14:textId="6BBE6F96"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Baseline value</w:t>
            </w:r>
          </w:p>
        </w:tc>
        <w:tc>
          <w:tcPr>
            <w:tcW w:w="1143" w:type="dxa"/>
            <w:tcBorders>
              <w:top w:val="single" w:sz="6" w:space="0" w:color="000000"/>
              <w:left w:val="single" w:sz="6" w:space="0" w:color="000000"/>
              <w:bottom w:val="single" w:sz="6" w:space="0" w:color="000000"/>
              <w:right w:val="single" w:sz="6" w:space="0" w:color="000000"/>
            </w:tcBorders>
            <w:shd w:val="clear" w:color="auto" w:fill="DAE8F8"/>
          </w:tcPr>
          <w:p w14:paraId="207EA7FE" w14:textId="3E126D25" w:rsidR="005F2AC9" w:rsidRPr="00A166D4" w:rsidRDefault="008C22B3"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hAnsi="Times New Roman" w:cs="Times New Roman"/>
                <w:sz w:val="24"/>
                <w:szCs w:val="24"/>
              </w:rPr>
              <w:t>Year 2025</w:t>
            </w:r>
          </w:p>
        </w:tc>
        <w:tc>
          <w:tcPr>
            <w:tcW w:w="1240" w:type="dxa"/>
            <w:gridSpan w:val="2"/>
            <w:tcBorders>
              <w:top w:val="single" w:sz="6" w:space="0" w:color="000000"/>
              <w:left w:val="single" w:sz="6" w:space="0" w:color="000000"/>
              <w:bottom w:val="single" w:sz="6" w:space="0" w:color="000000"/>
              <w:right w:val="single" w:sz="6" w:space="0" w:color="000000"/>
            </w:tcBorders>
            <w:shd w:val="clear" w:color="auto" w:fill="DAE8F8"/>
          </w:tcPr>
          <w:p w14:paraId="35FF88D3" w14:textId="0AFD947B"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Target 2030</w:t>
            </w:r>
          </w:p>
        </w:tc>
        <w:tc>
          <w:tcPr>
            <w:tcW w:w="1302" w:type="dxa"/>
            <w:gridSpan w:val="2"/>
            <w:tcBorders>
              <w:top w:val="single" w:sz="6" w:space="0" w:color="000000"/>
              <w:left w:val="single" w:sz="6" w:space="0" w:color="000000"/>
              <w:bottom w:val="single" w:sz="6" w:space="0" w:color="000000"/>
              <w:right w:val="single" w:sz="6" w:space="0" w:color="000000"/>
            </w:tcBorders>
            <w:shd w:val="clear" w:color="auto" w:fill="DAE8F8"/>
          </w:tcPr>
          <w:p w14:paraId="2730E06B" w14:textId="187B8314"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Sources and means of verification</w:t>
            </w:r>
          </w:p>
        </w:tc>
        <w:tc>
          <w:tcPr>
            <w:tcW w:w="1037" w:type="dxa"/>
            <w:gridSpan w:val="2"/>
            <w:tcBorders>
              <w:top w:val="single" w:sz="6" w:space="0" w:color="000000"/>
              <w:left w:val="single" w:sz="6" w:space="0" w:color="000000"/>
              <w:bottom w:val="single" w:sz="6" w:space="0" w:color="000000"/>
              <w:right w:val="single" w:sz="6" w:space="0" w:color="000000"/>
            </w:tcBorders>
            <w:shd w:val="clear" w:color="auto" w:fill="DAE8F8"/>
          </w:tcPr>
          <w:p w14:paraId="191E3394" w14:textId="3F83F561"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Reference in other documents</w:t>
            </w:r>
          </w:p>
        </w:tc>
      </w:tr>
      <w:tr w:rsidR="005F2AC9" w:rsidRPr="00A166D4" w14:paraId="64486EDB" w14:textId="77777777" w:rsidTr="009F62DF">
        <w:trPr>
          <w:trHeight w:val="300"/>
        </w:trPr>
        <w:tc>
          <w:tcPr>
            <w:tcW w:w="1018" w:type="dxa"/>
            <w:tcBorders>
              <w:top w:val="single" w:sz="6" w:space="0" w:color="000000"/>
              <w:left w:val="single" w:sz="6" w:space="0" w:color="000000"/>
              <w:bottom w:val="single" w:sz="6" w:space="0" w:color="000000"/>
              <w:right w:val="single" w:sz="6" w:space="0" w:color="000000"/>
            </w:tcBorders>
            <w:shd w:val="clear" w:color="auto" w:fill="FFF2CC"/>
            <w:vAlign w:val="center"/>
          </w:tcPr>
          <w:p w14:paraId="3611BDDC" w14:textId="059117FD" w:rsidR="005F2AC9" w:rsidRPr="00A166D4" w:rsidRDefault="008C22B3" w:rsidP="00A166D4">
            <w:pPr>
              <w:spacing w:before="0" w:after="0"/>
              <w:jc w:val="both"/>
              <w:rPr>
                <w:rFonts w:ascii="Times New Roman" w:eastAsia="Times New Roman" w:hAnsi="Times New Roman" w:cs="Times New Roman"/>
                <w:b/>
                <w:bCs/>
                <w:color w:val="000000" w:themeColor="text1"/>
                <w:sz w:val="24"/>
                <w:szCs w:val="24"/>
                <w:lang w:val="sq-AL"/>
              </w:rPr>
            </w:pPr>
            <w:r w:rsidRPr="00A166D4">
              <w:rPr>
                <w:rFonts w:ascii="Times New Roman" w:hAnsi="Times New Roman" w:cs="Times New Roman"/>
                <w:sz w:val="24"/>
                <w:szCs w:val="24"/>
              </w:rPr>
              <w:t>Specific/strategic objective</w:t>
            </w:r>
          </w:p>
        </w:tc>
        <w:tc>
          <w:tcPr>
            <w:tcW w:w="1333" w:type="dxa"/>
            <w:tcBorders>
              <w:top w:val="single" w:sz="6" w:space="0" w:color="000000"/>
              <w:left w:val="single" w:sz="6" w:space="0" w:color="000000"/>
              <w:bottom w:val="single" w:sz="6" w:space="0" w:color="000000"/>
              <w:right w:val="single" w:sz="6" w:space="0" w:color="000000"/>
            </w:tcBorders>
            <w:shd w:val="clear" w:color="auto" w:fill="FFF2CC"/>
          </w:tcPr>
          <w:p w14:paraId="61AD7032" w14:textId="2C58BE8C" w:rsidR="005F2AC9" w:rsidRPr="00A166D4" w:rsidRDefault="008C22B3" w:rsidP="00A166D4">
            <w:pPr>
              <w:spacing w:before="0" w:after="0"/>
              <w:jc w:val="both"/>
              <w:rPr>
                <w:rFonts w:ascii="Times New Roman" w:hAnsi="Times New Roman" w:cs="Times New Roman"/>
                <w:color w:val="000000" w:themeColor="text1"/>
                <w:sz w:val="24"/>
                <w:szCs w:val="24"/>
                <w:lang w:val="sq-AL"/>
              </w:rPr>
            </w:pPr>
            <w:r w:rsidRPr="00A166D4">
              <w:rPr>
                <w:rFonts w:ascii="Times New Roman" w:hAnsi="Times New Roman" w:cs="Times New Roman"/>
                <w:sz w:val="24"/>
                <w:szCs w:val="24"/>
              </w:rPr>
              <w:t>A3. Improving the targeting of children through a child-focused and gender-sensitive social protection programme.</w:t>
            </w:r>
          </w:p>
        </w:tc>
        <w:tc>
          <w:tcPr>
            <w:tcW w:w="1376" w:type="dxa"/>
            <w:tcBorders>
              <w:top w:val="single" w:sz="6" w:space="0" w:color="000000"/>
              <w:left w:val="single" w:sz="6" w:space="0" w:color="000000"/>
              <w:bottom w:val="single" w:sz="6" w:space="0" w:color="000000"/>
              <w:right w:val="single" w:sz="6" w:space="0" w:color="000000"/>
            </w:tcBorders>
            <w:shd w:val="clear" w:color="auto" w:fill="FFF2CC"/>
          </w:tcPr>
          <w:p w14:paraId="55B60EBF" w14:textId="6CE7F12A"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Percentage of children and young people aged 6–17 who benefit from social protection programme measures and attend education (%, disaggregated by gender).</w:t>
            </w:r>
          </w:p>
        </w:tc>
        <w:tc>
          <w:tcPr>
            <w:tcW w:w="670" w:type="dxa"/>
            <w:tcBorders>
              <w:top w:val="single" w:sz="6" w:space="0" w:color="000000"/>
              <w:left w:val="single" w:sz="6" w:space="0" w:color="000000"/>
              <w:bottom w:val="single" w:sz="6" w:space="0" w:color="000000"/>
              <w:right w:val="single" w:sz="6" w:space="0" w:color="000000"/>
            </w:tcBorders>
            <w:shd w:val="clear" w:color="auto" w:fill="FFF2CC"/>
          </w:tcPr>
          <w:p w14:paraId="4460946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42%</w:t>
            </w:r>
          </w:p>
        </w:tc>
        <w:tc>
          <w:tcPr>
            <w:tcW w:w="1143" w:type="dxa"/>
            <w:tcBorders>
              <w:top w:val="single" w:sz="6" w:space="0" w:color="000000"/>
              <w:left w:val="single" w:sz="6" w:space="0" w:color="000000"/>
              <w:bottom w:val="single" w:sz="6" w:space="0" w:color="000000"/>
              <w:right w:val="single" w:sz="6" w:space="0" w:color="000000"/>
            </w:tcBorders>
            <w:shd w:val="clear" w:color="auto" w:fill="FFF2CC"/>
          </w:tcPr>
          <w:p w14:paraId="4829CCD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42%</w:t>
            </w:r>
          </w:p>
        </w:tc>
        <w:tc>
          <w:tcPr>
            <w:tcW w:w="1240" w:type="dxa"/>
            <w:gridSpan w:val="2"/>
            <w:tcBorders>
              <w:top w:val="single" w:sz="6" w:space="0" w:color="000000"/>
              <w:left w:val="single" w:sz="6" w:space="0" w:color="000000"/>
              <w:bottom w:val="single" w:sz="6" w:space="0" w:color="000000"/>
              <w:right w:val="single" w:sz="6" w:space="0" w:color="000000"/>
            </w:tcBorders>
            <w:shd w:val="clear" w:color="auto" w:fill="FFF2CC"/>
          </w:tcPr>
          <w:p w14:paraId="06A35DD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95%</w:t>
            </w:r>
          </w:p>
        </w:tc>
        <w:tc>
          <w:tcPr>
            <w:tcW w:w="1302" w:type="dxa"/>
            <w:gridSpan w:val="2"/>
            <w:tcBorders>
              <w:top w:val="single" w:sz="6" w:space="0" w:color="000000"/>
              <w:left w:val="single" w:sz="6" w:space="0" w:color="000000"/>
              <w:bottom w:val="single" w:sz="6" w:space="0" w:color="000000"/>
              <w:right w:val="single" w:sz="6" w:space="0" w:color="000000"/>
            </w:tcBorders>
            <w:shd w:val="clear" w:color="auto" w:fill="FFF2CC"/>
          </w:tcPr>
          <w:p w14:paraId="4454F5B9" w14:textId="51FB42F1"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SSS / administrative data</w:t>
            </w:r>
          </w:p>
        </w:tc>
        <w:tc>
          <w:tcPr>
            <w:tcW w:w="1037" w:type="dxa"/>
            <w:gridSpan w:val="2"/>
            <w:tcBorders>
              <w:top w:val="single" w:sz="6" w:space="0" w:color="000000"/>
              <w:left w:val="single" w:sz="6" w:space="0" w:color="000000"/>
              <w:bottom w:val="single" w:sz="6" w:space="0" w:color="000000"/>
              <w:right w:val="single" w:sz="6" w:space="0" w:color="000000"/>
            </w:tcBorders>
            <w:shd w:val="clear" w:color="auto" w:fill="FFF2CC"/>
          </w:tcPr>
          <w:p w14:paraId="1B59EF92" w14:textId="7A25B876"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World Bank programme indicator SDG – 1.2; 8.6</w:t>
            </w:r>
          </w:p>
        </w:tc>
      </w:tr>
      <w:tr w:rsidR="005F2AC9" w:rsidRPr="00A166D4" w14:paraId="2CE44235" w14:textId="77777777" w:rsidTr="009F62DF">
        <w:trPr>
          <w:trHeight w:val="300"/>
        </w:trPr>
        <w:tc>
          <w:tcPr>
            <w:tcW w:w="1018" w:type="dxa"/>
            <w:vMerge w:val="restart"/>
            <w:tcBorders>
              <w:top w:val="single" w:sz="6" w:space="0" w:color="000000"/>
              <w:left w:val="single" w:sz="6" w:space="0" w:color="000000"/>
              <w:bottom w:val="single" w:sz="6" w:space="0" w:color="000000"/>
              <w:right w:val="single" w:sz="6" w:space="0" w:color="000000"/>
            </w:tcBorders>
            <w:shd w:val="clear" w:color="auto" w:fill="F3EAE1" w:themeFill="accent4" w:themeFillTint="33"/>
            <w:vAlign w:val="center"/>
          </w:tcPr>
          <w:p w14:paraId="49D1B7F3" w14:textId="42B42130" w:rsidR="005F2AC9" w:rsidRPr="00A166D4" w:rsidRDefault="008C22B3" w:rsidP="00A166D4">
            <w:pPr>
              <w:spacing w:before="0" w:after="0"/>
              <w:jc w:val="both"/>
              <w:rPr>
                <w:rFonts w:ascii="Times New Roman" w:eastAsia="Times New Roman" w:hAnsi="Times New Roman" w:cs="Times New Roman"/>
                <w:b/>
                <w:bCs/>
                <w:color w:val="000000" w:themeColor="text1"/>
                <w:sz w:val="24"/>
                <w:szCs w:val="24"/>
                <w:lang w:val="sq-AL"/>
              </w:rPr>
            </w:pPr>
            <w:r w:rsidRPr="00A166D4">
              <w:rPr>
                <w:rFonts w:ascii="Times New Roman" w:hAnsi="Times New Roman" w:cs="Times New Roman"/>
                <w:sz w:val="24"/>
                <w:szCs w:val="24"/>
              </w:rPr>
              <w:t>Priority measures</w:t>
            </w:r>
          </w:p>
        </w:tc>
        <w:tc>
          <w:tcPr>
            <w:tcW w:w="1333"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D8AD0CE" w14:textId="3BBC5DC0" w:rsidR="005F2AC9" w:rsidRPr="00A166D4" w:rsidRDefault="008C22B3" w:rsidP="00A166D4">
            <w:pPr>
              <w:spacing w:before="0" w:after="0"/>
              <w:jc w:val="both"/>
              <w:rPr>
                <w:rFonts w:ascii="Times New Roman" w:hAnsi="Times New Roman" w:cs="Times New Roman"/>
                <w:color w:val="000000" w:themeColor="text1"/>
                <w:sz w:val="24"/>
                <w:szCs w:val="24"/>
                <w:lang w:val="sq-AL"/>
              </w:rPr>
            </w:pPr>
            <w:r w:rsidRPr="00A166D4">
              <w:rPr>
                <w:rFonts w:ascii="Times New Roman" w:hAnsi="Times New Roman" w:cs="Times New Roman"/>
                <w:sz w:val="24"/>
                <w:szCs w:val="24"/>
              </w:rPr>
              <w:t>A3.1. Improving benefits and cross-sectoral cooperation with a focus on children in the economic assistance scheme with the aim of promoting their well-being, taking into account the specific needs of girls and boys.</w:t>
            </w:r>
          </w:p>
        </w:tc>
        <w:tc>
          <w:tcPr>
            <w:tcW w:w="137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748AB882" w14:textId="77777777" w:rsidR="008C22B3" w:rsidRPr="00A166D4" w:rsidRDefault="008C22B3" w:rsidP="00A166D4">
            <w:pPr>
              <w:spacing w:before="0" w:after="0"/>
              <w:jc w:val="both"/>
              <w:rPr>
                <w:rFonts w:ascii="Times New Roman" w:hAnsi="Times New Roman" w:cs="Times New Roman"/>
                <w:sz w:val="24"/>
                <w:szCs w:val="24"/>
              </w:rPr>
            </w:pPr>
            <w:r w:rsidRPr="00A166D4">
              <w:rPr>
                <w:rFonts w:ascii="Times New Roman" w:hAnsi="Times New Roman" w:cs="Times New Roman"/>
                <w:sz w:val="24"/>
                <w:szCs w:val="24"/>
              </w:rPr>
              <w:t>Percentage of children benefiting from support programmes for their well-being in the economic assistance scheme</w:t>
            </w:r>
          </w:p>
          <w:p w14:paraId="3D295FA0" w14:textId="439CE1AE" w:rsidR="005F2AC9" w:rsidRPr="00A166D4" w:rsidRDefault="00B56839" w:rsidP="00A166D4">
            <w:pPr>
              <w:spacing w:before="0" w:after="0"/>
              <w:jc w:val="both"/>
              <w:rPr>
                <w:rFonts w:ascii="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 xml:space="preserve"> </w:t>
            </w:r>
          </w:p>
          <w:p w14:paraId="6085F345" w14:textId="2E81C48A"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Number of cross-sectoral personnel trained for cross-sectoral cooperation with a focus on children</w:t>
            </w:r>
            <w:r w:rsidR="00B56839" w:rsidRPr="00A166D4">
              <w:rPr>
                <w:rFonts w:ascii="Times New Roman" w:eastAsia="Times New Roman" w:hAnsi="Times New Roman" w:cs="Times New Roman"/>
                <w:color w:val="000000" w:themeColor="text1"/>
                <w:sz w:val="24"/>
                <w:szCs w:val="24"/>
              </w:rPr>
              <w:t xml:space="preserve"> </w:t>
            </w:r>
          </w:p>
        </w:tc>
        <w:tc>
          <w:tcPr>
            <w:tcW w:w="67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DD299C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42%</w:t>
            </w:r>
          </w:p>
          <w:p w14:paraId="6362167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505F09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FEC6EC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C62CDE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581787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2F883D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2E7AC8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5CD15D9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700C92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4314F0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2B0CCE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N/A</w:t>
            </w:r>
          </w:p>
        </w:tc>
        <w:tc>
          <w:tcPr>
            <w:tcW w:w="1143"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3B1973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42%</w:t>
            </w:r>
          </w:p>
          <w:p w14:paraId="6F02853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EBCD12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CB117C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0EA90E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1C6A73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D08ED9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A8EF41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93738E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68DC26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767481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D829172" w14:textId="4B7A5246"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170 employees (Measure to be implemented in subsequent years)</w:t>
            </w:r>
          </w:p>
        </w:tc>
        <w:tc>
          <w:tcPr>
            <w:tcW w:w="1240" w:type="dxa"/>
            <w:gridSpan w:val="2"/>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5128E8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95%</w:t>
            </w:r>
          </w:p>
          <w:p w14:paraId="53F332F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3F686E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3A2BBC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50A123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E6A854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788BE5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3FA70D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39C69C4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13670D6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37A745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BCF4AB0" w14:textId="1C3F66AF"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340 employees</w:t>
            </w:r>
          </w:p>
        </w:tc>
        <w:tc>
          <w:tcPr>
            <w:tcW w:w="1302" w:type="dxa"/>
            <w:gridSpan w:val="2"/>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7CBCDB92" w14:textId="034E1819"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SSS / administrative data</w:t>
            </w:r>
            <w:r w:rsidR="00B56839" w:rsidRPr="00A166D4">
              <w:rPr>
                <w:rFonts w:ascii="Times New Roman" w:eastAsia="Times New Roman" w:hAnsi="Times New Roman" w:cs="Times New Roman"/>
                <w:color w:val="000000" w:themeColor="text1"/>
                <w:sz w:val="24"/>
                <w:szCs w:val="24"/>
              </w:rPr>
              <w:t xml:space="preserve"> </w:t>
            </w:r>
          </w:p>
          <w:p w14:paraId="7440657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580DEE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BF3C33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196095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D51661B" w14:textId="77777777" w:rsidR="009F62DF" w:rsidRDefault="009F62DF" w:rsidP="00A166D4">
            <w:pPr>
              <w:spacing w:before="0" w:after="0"/>
              <w:jc w:val="both"/>
              <w:rPr>
                <w:rFonts w:ascii="Times New Roman" w:hAnsi="Times New Roman" w:cs="Times New Roman"/>
                <w:sz w:val="24"/>
                <w:szCs w:val="24"/>
              </w:rPr>
            </w:pPr>
          </w:p>
          <w:p w14:paraId="6B3B84EE" w14:textId="77777777" w:rsidR="009F62DF" w:rsidRDefault="009F62DF" w:rsidP="00A166D4">
            <w:pPr>
              <w:spacing w:before="0" w:after="0"/>
              <w:jc w:val="both"/>
              <w:rPr>
                <w:rFonts w:ascii="Times New Roman" w:hAnsi="Times New Roman" w:cs="Times New Roman"/>
                <w:sz w:val="24"/>
                <w:szCs w:val="24"/>
              </w:rPr>
            </w:pPr>
          </w:p>
          <w:p w14:paraId="4F703D45" w14:textId="77777777" w:rsidR="009F62DF" w:rsidRDefault="009F62DF" w:rsidP="00A166D4">
            <w:pPr>
              <w:spacing w:before="0" w:after="0"/>
              <w:jc w:val="both"/>
              <w:rPr>
                <w:rFonts w:ascii="Times New Roman" w:hAnsi="Times New Roman" w:cs="Times New Roman"/>
                <w:sz w:val="24"/>
                <w:szCs w:val="24"/>
              </w:rPr>
            </w:pPr>
          </w:p>
          <w:p w14:paraId="2537F02F" w14:textId="77777777" w:rsidR="009F62DF" w:rsidRDefault="009F62DF" w:rsidP="00A166D4">
            <w:pPr>
              <w:spacing w:before="0" w:after="0"/>
              <w:jc w:val="both"/>
              <w:rPr>
                <w:rFonts w:ascii="Times New Roman" w:hAnsi="Times New Roman" w:cs="Times New Roman"/>
                <w:sz w:val="24"/>
                <w:szCs w:val="24"/>
              </w:rPr>
            </w:pPr>
          </w:p>
          <w:p w14:paraId="23F27846" w14:textId="1FEB696B"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SSS / administrative data</w:t>
            </w:r>
          </w:p>
        </w:tc>
        <w:tc>
          <w:tcPr>
            <w:tcW w:w="1037" w:type="dxa"/>
            <w:gridSpan w:val="2"/>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7FCEB8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tc>
      </w:tr>
      <w:tr w:rsidR="005F2AC9" w:rsidRPr="00A166D4" w14:paraId="4EC8661C" w14:textId="77777777" w:rsidTr="009F62DF">
        <w:trPr>
          <w:trHeight w:val="300"/>
        </w:trPr>
        <w:tc>
          <w:tcPr>
            <w:tcW w:w="1018" w:type="dxa"/>
            <w:vMerge/>
            <w:tcBorders>
              <w:top w:val="single" w:sz="6" w:space="0" w:color="000000"/>
              <w:left w:val="single" w:sz="6" w:space="0" w:color="000000"/>
              <w:bottom w:val="single" w:sz="6" w:space="0" w:color="000000"/>
              <w:right w:val="single" w:sz="6" w:space="0" w:color="000000"/>
            </w:tcBorders>
            <w:shd w:val="clear" w:color="auto" w:fill="FFF2CC"/>
            <w:vAlign w:val="center"/>
          </w:tcPr>
          <w:p w14:paraId="4BCCAC84" w14:textId="77777777" w:rsidR="005F2AC9" w:rsidRPr="00A166D4" w:rsidRDefault="005F2AC9" w:rsidP="00A166D4">
            <w:pPr>
              <w:spacing w:before="0" w:after="0"/>
              <w:jc w:val="both"/>
              <w:rPr>
                <w:rFonts w:ascii="Times New Roman" w:hAnsi="Times New Roman" w:cs="Times New Roman"/>
                <w:color w:val="000000" w:themeColor="text1"/>
                <w:sz w:val="24"/>
                <w:szCs w:val="24"/>
              </w:rPr>
            </w:pPr>
          </w:p>
        </w:tc>
        <w:tc>
          <w:tcPr>
            <w:tcW w:w="1333"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060325D0" w14:textId="271FE32E"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A3.2. Strengthening cross-sectoral cooperation with a focus on children in the EA programme and drafting the Child Guarantee Plan.</w:t>
            </w:r>
          </w:p>
        </w:tc>
        <w:tc>
          <w:tcPr>
            <w:tcW w:w="1376"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4291290" w14:textId="34AC4319"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Number of meetings with regional and local structures of various fields to promote cross-sectoral cooperation with the education and health system, as well as the planning of the Child Guarantee</w:t>
            </w:r>
            <w:r w:rsidR="00B56839" w:rsidRPr="00A166D4">
              <w:rPr>
                <w:rFonts w:ascii="Times New Roman" w:eastAsia="Times New Roman" w:hAnsi="Times New Roman" w:cs="Times New Roman"/>
                <w:color w:val="000000" w:themeColor="text1"/>
                <w:sz w:val="24"/>
                <w:szCs w:val="24"/>
                <w:lang w:val="it-IT"/>
              </w:rPr>
              <w:t xml:space="preserve"> </w:t>
            </w:r>
          </w:p>
          <w:p w14:paraId="7A793198" w14:textId="74AD4258"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Child Guarantee Action Plan drafted and approved, in accordance with EU guidelines.</w:t>
            </w:r>
          </w:p>
        </w:tc>
        <w:tc>
          <w:tcPr>
            <w:tcW w:w="670"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16708AD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N/A</w:t>
            </w:r>
          </w:p>
          <w:p w14:paraId="768AD58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72EBF8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776D1C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45B4F9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E08E41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624165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7179A6F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30888F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97B16D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227146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1046DAB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094228E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4A28E2A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1D8B7F8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0BA9132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704F705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296936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5A1946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2C655C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7DD4CB5D" w14:textId="0C73F9A4"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N/A</w:t>
            </w:r>
          </w:p>
        </w:tc>
        <w:tc>
          <w:tcPr>
            <w:tcW w:w="1490" w:type="dxa"/>
            <w:gridSpan w:val="2"/>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686A36D7" w14:textId="77777777" w:rsidR="005F2AC9" w:rsidRPr="009F62DF" w:rsidRDefault="008C22B3" w:rsidP="00A166D4">
            <w:pPr>
              <w:spacing w:before="0" w:after="0"/>
              <w:jc w:val="both"/>
              <w:rPr>
                <w:rFonts w:ascii="Times New Roman" w:hAnsi="Times New Roman" w:cs="Times New Roman"/>
                <w:sz w:val="24"/>
                <w:szCs w:val="24"/>
              </w:rPr>
            </w:pPr>
            <w:r w:rsidRPr="009F62DF">
              <w:rPr>
                <w:rFonts w:ascii="Times New Roman" w:hAnsi="Times New Roman" w:cs="Times New Roman"/>
                <w:sz w:val="24"/>
                <w:szCs w:val="24"/>
              </w:rPr>
              <w:t>10 consultative roundtables (Measure to be implemented in subsequent years)</w:t>
            </w:r>
          </w:p>
          <w:p w14:paraId="5D8EC399" w14:textId="77777777" w:rsidR="00491591" w:rsidRPr="009F62DF" w:rsidRDefault="00491591" w:rsidP="00A166D4">
            <w:pPr>
              <w:spacing w:before="0" w:after="0"/>
              <w:jc w:val="both"/>
              <w:rPr>
                <w:rFonts w:ascii="Times New Roman" w:hAnsi="Times New Roman" w:cs="Times New Roman"/>
                <w:sz w:val="24"/>
                <w:szCs w:val="24"/>
              </w:rPr>
            </w:pPr>
          </w:p>
          <w:p w14:paraId="203B5552" w14:textId="77777777" w:rsidR="00491591" w:rsidRPr="009F62DF" w:rsidRDefault="00491591" w:rsidP="00A166D4">
            <w:pPr>
              <w:spacing w:before="0" w:after="0"/>
              <w:jc w:val="both"/>
              <w:rPr>
                <w:rFonts w:ascii="Times New Roman" w:hAnsi="Times New Roman" w:cs="Times New Roman"/>
                <w:sz w:val="24"/>
                <w:szCs w:val="24"/>
              </w:rPr>
            </w:pPr>
          </w:p>
          <w:p w14:paraId="323D4F49" w14:textId="77777777" w:rsidR="00491591" w:rsidRPr="009F62DF" w:rsidRDefault="00491591" w:rsidP="00A166D4">
            <w:pPr>
              <w:spacing w:before="0" w:after="0"/>
              <w:jc w:val="both"/>
              <w:rPr>
                <w:rFonts w:ascii="Times New Roman" w:hAnsi="Times New Roman" w:cs="Times New Roman"/>
                <w:sz w:val="24"/>
                <w:szCs w:val="24"/>
              </w:rPr>
            </w:pPr>
          </w:p>
          <w:p w14:paraId="220B7A44" w14:textId="77777777" w:rsidR="00491591" w:rsidRPr="009F62DF" w:rsidRDefault="00491591" w:rsidP="00A166D4">
            <w:pPr>
              <w:spacing w:before="0" w:after="0"/>
              <w:jc w:val="both"/>
              <w:rPr>
                <w:rFonts w:ascii="Times New Roman" w:hAnsi="Times New Roman" w:cs="Times New Roman"/>
                <w:sz w:val="24"/>
                <w:szCs w:val="24"/>
              </w:rPr>
            </w:pPr>
          </w:p>
          <w:p w14:paraId="42246BA5" w14:textId="77777777" w:rsidR="009F62DF" w:rsidRPr="009F62DF" w:rsidRDefault="009F62DF" w:rsidP="00A166D4">
            <w:pPr>
              <w:spacing w:before="0" w:after="0"/>
              <w:jc w:val="both"/>
              <w:rPr>
                <w:rFonts w:ascii="Times New Roman" w:hAnsi="Times New Roman" w:cs="Times New Roman"/>
                <w:sz w:val="24"/>
                <w:szCs w:val="24"/>
              </w:rPr>
            </w:pPr>
          </w:p>
          <w:p w14:paraId="2F2977A3" w14:textId="77777777" w:rsidR="009F62DF" w:rsidRPr="009F62DF" w:rsidRDefault="009F62DF" w:rsidP="00A166D4">
            <w:pPr>
              <w:spacing w:before="0" w:after="0"/>
              <w:jc w:val="both"/>
              <w:rPr>
                <w:rFonts w:ascii="Times New Roman" w:hAnsi="Times New Roman" w:cs="Times New Roman"/>
                <w:sz w:val="24"/>
                <w:szCs w:val="24"/>
              </w:rPr>
            </w:pPr>
          </w:p>
          <w:p w14:paraId="699C3226" w14:textId="77777777" w:rsidR="009F62DF" w:rsidRPr="009F62DF" w:rsidRDefault="009F62DF" w:rsidP="00A166D4">
            <w:pPr>
              <w:spacing w:before="0" w:after="0"/>
              <w:jc w:val="both"/>
              <w:rPr>
                <w:rFonts w:ascii="Times New Roman" w:hAnsi="Times New Roman" w:cs="Times New Roman"/>
                <w:sz w:val="24"/>
                <w:szCs w:val="24"/>
              </w:rPr>
            </w:pPr>
          </w:p>
          <w:p w14:paraId="400DBEB4" w14:textId="77777777" w:rsidR="009F62DF" w:rsidRPr="009F62DF" w:rsidRDefault="009F62DF" w:rsidP="00A166D4">
            <w:pPr>
              <w:spacing w:before="0" w:after="0"/>
              <w:jc w:val="both"/>
              <w:rPr>
                <w:rFonts w:ascii="Times New Roman" w:hAnsi="Times New Roman" w:cs="Times New Roman"/>
                <w:sz w:val="24"/>
                <w:szCs w:val="24"/>
              </w:rPr>
            </w:pPr>
          </w:p>
          <w:p w14:paraId="1317E7CF" w14:textId="77777777" w:rsidR="009F62DF" w:rsidRPr="009F62DF" w:rsidRDefault="009F62DF" w:rsidP="00A166D4">
            <w:pPr>
              <w:spacing w:before="0" w:after="0"/>
              <w:jc w:val="both"/>
              <w:rPr>
                <w:rFonts w:ascii="Times New Roman" w:hAnsi="Times New Roman" w:cs="Times New Roman"/>
                <w:sz w:val="24"/>
                <w:szCs w:val="24"/>
              </w:rPr>
            </w:pPr>
          </w:p>
          <w:p w14:paraId="73EA128B" w14:textId="77777777" w:rsidR="009F62DF" w:rsidRPr="009F62DF" w:rsidRDefault="009F62DF" w:rsidP="00A166D4">
            <w:pPr>
              <w:spacing w:before="0" w:after="0"/>
              <w:jc w:val="both"/>
              <w:rPr>
                <w:rFonts w:ascii="Times New Roman" w:hAnsi="Times New Roman" w:cs="Times New Roman"/>
                <w:sz w:val="24"/>
                <w:szCs w:val="24"/>
              </w:rPr>
            </w:pPr>
          </w:p>
          <w:p w14:paraId="3935CAA5" w14:textId="77777777" w:rsidR="009F62DF" w:rsidRPr="009F62DF" w:rsidRDefault="009F62DF" w:rsidP="00A166D4">
            <w:pPr>
              <w:spacing w:before="0" w:after="0"/>
              <w:jc w:val="both"/>
              <w:rPr>
                <w:rFonts w:ascii="Times New Roman" w:hAnsi="Times New Roman" w:cs="Times New Roman"/>
                <w:sz w:val="24"/>
                <w:szCs w:val="24"/>
              </w:rPr>
            </w:pPr>
          </w:p>
          <w:p w14:paraId="003FAD95" w14:textId="5FABE37F" w:rsidR="00491591" w:rsidRPr="009F62DF" w:rsidRDefault="00491591" w:rsidP="00A166D4">
            <w:pPr>
              <w:spacing w:before="0" w:after="0"/>
              <w:jc w:val="both"/>
              <w:rPr>
                <w:rFonts w:ascii="Times New Roman" w:eastAsia="Times New Roman" w:hAnsi="Times New Roman" w:cs="Times New Roman"/>
                <w:color w:val="000000" w:themeColor="text1"/>
                <w:sz w:val="24"/>
                <w:szCs w:val="24"/>
                <w:lang w:val="it-IT"/>
              </w:rPr>
            </w:pPr>
            <w:r w:rsidRPr="009F62DF">
              <w:rPr>
                <w:rFonts w:ascii="Times New Roman" w:hAnsi="Times New Roman" w:cs="Times New Roman"/>
                <w:sz w:val="24"/>
                <w:szCs w:val="24"/>
              </w:rPr>
              <w:t>National Action Plan for the Child Guarantee 2026–2030 (drafted, pending approval by the Council of Ministers)</w:t>
            </w:r>
          </w:p>
        </w:tc>
        <w:tc>
          <w:tcPr>
            <w:tcW w:w="1350" w:type="dxa"/>
            <w:gridSpan w:val="2"/>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71FB67D7" w14:textId="2A047613"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5 consultative roundtables</w:t>
            </w:r>
            <w:r w:rsidR="00B56839" w:rsidRPr="00A166D4">
              <w:rPr>
                <w:rFonts w:ascii="Times New Roman" w:eastAsia="Times New Roman" w:hAnsi="Times New Roman" w:cs="Times New Roman"/>
                <w:color w:val="000000" w:themeColor="text1"/>
                <w:sz w:val="24"/>
                <w:szCs w:val="24"/>
                <w:lang w:val="it-IT"/>
              </w:rPr>
              <w:t xml:space="preserve"> </w:t>
            </w:r>
          </w:p>
          <w:p w14:paraId="54CBA07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22D7A45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5C940E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4CCA65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A15C36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FF5121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7C2E80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B4B08F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8A3B1B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AE585F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3251D97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091121B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7147681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B71D2F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38B70AA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1204FA1"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0B829E77" w14:textId="20884D25" w:rsidR="005F2AC9" w:rsidRPr="00A166D4" w:rsidRDefault="00491591"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Establishment of the institutional implementation structure. Commencement of implementation</w:t>
            </w:r>
          </w:p>
        </w:tc>
        <w:tc>
          <w:tcPr>
            <w:tcW w:w="1260" w:type="dxa"/>
            <w:gridSpan w:val="2"/>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576CC9E2" w14:textId="066E96AB" w:rsidR="005F2AC9" w:rsidRPr="00A166D4" w:rsidRDefault="008C22B3"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SSS / administrative data</w:t>
            </w:r>
            <w:r w:rsidR="00B56839" w:rsidRPr="00A166D4">
              <w:rPr>
                <w:rFonts w:ascii="Times New Roman" w:eastAsia="Times New Roman" w:hAnsi="Times New Roman" w:cs="Times New Roman"/>
                <w:color w:val="000000" w:themeColor="text1"/>
                <w:sz w:val="24"/>
                <w:szCs w:val="24"/>
              </w:rPr>
              <w:t xml:space="preserve"> </w:t>
            </w:r>
          </w:p>
          <w:p w14:paraId="0389BE1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64D594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B7BC296" w14:textId="35D730EA" w:rsidR="008C22B3" w:rsidRPr="009F62DF"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r w:rsidR="008C22B3" w:rsidRPr="00A166D4">
              <w:rPr>
                <w:rFonts w:ascii="Times New Roman" w:hAnsi="Times New Roman" w:cs="Times New Roman"/>
                <w:sz w:val="24"/>
                <w:szCs w:val="24"/>
              </w:rPr>
              <w:t>SSS / administrative data</w:t>
            </w:r>
          </w:p>
          <w:p w14:paraId="00D92511" w14:textId="5FF8810D" w:rsidR="005F2AC9"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D7F3F74" w14:textId="77777777" w:rsidR="009F62DF" w:rsidRPr="00A166D4" w:rsidRDefault="009F62DF" w:rsidP="00A166D4">
            <w:pPr>
              <w:spacing w:before="0" w:after="0"/>
              <w:jc w:val="both"/>
              <w:rPr>
                <w:rFonts w:ascii="Times New Roman" w:hAnsi="Times New Roman" w:cs="Times New Roman"/>
                <w:color w:val="000000" w:themeColor="text1"/>
                <w:sz w:val="24"/>
                <w:szCs w:val="24"/>
              </w:rPr>
            </w:pPr>
          </w:p>
          <w:p w14:paraId="477CF7FD" w14:textId="3048A978" w:rsidR="005F2AC9" w:rsidRPr="00A166D4" w:rsidRDefault="00491591"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MHSW / administrative data</w:t>
            </w:r>
            <w:r w:rsidR="00B56839" w:rsidRPr="00A166D4">
              <w:rPr>
                <w:rFonts w:ascii="Times New Roman" w:eastAsia="Times New Roman" w:hAnsi="Times New Roman" w:cs="Times New Roman"/>
                <w:color w:val="000000" w:themeColor="text1"/>
                <w:sz w:val="24"/>
                <w:szCs w:val="24"/>
              </w:rPr>
              <w:t xml:space="preserve"> </w:t>
            </w:r>
          </w:p>
          <w:p w14:paraId="204289B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BF6847D" w14:textId="77777777" w:rsidR="009F62DF" w:rsidRDefault="009F62DF" w:rsidP="00A166D4">
            <w:pPr>
              <w:spacing w:before="0" w:after="0"/>
              <w:jc w:val="both"/>
              <w:rPr>
                <w:rFonts w:ascii="Times New Roman" w:hAnsi="Times New Roman" w:cs="Times New Roman"/>
                <w:sz w:val="24"/>
                <w:szCs w:val="24"/>
              </w:rPr>
            </w:pPr>
          </w:p>
          <w:p w14:paraId="6827918B" w14:textId="77777777" w:rsidR="009F62DF" w:rsidRDefault="009F62DF" w:rsidP="00A166D4">
            <w:pPr>
              <w:spacing w:before="0" w:after="0"/>
              <w:jc w:val="both"/>
              <w:rPr>
                <w:rFonts w:ascii="Times New Roman" w:hAnsi="Times New Roman" w:cs="Times New Roman"/>
                <w:sz w:val="24"/>
                <w:szCs w:val="24"/>
              </w:rPr>
            </w:pPr>
          </w:p>
          <w:p w14:paraId="25612039" w14:textId="77777777" w:rsidR="009F62DF" w:rsidRDefault="009F62DF" w:rsidP="00A166D4">
            <w:pPr>
              <w:spacing w:before="0" w:after="0"/>
              <w:jc w:val="both"/>
              <w:rPr>
                <w:rFonts w:ascii="Times New Roman" w:hAnsi="Times New Roman" w:cs="Times New Roman"/>
                <w:sz w:val="24"/>
                <w:szCs w:val="24"/>
              </w:rPr>
            </w:pPr>
          </w:p>
          <w:p w14:paraId="08D5AC3F" w14:textId="77777777" w:rsidR="009F62DF" w:rsidRDefault="009F62DF" w:rsidP="00A166D4">
            <w:pPr>
              <w:spacing w:before="0" w:after="0"/>
              <w:jc w:val="both"/>
              <w:rPr>
                <w:rFonts w:ascii="Times New Roman" w:hAnsi="Times New Roman" w:cs="Times New Roman"/>
                <w:sz w:val="24"/>
                <w:szCs w:val="24"/>
              </w:rPr>
            </w:pPr>
          </w:p>
          <w:p w14:paraId="40F2CDCD" w14:textId="77777777" w:rsidR="009F62DF" w:rsidRDefault="009F62DF" w:rsidP="00A166D4">
            <w:pPr>
              <w:spacing w:before="0" w:after="0"/>
              <w:jc w:val="both"/>
              <w:rPr>
                <w:rFonts w:ascii="Times New Roman" w:hAnsi="Times New Roman" w:cs="Times New Roman"/>
                <w:sz w:val="24"/>
                <w:szCs w:val="24"/>
              </w:rPr>
            </w:pPr>
          </w:p>
          <w:p w14:paraId="22A0A43D" w14:textId="77777777" w:rsidR="009F62DF" w:rsidRDefault="009F62DF" w:rsidP="00A166D4">
            <w:pPr>
              <w:spacing w:before="0" w:after="0"/>
              <w:jc w:val="both"/>
              <w:rPr>
                <w:rFonts w:ascii="Times New Roman" w:hAnsi="Times New Roman" w:cs="Times New Roman"/>
                <w:sz w:val="24"/>
                <w:szCs w:val="24"/>
              </w:rPr>
            </w:pPr>
          </w:p>
          <w:p w14:paraId="33AA7A70" w14:textId="3DCDFE46" w:rsidR="005F2AC9" w:rsidRPr="00A166D4" w:rsidRDefault="00491591"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MHSW in coordination with line institutions</w:t>
            </w:r>
          </w:p>
        </w:tc>
        <w:tc>
          <w:tcPr>
            <w:tcW w:w="622" w:type="dxa"/>
            <w:tcBorders>
              <w:top w:val="single" w:sz="6" w:space="0" w:color="000000"/>
              <w:left w:val="single" w:sz="6" w:space="0" w:color="000000"/>
              <w:bottom w:val="single" w:sz="6" w:space="0" w:color="000000"/>
              <w:right w:val="single" w:sz="6" w:space="0" w:color="000000"/>
            </w:tcBorders>
            <w:shd w:val="clear" w:color="auto" w:fill="F3EAE1" w:themeFill="accent4" w:themeFillTint="33"/>
          </w:tcPr>
          <w:p w14:paraId="2E27FAA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tc>
      </w:tr>
    </w:tbl>
    <w:p w14:paraId="790220E7" w14:textId="77777777" w:rsidR="005F2AC9" w:rsidRPr="00A166D4" w:rsidRDefault="005F2AC9" w:rsidP="00A166D4">
      <w:pPr>
        <w:spacing w:after="0"/>
        <w:jc w:val="both"/>
        <w:rPr>
          <w:rFonts w:ascii="Times New Roman" w:hAnsi="Times New Roman" w:cs="Times New Roman"/>
          <w:color w:val="000000" w:themeColor="text1"/>
          <w:sz w:val="24"/>
          <w:szCs w:val="24"/>
        </w:rPr>
      </w:pPr>
    </w:p>
    <w:p w14:paraId="3BC0972B"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economic assistance scheme supports poor families and especially large families. Families with more than four members constitute approximately 67% of the economic assistance scheme. For large families, respectively families with three or more children, the amount of the economic assistance benefit has been doubled.</w:t>
      </w:r>
    </w:p>
    <w:p w14:paraId="66742316"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 addition to the doubled payment, these families also receive other benefits such as:</w:t>
      </w:r>
    </w:p>
    <w:p w14:paraId="1072F45D" w14:textId="77777777" w:rsidR="00491591" w:rsidRPr="00A166D4" w:rsidRDefault="00491591" w:rsidP="00320C75">
      <w:pPr>
        <w:numPr>
          <w:ilvl w:val="0"/>
          <w:numId w:val="1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Monthly subsidy of the electricity bill in the amount of 1,288 ALL per family.</w:t>
      </w:r>
    </w:p>
    <w:p w14:paraId="25154072" w14:textId="77777777" w:rsidR="00491591" w:rsidRPr="00A166D4" w:rsidRDefault="00491591" w:rsidP="00320C75">
      <w:pPr>
        <w:numPr>
          <w:ilvl w:val="0"/>
          <w:numId w:val="1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Subsidy for every child attending compulsory education and for the completion of every vaccination in the amount of 400 ALL per month.</w:t>
      </w:r>
    </w:p>
    <w:p w14:paraId="3B5612C8" w14:textId="77777777" w:rsidR="00491591" w:rsidRPr="00A166D4" w:rsidRDefault="00491591" w:rsidP="00320C75">
      <w:pPr>
        <w:numPr>
          <w:ilvl w:val="0"/>
          <w:numId w:val="1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Free health services in both primary and secondary care, medication reimbursement.</w:t>
      </w:r>
    </w:p>
    <w:p w14:paraId="701B536D" w14:textId="77777777" w:rsidR="00491591" w:rsidRPr="00A166D4" w:rsidRDefault="00491591" w:rsidP="00320C75">
      <w:pPr>
        <w:numPr>
          <w:ilvl w:val="0"/>
          <w:numId w:val="1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Exemption from fees for children attending nurseries/kindergartens.</w:t>
      </w:r>
    </w:p>
    <w:p w14:paraId="635C7575" w14:textId="77777777" w:rsidR="00491591" w:rsidRPr="00A166D4" w:rsidRDefault="00491591" w:rsidP="00320C75">
      <w:pPr>
        <w:numPr>
          <w:ilvl w:val="0"/>
          <w:numId w:val="1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Exemption from the university tuition fee for professional programmes and the first cycle of studies. In the second cycle, they benefit from 50% of the fee.</w:t>
      </w:r>
    </w:p>
    <w:p w14:paraId="6D12E2E4" w14:textId="77777777" w:rsidR="00491591" w:rsidRPr="00A166D4" w:rsidRDefault="00491591" w:rsidP="00320C75">
      <w:pPr>
        <w:numPr>
          <w:ilvl w:val="0"/>
          <w:numId w:val="1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Scholarship from the student support fund, in professional study programmes, first cycle study programmes, and integrated study programmes. Students who continue studies in a second study programme are not eligible for financial scholarships.</w:t>
      </w:r>
    </w:p>
    <w:p w14:paraId="0897396C" w14:textId="77777777" w:rsidR="00491591" w:rsidRPr="00A166D4" w:rsidRDefault="00491591" w:rsidP="00320C75">
      <w:pPr>
        <w:numPr>
          <w:ilvl w:val="0"/>
          <w:numId w:val="1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Free textbooks for compulsory education for pupils attending basic education from the first grade to the third grade in public educational institutions, in pre-trial detention institutions, institutions for serving sentences, and social care institutions. Pupils attending basic education in these institutions from the fourth grade to the ninth grade are given textbooks for free use.</w:t>
      </w:r>
    </w:p>
    <w:p w14:paraId="2C8289A0" w14:textId="77777777" w:rsidR="00491591" w:rsidRPr="00A166D4" w:rsidRDefault="00491591" w:rsidP="00320C75">
      <w:pPr>
        <w:numPr>
          <w:ilvl w:val="0"/>
          <w:numId w:val="1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Benefits from social housing programmes.</w:t>
      </w:r>
    </w:p>
    <w:p w14:paraId="26E68B1B"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0168A">
        <w:rPr>
          <w:rFonts w:ascii="Times New Roman" w:eastAsia="Times New Roman" w:hAnsi="Times New Roman" w:cs="Times New Roman"/>
          <w:b/>
          <w:bCs/>
          <w:sz w:val="24"/>
          <w:szCs w:val="24"/>
        </w:rPr>
        <w:t>The programme for special state support for unemployed women with many children</w:t>
      </w:r>
      <w:r w:rsidRPr="00A166D4">
        <w:rPr>
          <w:rFonts w:ascii="Times New Roman" w:eastAsia="Times New Roman" w:hAnsi="Times New Roman" w:cs="Times New Roman"/>
          <w:sz w:val="24"/>
          <w:szCs w:val="24"/>
        </w:rPr>
        <w:t xml:space="preserve"> for unemployed mothers with 3 or more children, where the youngest child is under 5 years of age, numbers </w:t>
      </w:r>
      <w:r w:rsidRPr="00A0168A">
        <w:rPr>
          <w:rFonts w:ascii="Times New Roman" w:eastAsia="Times New Roman" w:hAnsi="Times New Roman" w:cs="Times New Roman"/>
          <w:b/>
          <w:bCs/>
          <w:sz w:val="24"/>
          <w:szCs w:val="24"/>
        </w:rPr>
        <w:t>9,200</w:t>
      </w:r>
      <w:r w:rsidRPr="00A166D4">
        <w:rPr>
          <w:rFonts w:ascii="Times New Roman" w:eastAsia="Times New Roman" w:hAnsi="Times New Roman" w:cs="Times New Roman"/>
          <w:sz w:val="24"/>
          <w:szCs w:val="24"/>
        </w:rPr>
        <w:t xml:space="preserve"> mothers, who benefit from pension age recognition, as their social and health insurance contributions are paid from the state budget. Of these, approximately 4,000 are women benefiting from the economic assistance scheme.</w:t>
      </w:r>
    </w:p>
    <w:p w14:paraId="75734553" w14:textId="77777777" w:rsidR="00491591" w:rsidRPr="00A0168A" w:rsidRDefault="00491591" w:rsidP="00A166D4">
      <w:pPr>
        <w:suppressAutoHyphens w:val="0"/>
        <w:spacing w:beforeAutospacing="1" w:after="100" w:afterAutospacing="1"/>
        <w:jc w:val="both"/>
        <w:rPr>
          <w:rFonts w:ascii="Times New Roman" w:eastAsia="Times New Roman" w:hAnsi="Times New Roman" w:cs="Times New Roman"/>
          <w:b/>
          <w:bCs/>
          <w:sz w:val="24"/>
          <w:szCs w:val="24"/>
        </w:rPr>
      </w:pPr>
      <w:r w:rsidRPr="00A0168A">
        <w:rPr>
          <w:rFonts w:ascii="Times New Roman" w:eastAsia="Times New Roman" w:hAnsi="Times New Roman" w:cs="Times New Roman"/>
          <w:b/>
          <w:bCs/>
          <w:sz w:val="24"/>
          <w:szCs w:val="24"/>
        </w:rPr>
        <w:t>National Action Plan for the European Child Guarantee 2026–2030</w:t>
      </w:r>
    </w:p>
    <w:p w14:paraId="62377C08"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inter-institutional working group for the drafting of the Child Guarantee Action Plan was established by means of Order No. 577, dated 08.11.2024. In implementation of this order, during 2025 the National Action Plan for the European Child Guarantee 2026–2030 was drafted.</w:t>
      </w:r>
    </w:p>
    <w:p w14:paraId="059E3AEB"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This action plan defines the priority measures for the implementation of the Council of the European Union Recommendation of 14 June 2021 establishing the European Child Guarantee (Council Recommendation (EU) 2021/1004 of 14 June 2021 establishing a European Child Guarantee OJ L 223, 22.6.2021, pp. 14–23), reflecting Albania's commitment to guaranteeing social protection and the equal inclusion of every child. The main objective of this plan is the prevention of social exclusion and ensuring effective and inclusive access to fundamental services for children in need. According to the definition used by the European Union, the category "children in need" refers to minors under 18 years of age at risk of poverty or social exclusion, who must benefit from free and effective access to early childhood education and care, compulsory and secondary education (including extracurricular activities), the guarantee of at least one healthy meal every school day, healthcare; as well as effective access to healthy nutrition and adequate housing. In accordance with the objectives and standards of the European Child Guarantee, the plan interweaves integrated cross-sectoral policies and measures in education, health, social protection and housing, at national, local and community level, aiming for a comprehensive and coordinated approach.</w:t>
      </w:r>
    </w:p>
    <w:p w14:paraId="1A8A9712" w14:textId="5CDDFE51" w:rsidR="00491591"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action plan has six areas of action and several objectives to be achieved through it, such as child protection and well-being; early childhood education and care (ECEC); education; health; nutrition; and housing.</w:t>
      </w:r>
    </w:p>
    <w:p w14:paraId="18260532" w14:textId="70925292" w:rsidR="00A0168A" w:rsidRPr="00A0168A" w:rsidRDefault="00A0168A" w:rsidP="00A0168A">
      <w:pPr>
        <w:pStyle w:val="Heading1"/>
        <w:rPr>
          <w:color w:val="000000" w:themeColor="text1"/>
          <w:lang w:val="en-US"/>
        </w:rPr>
      </w:pPr>
      <w:r w:rsidRPr="00A0168A">
        <w:rPr>
          <w:color w:val="000000" w:themeColor="text1"/>
        </w:rPr>
        <w:t>POLICY OBJECTIVE B: EXPANSION OF INTEGRATED, ACCESSIBLE, QUALITY AND GENDER-RESPONSIVE SOCIAL SERVICES AND ADVANCEMENT OF THE DEINSTITUTIONALISATION OF RESIDENTIAL CARE, IN PARTNERSHIP WITH LOCAL GOVERNMENT AND OTHER ACTORS.</w:t>
      </w:r>
    </w:p>
    <w:p w14:paraId="3B921D9C" w14:textId="77777777" w:rsidR="00491591" w:rsidRPr="00A0168A" w:rsidRDefault="00491591" w:rsidP="00A0168A">
      <w:pPr>
        <w:pStyle w:val="font-claude-response-body"/>
        <w:spacing w:after="0" w:afterAutospacing="0"/>
        <w:jc w:val="both"/>
        <w:rPr>
          <w:i/>
          <w:iCs/>
        </w:rPr>
      </w:pPr>
      <w:r w:rsidRPr="00A0168A">
        <w:rPr>
          <w:i/>
          <w:iCs/>
          <w:u w:val="single"/>
        </w:rPr>
        <w:t>Specific/strategic objective B.1</w:t>
      </w:r>
      <w:r w:rsidRPr="00A0168A">
        <w:rPr>
          <w:i/>
          <w:iCs/>
        </w:rPr>
        <w:t>: Consolidation of the decentralisation process of social care services for sustainable and gender-responsive financing, geographical coverage, accessibility and responsiveness to crises and emergencies.</w:t>
      </w:r>
    </w:p>
    <w:p w14:paraId="6F86B99E" w14:textId="77777777" w:rsidR="00491591" w:rsidRPr="00A0168A" w:rsidRDefault="00491591" w:rsidP="00A0168A">
      <w:pPr>
        <w:pStyle w:val="font-claude-response-body"/>
        <w:spacing w:before="0" w:beforeAutospacing="0" w:after="0" w:afterAutospacing="0"/>
        <w:jc w:val="both"/>
        <w:rPr>
          <w:i/>
          <w:iCs/>
        </w:rPr>
      </w:pPr>
      <w:r w:rsidRPr="00A0168A">
        <w:rPr>
          <w:i/>
          <w:iCs/>
          <w:u w:val="single"/>
        </w:rPr>
        <w:t>Specific/strategic objective B.2</w:t>
      </w:r>
      <w:r w:rsidRPr="00A0168A">
        <w:rPr>
          <w:i/>
          <w:iCs/>
        </w:rPr>
        <w:t>: Implementation of standards and strengthening of the human capacities of social care services personnel for quality and gender-responsive services.</w:t>
      </w:r>
    </w:p>
    <w:p w14:paraId="3F4C58D1" w14:textId="0B92101A" w:rsidR="005F2AC9" w:rsidRPr="00A0168A" w:rsidRDefault="00491591" w:rsidP="00A0168A">
      <w:pPr>
        <w:pStyle w:val="font-claude-response-body"/>
        <w:spacing w:before="0" w:beforeAutospacing="0"/>
        <w:jc w:val="both"/>
        <w:rPr>
          <w:i/>
          <w:iCs/>
        </w:rPr>
      </w:pPr>
      <w:r w:rsidRPr="00A0168A">
        <w:rPr>
          <w:i/>
          <w:iCs/>
          <w:u w:val="single"/>
        </w:rPr>
        <w:t>Specific/strategic objective B.3</w:t>
      </w:r>
      <w:r w:rsidRPr="00A0168A">
        <w:rPr>
          <w:i/>
          <w:iCs/>
        </w:rPr>
        <w:t>: Deinstitutionalisation of residential care services and transformation towards family-based, community-based and day care services, respecting the principle of human rights and gender perspectives.</w:t>
      </w:r>
      <w:r w:rsidR="00B56839" w:rsidRPr="00A0168A">
        <w:rPr>
          <w:i/>
          <w:iCs/>
          <w:color w:val="000000" w:themeColor="text1"/>
          <w:lang w:val="sq-AL"/>
        </w:rPr>
        <w:t xml:space="preserve"> </w:t>
      </w:r>
    </w:p>
    <w:p w14:paraId="6EF8251C" w14:textId="4C228508" w:rsidR="005F2AC9" w:rsidRPr="00A166D4" w:rsidRDefault="00491591" w:rsidP="00A166D4">
      <w:pPr>
        <w:pStyle w:val="Caption"/>
        <w:keepNext/>
        <w:jc w:val="both"/>
        <w:rPr>
          <w:rFonts w:ascii="Times New Roman" w:hAnsi="Times New Roman" w:cs="Times New Roman"/>
          <w:color w:val="000000" w:themeColor="text1"/>
          <w:sz w:val="24"/>
          <w:szCs w:val="24"/>
          <w:lang w:val="it-IT"/>
        </w:rPr>
      </w:pPr>
      <w:r w:rsidRPr="00A166D4">
        <w:rPr>
          <w:rFonts w:ascii="Times New Roman" w:hAnsi="Times New Roman" w:cs="Times New Roman"/>
          <w:bCs w:val="0"/>
          <w:color w:val="000000" w:themeColor="text1"/>
          <w:sz w:val="24"/>
          <w:szCs w:val="24"/>
          <w:lang w:val="sq-AL"/>
        </w:rPr>
        <w:t>Status of Indicator Realisation (in number and %) for Policy B</w:t>
      </w:r>
    </w:p>
    <w:tbl>
      <w:tblPr>
        <w:tblW w:w="9464" w:type="dxa"/>
        <w:tblLayout w:type="fixed"/>
        <w:tblLook w:val="0000" w:firstRow="0" w:lastRow="0" w:firstColumn="0" w:lastColumn="0" w:noHBand="0" w:noVBand="0"/>
      </w:tblPr>
      <w:tblGrid>
        <w:gridCol w:w="2943"/>
        <w:gridCol w:w="1508"/>
        <w:gridCol w:w="1510"/>
        <w:gridCol w:w="1508"/>
        <w:gridCol w:w="1995"/>
      </w:tblGrid>
      <w:tr w:rsidR="005F2AC9" w:rsidRPr="00A166D4" w14:paraId="7DC77583" w14:textId="77777777">
        <w:tc>
          <w:tcPr>
            <w:tcW w:w="2943" w:type="dxa"/>
            <w:tcBorders>
              <w:top w:val="single" w:sz="8" w:space="0" w:color="000000"/>
              <w:left w:val="single" w:sz="8" w:space="0" w:color="000000"/>
              <w:bottom w:val="single" w:sz="4" w:space="0" w:color="000000"/>
              <w:right w:val="single" w:sz="8" w:space="0" w:color="000000"/>
            </w:tcBorders>
            <w:shd w:val="clear" w:color="auto" w:fill="F7CAAC"/>
          </w:tcPr>
          <w:p w14:paraId="40B4A58C" w14:textId="0B0DAD6A" w:rsidR="005F2AC9" w:rsidRPr="00A166D4" w:rsidRDefault="00491591" w:rsidP="00A166D4">
            <w:pPr>
              <w:ind w:hanging="2"/>
              <w:jc w:val="both"/>
              <w:rPr>
                <w:rFonts w:ascii="Times New Roman" w:hAnsi="Times New Roman" w:cs="Times New Roman"/>
                <w:color w:val="000000" w:themeColor="text1"/>
                <w:sz w:val="24"/>
                <w:szCs w:val="24"/>
              </w:rPr>
            </w:pPr>
            <w:r w:rsidRPr="00A166D4">
              <w:rPr>
                <w:rFonts w:ascii="Times New Roman" w:hAnsi="Times New Roman" w:cs="Times New Roman"/>
                <w:b/>
                <w:color w:val="000000" w:themeColor="text1"/>
                <w:sz w:val="24"/>
                <w:szCs w:val="24"/>
              </w:rPr>
              <w:t>Total Indicators envisaged</w:t>
            </w:r>
          </w:p>
        </w:tc>
        <w:tc>
          <w:tcPr>
            <w:tcW w:w="3018" w:type="dxa"/>
            <w:gridSpan w:val="2"/>
            <w:tcBorders>
              <w:top w:val="single" w:sz="8" w:space="0" w:color="000000"/>
              <w:left w:val="single" w:sz="8" w:space="0" w:color="000000"/>
              <w:bottom w:val="single" w:sz="4" w:space="0" w:color="000000"/>
              <w:right w:val="single" w:sz="8" w:space="0" w:color="000000"/>
            </w:tcBorders>
            <w:shd w:val="clear" w:color="auto" w:fill="C5E0B3"/>
          </w:tcPr>
          <w:p w14:paraId="42E0B214" w14:textId="14F0789D" w:rsidR="005F2AC9" w:rsidRPr="00A166D4" w:rsidRDefault="00491591" w:rsidP="00A166D4">
            <w:pPr>
              <w:ind w:hanging="2"/>
              <w:jc w:val="both"/>
              <w:rPr>
                <w:rFonts w:ascii="Times New Roman" w:hAnsi="Times New Roman" w:cs="Times New Roman"/>
                <w:color w:val="000000" w:themeColor="text1"/>
                <w:sz w:val="24"/>
                <w:szCs w:val="24"/>
              </w:rPr>
            </w:pPr>
            <w:r w:rsidRPr="00A166D4">
              <w:rPr>
                <w:rFonts w:ascii="Times New Roman" w:hAnsi="Times New Roman" w:cs="Times New Roman"/>
                <w:b/>
                <w:color w:val="000000" w:themeColor="text1"/>
                <w:sz w:val="24"/>
                <w:szCs w:val="24"/>
              </w:rPr>
              <w:t>Indicators reported</w:t>
            </w:r>
          </w:p>
        </w:tc>
        <w:tc>
          <w:tcPr>
            <w:tcW w:w="3503" w:type="dxa"/>
            <w:gridSpan w:val="2"/>
            <w:tcBorders>
              <w:top w:val="single" w:sz="8" w:space="0" w:color="000000"/>
              <w:left w:val="single" w:sz="8" w:space="0" w:color="000000"/>
              <w:bottom w:val="single" w:sz="4" w:space="0" w:color="000000"/>
              <w:right w:val="single" w:sz="8" w:space="0" w:color="000000"/>
            </w:tcBorders>
            <w:shd w:val="clear" w:color="auto" w:fill="C5E0B3"/>
          </w:tcPr>
          <w:p w14:paraId="411C8281" w14:textId="2D8483C2" w:rsidR="005F2AC9" w:rsidRPr="00A166D4" w:rsidRDefault="00491591" w:rsidP="00A166D4">
            <w:pPr>
              <w:ind w:hanging="2"/>
              <w:jc w:val="both"/>
              <w:rPr>
                <w:rFonts w:ascii="Times New Roman" w:hAnsi="Times New Roman" w:cs="Times New Roman"/>
                <w:color w:val="000000" w:themeColor="text1"/>
                <w:sz w:val="24"/>
                <w:szCs w:val="24"/>
              </w:rPr>
            </w:pPr>
            <w:r w:rsidRPr="00A166D4">
              <w:rPr>
                <w:rFonts w:ascii="Times New Roman" w:hAnsi="Times New Roman" w:cs="Times New Roman"/>
                <w:b/>
                <w:color w:val="000000" w:themeColor="text1"/>
                <w:sz w:val="24"/>
                <w:szCs w:val="24"/>
              </w:rPr>
              <w:t>Indicators realised</w:t>
            </w:r>
          </w:p>
        </w:tc>
      </w:tr>
      <w:tr w:rsidR="005F2AC9" w:rsidRPr="00A166D4" w14:paraId="0C5FB39C" w14:textId="77777777">
        <w:tc>
          <w:tcPr>
            <w:tcW w:w="2943" w:type="dxa"/>
            <w:tcBorders>
              <w:top w:val="single" w:sz="4" w:space="0" w:color="000000"/>
              <w:left w:val="single" w:sz="8" w:space="0" w:color="000000"/>
              <w:bottom w:val="single" w:sz="8" w:space="0" w:color="000000"/>
              <w:right w:val="single" w:sz="8" w:space="0" w:color="000000"/>
            </w:tcBorders>
            <w:shd w:val="clear" w:color="auto" w:fill="F7CAAC"/>
          </w:tcPr>
          <w:p w14:paraId="67F41CF2" w14:textId="77777777" w:rsidR="005F2AC9" w:rsidRPr="00A166D4" w:rsidRDefault="00B56839" w:rsidP="00A166D4">
            <w:pPr>
              <w:ind w:hanging="2"/>
              <w:jc w:val="both"/>
              <w:rPr>
                <w:rFonts w:ascii="Times New Roman" w:hAnsi="Times New Roman" w:cs="Times New Roman"/>
                <w:color w:val="000000" w:themeColor="text1"/>
                <w:sz w:val="24"/>
                <w:szCs w:val="24"/>
              </w:rPr>
            </w:pPr>
            <w:r w:rsidRPr="00A166D4">
              <w:rPr>
                <w:rFonts w:ascii="Times New Roman" w:hAnsi="Times New Roman" w:cs="Times New Roman"/>
                <w:color w:val="000000" w:themeColor="text1"/>
                <w:sz w:val="24"/>
                <w:szCs w:val="24"/>
              </w:rPr>
              <w:t>23</w:t>
            </w:r>
          </w:p>
        </w:tc>
        <w:tc>
          <w:tcPr>
            <w:tcW w:w="1508" w:type="dxa"/>
            <w:tcBorders>
              <w:top w:val="single" w:sz="4" w:space="0" w:color="000000"/>
              <w:left w:val="single" w:sz="8" w:space="0" w:color="000000"/>
              <w:bottom w:val="single" w:sz="8" w:space="0" w:color="000000"/>
              <w:right w:val="single" w:sz="8" w:space="0" w:color="000000"/>
            </w:tcBorders>
            <w:shd w:val="clear" w:color="auto" w:fill="C5E0B3"/>
          </w:tcPr>
          <w:p w14:paraId="1B076195" w14:textId="77777777" w:rsidR="005F2AC9" w:rsidRPr="00A166D4" w:rsidRDefault="00B56839" w:rsidP="00A166D4">
            <w:pPr>
              <w:ind w:hanging="2"/>
              <w:jc w:val="both"/>
              <w:rPr>
                <w:rFonts w:ascii="Times New Roman" w:hAnsi="Times New Roman" w:cs="Times New Roman"/>
                <w:color w:val="000000" w:themeColor="text1"/>
                <w:sz w:val="24"/>
                <w:szCs w:val="24"/>
              </w:rPr>
            </w:pPr>
            <w:r w:rsidRPr="00A166D4">
              <w:rPr>
                <w:rFonts w:ascii="Times New Roman" w:hAnsi="Times New Roman" w:cs="Times New Roman"/>
                <w:color w:val="000000" w:themeColor="text1"/>
                <w:sz w:val="24"/>
                <w:szCs w:val="24"/>
              </w:rPr>
              <w:t>21</w:t>
            </w:r>
          </w:p>
        </w:tc>
        <w:tc>
          <w:tcPr>
            <w:tcW w:w="1510" w:type="dxa"/>
            <w:tcBorders>
              <w:top w:val="single" w:sz="4" w:space="0" w:color="000000"/>
              <w:left w:val="single" w:sz="8" w:space="0" w:color="000000"/>
              <w:bottom w:val="single" w:sz="8" w:space="0" w:color="000000"/>
              <w:right w:val="single" w:sz="8" w:space="0" w:color="000000"/>
            </w:tcBorders>
            <w:shd w:val="clear" w:color="auto" w:fill="C5E0B3"/>
          </w:tcPr>
          <w:p w14:paraId="053759AA" w14:textId="77777777" w:rsidR="005F2AC9" w:rsidRPr="00A166D4" w:rsidRDefault="00B56839" w:rsidP="00A166D4">
            <w:pPr>
              <w:ind w:hanging="2"/>
              <w:jc w:val="both"/>
              <w:rPr>
                <w:rFonts w:ascii="Times New Roman" w:hAnsi="Times New Roman" w:cs="Times New Roman"/>
                <w:color w:val="000000" w:themeColor="text1"/>
                <w:sz w:val="24"/>
                <w:szCs w:val="24"/>
              </w:rPr>
            </w:pPr>
            <w:r w:rsidRPr="00A166D4">
              <w:rPr>
                <w:rFonts w:ascii="Times New Roman" w:hAnsi="Times New Roman" w:cs="Times New Roman"/>
                <w:color w:val="000000" w:themeColor="text1"/>
                <w:sz w:val="24"/>
                <w:szCs w:val="24"/>
              </w:rPr>
              <w:t>91%</w:t>
            </w:r>
          </w:p>
        </w:tc>
        <w:tc>
          <w:tcPr>
            <w:tcW w:w="1508" w:type="dxa"/>
            <w:tcBorders>
              <w:top w:val="single" w:sz="4" w:space="0" w:color="000000"/>
              <w:left w:val="single" w:sz="8" w:space="0" w:color="000000"/>
              <w:bottom w:val="single" w:sz="8" w:space="0" w:color="000000"/>
              <w:right w:val="single" w:sz="8" w:space="0" w:color="000000"/>
            </w:tcBorders>
            <w:shd w:val="clear" w:color="auto" w:fill="C5E0B3"/>
          </w:tcPr>
          <w:p w14:paraId="37777BA4" w14:textId="77777777" w:rsidR="005F2AC9" w:rsidRPr="00A166D4" w:rsidRDefault="00B56839" w:rsidP="00A166D4">
            <w:pPr>
              <w:ind w:hanging="2"/>
              <w:jc w:val="both"/>
              <w:rPr>
                <w:rFonts w:ascii="Times New Roman" w:hAnsi="Times New Roman" w:cs="Times New Roman"/>
                <w:color w:val="000000" w:themeColor="text1"/>
                <w:sz w:val="24"/>
                <w:szCs w:val="24"/>
              </w:rPr>
            </w:pPr>
            <w:r w:rsidRPr="00A166D4">
              <w:rPr>
                <w:rFonts w:ascii="Times New Roman" w:hAnsi="Times New Roman" w:cs="Times New Roman"/>
                <w:color w:val="000000" w:themeColor="text1"/>
                <w:sz w:val="24"/>
                <w:szCs w:val="24"/>
              </w:rPr>
              <w:t>21</w:t>
            </w:r>
          </w:p>
        </w:tc>
        <w:tc>
          <w:tcPr>
            <w:tcW w:w="1995" w:type="dxa"/>
            <w:tcBorders>
              <w:top w:val="single" w:sz="4" w:space="0" w:color="000000"/>
              <w:left w:val="single" w:sz="8" w:space="0" w:color="000000"/>
              <w:bottom w:val="single" w:sz="8" w:space="0" w:color="000000"/>
              <w:right w:val="single" w:sz="8" w:space="0" w:color="000000"/>
            </w:tcBorders>
            <w:shd w:val="clear" w:color="auto" w:fill="C5E0B3"/>
          </w:tcPr>
          <w:p w14:paraId="7DCF14D9" w14:textId="77777777" w:rsidR="005F2AC9" w:rsidRPr="00A166D4" w:rsidRDefault="00B56839" w:rsidP="00A166D4">
            <w:pPr>
              <w:tabs>
                <w:tab w:val="left" w:pos="435"/>
                <w:tab w:val="center" w:pos="748"/>
              </w:tabs>
              <w:ind w:hanging="2"/>
              <w:jc w:val="both"/>
              <w:rPr>
                <w:rFonts w:ascii="Times New Roman" w:hAnsi="Times New Roman" w:cs="Times New Roman"/>
                <w:color w:val="000000" w:themeColor="text1"/>
                <w:sz w:val="24"/>
                <w:szCs w:val="24"/>
              </w:rPr>
            </w:pPr>
            <w:r w:rsidRPr="00A166D4">
              <w:rPr>
                <w:rFonts w:ascii="Times New Roman" w:hAnsi="Times New Roman" w:cs="Times New Roman"/>
                <w:color w:val="000000" w:themeColor="text1"/>
                <w:sz w:val="24"/>
                <w:szCs w:val="24"/>
              </w:rPr>
              <w:t>100%</w:t>
            </w:r>
          </w:p>
        </w:tc>
      </w:tr>
    </w:tbl>
    <w:p w14:paraId="4E7A1501" w14:textId="77777777" w:rsidR="005F2AC9" w:rsidRPr="00A166D4" w:rsidRDefault="005F2AC9" w:rsidP="00A166D4">
      <w:pPr>
        <w:spacing w:after="0"/>
        <w:jc w:val="both"/>
        <w:rPr>
          <w:rFonts w:ascii="Times New Roman" w:hAnsi="Times New Roman" w:cs="Times New Roman"/>
          <w:b/>
          <w:bCs/>
          <w:color w:val="000000" w:themeColor="text1"/>
          <w:sz w:val="24"/>
          <w:szCs w:val="24"/>
          <w:lang w:val="sq-AL"/>
        </w:rPr>
      </w:pPr>
    </w:p>
    <w:p w14:paraId="7765FCA8" w14:textId="77777777" w:rsidR="00491591" w:rsidRPr="00A166D4" w:rsidRDefault="00491591" w:rsidP="00A166D4">
      <w:pPr>
        <w:pStyle w:val="font-claude-response-body"/>
        <w:spacing w:line="276" w:lineRule="auto"/>
        <w:jc w:val="both"/>
      </w:pPr>
      <w:r w:rsidRPr="00A166D4">
        <w:t>During 2025, the implementation of the National Social Protection Strategy 2024–2030 in the field of social care services was characterised by important developments in the direction of strengthening the legal framework, consolidating institutional mechanisms and increasing financial support for community-based services, in accordance with the priorities of Pillar B of the Strategy.</w:t>
      </w:r>
    </w:p>
    <w:p w14:paraId="1E9AC1B5" w14:textId="77777777" w:rsidR="00491591" w:rsidRPr="00A166D4" w:rsidRDefault="00491591" w:rsidP="00A166D4">
      <w:pPr>
        <w:pStyle w:val="font-claude-response-body"/>
        <w:spacing w:line="276" w:lineRule="auto"/>
        <w:jc w:val="both"/>
      </w:pPr>
      <w:r w:rsidRPr="00A166D4">
        <w:t>A key component of progress during this period relates to the advancement of the deinstitutionalisation process. During 2025, the Transformation Plan for the seven remaining public residential institutions for children was approved, setting the direction for the gradual transition from institutional care towards family-based and community-based models. The structural transformation of residential care continues in this framework, while the moratorium on the placement of children aged 0–2 years in institutions in Durrës and Shkodër remains in force. In parallel, the development of multifunctional structures of the type "Services for Child and Family Empowerment" has continued, as alternative models aimed at preventing the separation of children from the family and early support in the community.</w:t>
      </w:r>
    </w:p>
    <w:p w14:paraId="3205ECC9" w14:textId="77777777" w:rsidR="00491591" w:rsidRPr="00A166D4" w:rsidRDefault="00491591" w:rsidP="00A166D4">
      <w:pPr>
        <w:pStyle w:val="font-claude-response-body"/>
        <w:spacing w:line="276" w:lineRule="auto"/>
        <w:jc w:val="both"/>
      </w:pPr>
      <w:r w:rsidRPr="00A166D4">
        <w:t>On the normative level, a development of particular importance was the adoption of the Law on Alternative Care No. 92, dated 18 December 2025, which strengthens the legal basis for the organisation, regulation and oversight of forms of care outside the biological family. This law, in conjunction with the costed Transformation Plan for public residential institutions, creates a clearer legal and financial framework for the development of a care system oriented towards the family and community, in accordance with international standards.</w:t>
      </w:r>
    </w:p>
    <w:p w14:paraId="28599F0E" w14:textId="77777777" w:rsidR="00491591" w:rsidRPr="00A166D4" w:rsidRDefault="00491591" w:rsidP="00A166D4">
      <w:pPr>
        <w:pStyle w:val="font-claude-response-body"/>
        <w:spacing w:line="276" w:lineRule="auto"/>
        <w:jc w:val="both"/>
      </w:pPr>
      <w:r w:rsidRPr="00A166D4">
        <w:t>Institutional reforms have proceeded in parallel with legislative developments, with emphasis on strengthening the needs assessment, case management and referral mechanisms. During 2025, the gradual consolidation of the Needs Assessment and Referral Units (NARU) continued. Efforts have focused on reorienting case management practices from an approach primarily driven by institutionalisation towards early intervention and family-based support for children and families at risk of separation. With technical support from UNICEF, during this period functional structures for assessment and referral were established in a number of municipalities, a unified methodology for case management was developed, and awareness-raising and training activities were carried out on a national scale to strengthen local capacities.</w:t>
      </w:r>
    </w:p>
    <w:p w14:paraId="1137B33B" w14:textId="77777777" w:rsidR="00491591" w:rsidRPr="00A166D4" w:rsidRDefault="00491591" w:rsidP="00A166D4">
      <w:pPr>
        <w:pStyle w:val="font-claude-response-body"/>
        <w:spacing w:line="276" w:lineRule="auto"/>
        <w:jc w:val="both"/>
      </w:pPr>
      <w:r w:rsidRPr="00A166D4">
        <w:t>In terms of financing, 2025 marked a considerable increase in support for social services through the Social Fund. Following the adoption of Law No. 115/2024 "On the Budget for the Year 2025", the allocation for the Social Fund reached 369.4 million ALL, representing an increase of 15% compared to the previous year. This fund supported 65 services at the municipal level and 19 specialised services at the regional level, reflecting the priority given to community-based services and the decentralised delivery of social care. The increase in the fund was guided, among other things, also by the recommendations of the European Commission for strengthening territorial coverage, improving access for vulnerable groups and guaranteeing the sustainability of the reform at the local level.</w:t>
      </w:r>
    </w:p>
    <w:p w14:paraId="20E39B6D" w14:textId="77777777" w:rsidR="00491591" w:rsidRPr="00A166D4" w:rsidRDefault="00491591" w:rsidP="00A166D4">
      <w:pPr>
        <w:pStyle w:val="font-claude-response-body"/>
        <w:spacing w:line="276" w:lineRule="auto"/>
        <w:jc w:val="both"/>
      </w:pPr>
      <w:r w:rsidRPr="00A166D4">
        <w:t>To support the uniform implementation of this mechanism in all municipalities, during 2025 the guide for the Local Social Fund was drafted, which aims to standardise the procedures for planning, application, financing and monitoring of social services at the local level. The monitoring carried out by the State Social Service and the Inspectorate of Social Services confirms compliance with minimum service standards and provides a solid evidence base for assessing the quality and continuity of service financing.</w:t>
      </w:r>
    </w:p>
    <w:p w14:paraId="56CE78E4" w14:textId="77777777" w:rsidR="00491591" w:rsidRPr="00A166D4" w:rsidRDefault="00491591" w:rsidP="00A166D4">
      <w:pPr>
        <w:pStyle w:val="font-claude-response-body"/>
        <w:spacing w:line="276" w:lineRule="auto"/>
        <w:jc w:val="both"/>
      </w:pPr>
      <w:r w:rsidRPr="00A166D4">
        <w:t>Overall, the developments of 2025 in the field of social care services indicate an important phase of strengthening the legal, institutional and financial framework, orienting the system more clearly towards the prevention of institutionalisation and the development of family-based and community-based services.</w:t>
      </w:r>
    </w:p>
    <w:p w14:paraId="4A00A9EE" w14:textId="77777777" w:rsidR="00491591" w:rsidRPr="00A166D4" w:rsidRDefault="00491591" w:rsidP="00A166D4">
      <w:pPr>
        <w:pStyle w:val="font-claude-response-body"/>
        <w:spacing w:line="276" w:lineRule="auto"/>
        <w:jc w:val="both"/>
      </w:pPr>
      <w:r w:rsidRPr="00A166D4">
        <w:t>Recent legislative developments further reflect Albania's commitment to consolidating and modernising the social care system. Currently, work is ongoing on the review and further strengthening of the legal framework regulating social care services, including Law No. 121/2016, with the aim of clarifying roles and responsibilities at different levels of governance, improving service integration and more effectively addressing evolving demographic and social needs.</w:t>
      </w:r>
    </w:p>
    <w:p w14:paraId="4956A243" w14:textId="7BCA0BE8" w:rsidR="005F2AC9" w:rsidRPr="00A166D4" w:rsidRDefault="00491591" w:rsidP="00A166D4">
      <w:pPr>
        <w:pStyle w:val="font-claude-response-body"/>
        <w:spacing w:line="276" w:lineRule="auto"/>
        <w:jc w:val="both"/>
      </w:pPr>
      <w:r w:rsidRPr="00A166D4">
        <w:t>The reform has also been supported by international partners. The "EU for Social Care" Programme, launched in 2024, has made available 3.1 million euros to support 14 municipalities in expanding services for vulnerable groups, with the objective of covering 6,000 families and training approximately 350 social care professionals. Likewise, UNDP has supported six municipalities in establishing local social funds, setting up Needs Assessment and Case Referral Units, and modelling integrated health and social services.</w:t>
      </w:r>
    </w:p>
    <w:p w14:paraId="1B9BBD2B" w14:textId="3E7DD309" w:rsidR="005F2AC9" w:rsidRPr="00A166D4" w:rsidRDefault="00491591" w:rsidP="00A166D4">
      <w:pPr>
        <w:pStyle w:val="Heading3"/>
        <w:jc w:val="both"/>
        <w:rPr>
          <w:rFonts w:ascii="Times New Roman" w:hAnsi="Times New Roman" w:cs="Times New Roman"/>
          <w:color w:val="000000" w:themeColor="text1"/>
          <w:sz w:val="24"/>
          <w:szCs w:val="24"/>
          <w:lang w:val="it-IT"/>
        </w:rPr>
      </w:pPr>
      <w:r w:rsidRPr="00A166D4">
        <w:rPr>
          <w:rFonts w:ascii="Times New Roman" w:hAnsi="Times New Roman" w:cs="Times New Roman"/>
          <w:color w:val="000000" w:themeColor="text1"/>
          <w:sz w:val="24"/>
          <w:szCs w:val="24"/>
          <w:lang w:val="it-IT"/>
        </w:rPr>
        <w:t>KEY CHALLENGES AND STRATEGIC FOCUSES FOR FURTHER CONSOLIDATION</w:t>
      </w:r>
    </w:p>
    <w:p w14:paraId="47D091B3" w14:textId="77777777" w:rsidR="00491591" w:rsidRPr="00A166D4" w:rsidRDefault="00491591" w:rsidP="00A166D4">
      <w:pPr>
        <w:pStyle w:val="NormalWeb"/>
        <w:spacing w:before="280" w:after="280" w:line="276" w:lineRule="auto"/>
        <w:jc w:val="both"/>
        <w:rPr>
          <w:rFonts w:cs="Times New Roman"/>
          <w:color w:val="000000" w:themeColor="text1"/>
        </w:rPr>
      </w:pPr>
      <w:r w:rsidRPr="00A166D4">
        <w:rPr>
          <w:rFonts w:cs="Times New Roman"/>
          <w:color w:val="000000" w:themeColor="text1"/>
        </w:rPr>
        <w:t>The progress achieved during 2025 within the framework of the expansion and transformation of the social services system has created an important foundation for the further consolidation of the reform. At this stage of the advancement of the deinstitutionalisation (DEI) process, including the gradual transformation of residential services and the expansion of community-based alternatives, the focus has shifted towards strengthening human capacities at the local level, in accordance with the expanded role of municipalities in the delivery of social services.</w:t>
      </w:r>
    </w:p>
    <w:p w14:paraId="277267CE" w14:textId="56CABC6B" w:rsidR="00491591" w:rsidRPr="00A166D4" w:rsidRDefault="00491591" w:rsidP="00A166D4">
      <w:pPr>
        <w:pStyle w:val="NormalWeb"/>
        <w:spacing w:before="280" w:after="280" w:line="276" w:lineRule="auto"/>
        <w:jc w:val="both"/>
        <w:rPr>
          <w:rFonts w:cs="Times New Roman"/>
          <w:color w:val="000000" w:themeColor="text1"/>
        </w:rPr>
      </w:pPr>
      <w:r w:rsidRPr="00A166D4">
        <w:rPr>
          <w:rFonts w:cs="Times New Roman"/>
          <w:color w:val="000000" w:themeColor="text1"/>
        </w:rPr>
        <w:t>In this direction, the progressive establishment and functionalisation of the Local Needs and Referral Units (</w:t>
      </w:r>
      <w:r w:rsidR="00354CD9">
        <w:rPr>
          <w:rFonts w:cs="Times New Roman"/>
          <w:color w:val="000000" w:themeColor="text1"/>
        </w:rPr>
        <w:t>NARU</w:t>
      </w:r>
      <w:r w:rsidRPr="00A166D4">
        <w:rPr>
          <w:rFonts w:cs="Times New Roman"/>
          <w:color w:val="000000" w:themeColor="text1"/>
        </w:rPr>
        <w:t>) is contributing to the increase of the system's capacities to manage referral cases more effectively, to guarantee service standards and to ensure the sustainable follow-up of care and reintegration plans for the individual.</w:t>
      </w:r>
    </w:p>
    <w:p w14:paraId="6B051343" w14:textId="77777777" w:rsidR="00491591" w:rsidRPr="00A166D4" w:rsidRDefault="00491591" w:rsidP="00A166D4">
      <w:pPr>
        <w:pStyle w:val="NormalWeb"/>
        <w:spacing w:before="280" w:after="280" w:line="276" w:lineRule="auto"/>
        <w:jc w:val="both"/>
        <w:rPr>
          <w:rFonts w:cs="Times New Roman"/>
          <w:color w:val="000000" w:themeColor="text1"/>
        </w:rPr>
      </w:pPr>
      <w:r w:rsidRPr="00A166D4">
        <w:rPr>
          <w:rFonts w:cs="Times New Roman"/>
          <w:color w:val="000000" w:themeColor="text1"/>
        </w:rPr>
        <w:t>The Social Fund, as a consolidated co-financing instrument between central and local government, has continued to support the expansion of social services at the local level. The absorption rate of approximately 95% during 2025 reflects the improvement of institutional capacities and the effectiveness of support mechanisms, while current efforts are oriented towards the further strengthening of the technical capacities of municipalities, through dedicated training, technical assistance and the implementation of the standardised methodology for the planning and management of the Local Social Fund.</w:t>
      </w:r>
    </w:p>
    <w:p w14:paraId="510AB2BA" w14:textId="5D1C64E9" w:rsidR="00491591" w:rsidRPr="00A166D4" w:rsidRDefault="00491591" w:rsidP="00A166D4">
      <w:pPr>
        <w:pStyle w:val="NormalWeb"/>
        <w:spacing w:before="280" w:after="280" w:line="276" w:lineRule="auto"/>
        <w:jc w:val="both"/>
        <w:rPr>
          <w:rFonts w:cs="Times New Roman"/>
          <w:color w:val="000000" w:themeColor="text1"/>
        </w:rPr>
      </w:pPr>
      <w:r w:rsidRPr="00A166D4">
        <w:rPr>
          <w:rFonts w:cs="Times New Roman"/>
          <w:color w:val="000000" w:themeColor="text1"/>
        </w:rPr>
        <w:t>In this context, the strategic focuses for the subsequent period are oriented towards the consolidation of achievements and the increase of system sustainability, through:</w:t>
      </w:r>
    </w:p>
    <w:p w14:paraId="22775972" w14:textId="018B2629" w:rsidR="00491591" w:rsidRPr="00A166D4" w:rsidRDefault="00491591" w:rsidP="00320C75">
      <w:pPr>
        <w:pStyle w:val="NormalWeb"/>
        <w:numPr>
          <w:ilvl w:val="0"/>
          <w:numId w:val="25"/>
        </w:numPr>
        <w:spacing w:before="280" w:after="280" w:line="276" w:lineRule="auto"/>
        <w:jc w:val="both"/>
        <w:rPr>
          <w:rFonts w:cs="Times New Roman"/>
          <w:color w:val="000000" w:themeColor="text1"/>
        </w:rPr>
      </w:pPr>
      <w:r w:rsidRPr="00A166D4">
        <w:rPr>
          <w:rFonts w:cs="Times New Roman"/>
          <w:color w:val="000000" w:themeColor="text1"/>
        </w:rPr>
        <w:t xml:space="preserve">further strengthening of local governance capacities, through the full functionalisation of the </w:t>
      </w:r>
      <w:r w:rsidR="00354CD9" w:rsidRPr="00354CD9">
        <w:rPr>
          <w:rFonts w:cs="Times New Roman"/>
          <w:color w:val="000000" w:themeColor="text1"/>
        </w:rPr>
        <w:t>NARUS</w:t>
      </w:r>
      <w:r w:rsidRPr="00354CD9">
        <w:rPr>
          <w:rFonts w:cs="Times New Roman"/>
          <w:color w:val="000000" w:themeColor="text1"/>
        </w:rPr>
        <w:t>s</w:t>
      </w:r>
      <w:r w:rsidRPr="00A166D4">
        <w:rPr>
          <w:rFonts w:cs="Times New Roman"/>
          <w:color w:val="000000" w:themeColor="text1"/>
        </w:rPr>
        <w:t xml:space="preserve"> and the continuation of training and technical assistance programmes in all municipalities;</w:t>
      </w:r>
    </w:p>
    <w:p w14:paraId="57AF3604" w14:textId="77777777" w:rsidR="00491591" w:rsidRPr="00A166D4" w:rsidRDefault="00491591" w:rsidP="00320C75">
      <w:pPr>
        <w:pStyle w:val="NormalWeb"/>
        <w:numPr>
          <w:ilvl w:val="0"/>
          <w:numId w:val="25"/>
        </w:numPr>
        <w:spacing w:before="280" w:after="280" w:line="276" w:lineRule="auto"/>
        <w:jc w:val="both"/>
        <w:rPr>
          <w:rFonts w:cs="Times New Roman"/>
          <w:color w:val="000000" w:themeColor="text1"/>
        </w:rPr>
      </w:pPr>
      <w:r w:rsidRPr="00A166D4">
        <w:rPr>
          <w:rFonts w:cs="Times New Roman"/>
          <w:color w:val="000000" w:themeColor="text1"/>
        </w:rPr>
        <w:t>improvement of the planning and financial management of social services, in accordance with new methodologies and financial instruments under development, the Local Social Fund;</w:t>
      </w:r>
    </w:p>
    <w:p w14:paraId="35043A9F" w14:textId="77B81BDB" w:rsidR="005F2AC9" w:rsidRPr="00A166D4" w:rsidRDefault="00491591" w:rsidP="00320C75">
      <w:pPr>
        <w:pStyle w:val="NormalWeb"/>
        <w:numPr>
          <w:ilvl w:val="0"/>
          <w:numId w:val="25"/>
        </w:numPr>
        <w:spacing w:before="280" w:after="280" w:line="276" w:lineRule="auto"/>
        <w:jc w:val="both"/>
        <w:rPr>
          <w:rFonts w:cs="Times New Roman"/>
          <w:color w:val="000000" w:themeColor="text1"/>
        </w:rPr>
      </w:pPr>
      <w:r w:rsidRPr="00A166D4">
        <w:rPr>
          <w:rFonts w:cs="Times New Roman"/>
          <w:color w:val="000000" w:themeColor="text1"/>
        </w:rPr>
        <w:t>gradual increase in the sustainability of services, through the strengthening of local-central co-financing and more efficient use of existing financial instruments.</w:t>
      </w:r>
    </w:p>
    <w:p w14:paraId="6F36DDE1" w14:textId="3FEBDA9C" w:rsidR="005F2AC9" w:rsidRPr="00A166D4" w:rsidRDefault="006F5716" w:rsidP="00A166D4">
      <w:pPr>
        <w:spacing w:after="0"/>
        <w:jc w:val="both"/>
        <w:rPr>
          <w:rFonts w:ascii="Times New Roman" w:eastAsia="Times New Roman" w:hAnsi="Times New Roman" w:cs="Times New Roman"/>
          <w:b/>
          <w:bCs/>
          <w:color w:val="000000" w:themeColor="text1"/>
          <w:sz w:val="24"/>
          <w:szCs w:val="24"/>
          <w:lang w:val="fr-FR" w:eastAsia="fr-FR"/>
        </w:rPr>
      </w:pPr>
      <w:r w:rsidRPr="00A166D4">
        <w:rPr>
          <w:rFonts w:ascii="Times New Roman" w:eastAsia="Times New Roman" w:hAnsi="Times New Roman" w:cs="Times New Roman"/>
          <w:b/>
          <w:bCs/>
          <w:color w:val="000000" w:themeColor="text1"/>
          <w:sz w:val="24"/>
          <w:szCs w:val="24"/>
          <w:lang w:val="fr-FR" w:eastAsia="fr-FR"/>
        </w:rPr>
        <w:t>Table: Passport Indicators for Pillar B</w:t>
      </w:r>
    </w:p>
    <w:p w14:paraId="19BBEFE3" w14:textId="77777777" w:rsidR="006F5716" w:rsidRPr="00A166D4" w:rsidRDefault="006F5716" w:rsidP="00A166D4">
      <w:pPr>
        <w:spacing w:after="0"/>
        <w:jc w:val="both"/>
        <w:rPr>
          <w:rFonts w:ascii="Times New Roman" w:hAnsi="Times New Roman" w:cs="Times New Roman"/>
          <w:b/>
          <w:bCs/>
          <w:color w:val="000000" w:themeColor="text1"/>
          <w:sz w:val="24"/>
          <w:szCs w:val="24"/>
          <w:lang w:val="sq-AL"/>
        </w:rPr>
      </w:pPr>
    </w:p>
    <w:tbl>
      <w:tblPr>
        <w:tblStyle w:val="TableGrid"/>
        <w:tblW w:w="9250" w:type="dxa"/>
        <w:tblLayout w:type="fixed"/>
        <w:tblLook w:val="04A0" w:firstRow="1" w:lastRow="0" w:firstColumn="1" w:lastColumn="0" w:noHBand="0" w:noVBand="1"/>
      </w:tblPr>
      <w:tblGrid>
        <w:gridCol w:w="885"/>
        <w:gridCol w:w="1659"/>
        <w:gridCol w:w="1662"/>
        <w:gridCol w:w="987"/>
        <w:gridCol w:w="886"/>
        <w:gridCol w:w="963"/>
        <w:gridCol w:w="1175"/>
        <w:gridCol w:w="1033"/>
      </w:tblGrid>
      <w:tr w:rsidR="005F2AC9" w:rsidRPr="00A166D4" w14:paraId="0A85309B" w14:textId="77777777">
        <w:trPr>
          <w:trHeight w:val="300"/>
        </w:trPr>
        <w:tc>
          <w:tcPr>
            <w:tcW w:w="884" w:type="dxa"/>
            <w:tcBorders>
              <w:top w:val="single" w:sz="8" w:space="0" w:color="000000"/>
              <w:left w:val="single" w:sz="8" w:space="0" w:color="000000"/>
              <w:bottom w:val="single" w:sz="8" w:space="0" w:color="000000"/>
              <w:right w:val="single" w:sz="8" w:space="0" w:color="000000"/>
            </w:tcBorders>
            <w:shd w:val="clear" w:color="auto" w:fill="D9E2F3"/>
          </w:tcPr>
          <w:p w14:paraId="26EB03C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tc>
        <w:tc>
          <w:tcPr>
            <w:tcW w:w="1659" w:type="dxa"/>
            <w:tcBorders>
              <w:top w:val="single" w:sz="8" w:space="0" w:color="000000"/>
              <w:left w:val="single" w:sz="8" w:space="0" w:color="000000"/>
              <w:bottom w:val="single" w:sz="8" w:space="0" w:color="000000"/>
              <w:right w:val="single" w:sz="8" w:space="0" w:color="000000"/>
            </w:tcBorders>
            <w:shd w:val="clear" w:color="auto" w:fill="D9E2F3"/>
          </w:tcPr>
          <w:p w14:paraId="20FD2A63" w14:textId="48C4A82C" w:rsidR="005F2AC9" w:rsidRPr="00A166D4" w:rsidRDefault="006F5716" w:rsidP="00A166D4">
            <w:pPr>
              <w:tabs>
                <w:tab w:val="center" w:pos="1394"/>
              </w:tabs>
              <w:spacing w:before="0" w:after="0"/>
              <w:jc w:val="both"/>
              <w:rPr>
                <w:rFonts w:ascii="Times New Roman" w:eastAsia="Times New Roman" w:hAnsi="Times New Roman" w:cs="Times New Roman"/>
                <w:b/>
                <w:bCs/>
                <w:color w:val="000000" w:themeColor="text1"/>
                <w:sz w:val="24"/>
                <w:szCs w:val="24"/>
              </w:rPr>
            </w:pPr>
            <w:r w:rsidRPr="00A166D4">
              <w:rPr>
                <w:rFonts w:ascii="Times New Roman" w:eastAsia="Times New Roman" w:hAnsi="Times New Roman" w:cs="Times New Roman"/>
                <w:b/>
                <w:bCs/>
                <w:color w:val="000000" w:themeColor="text1"/>
                <w:sz w:val="24"/>
                <w:szCs w:val="24"/>
              </w:rPr>
              <w:t>Objectives</w:t>
            </w:r>
          </w:p>
        </w:tc>
        <w:tc>
          <w:tcPr>
            <w:tcW w:w="1662" w:type="dxa"/>
            <w:tcBorders>
              <w:top w:val="single" w:sz="8" w:space="0" w:color="000000"/>
              <w:left w:val="single" w:sz="8" w:space="0" w:color="000000"/>
              <w:bottom w:val="single" w:sz="8" w:space="0" w:color="000000"/>
              <w:right w:val="single" w:sz="8" w:space="0" w:color="000000"/>
            </w:tcBorders>
            <w:shd w:val="clear" w:color="auto" w:fill="D9E2F3"/>
          </w:tcPr>
          <w:p w14:paraId="2B4FCED0" w14:textId="0DD6BA7E" w:rsidR="005F2AC9" w:rsidRPr="00A166D4" w:rsidRDefault="006F5716" w:rsidP="00A166D4">
            <w:pPr>
              <w:spacing w:before="0" w:after="0"/>
              <w:jc w:val="both"/>
              <w:rPr>
                <w:rFonts w:ascii="Times New Roman" w:eastAsia="Times New Roman" w:hAnsi="Times New Roman" w:cs="Times New Roman"/>
                <w:b/>
                <w:bCs/>
                <w:color w:val="000000" w:themeColor="text1"/>
                <w:sz w:val="24"/>
                <w:szCs w:val="24"/>
              </w:rPr>
            </w:pPr>
            <w:r w:rsidRPr="00A166D4">
              <w:rPr>
                <w:rFonts w:ascii="Times New Roman" w:eastAsia="Times New Roman" w:hAnsi="Times New Roman" w:cs="Times New Roman"/>
                <w:b/>
                <w:bCs/>
                <w:color w:val="000000" w:themeColor="text1"/>
                <w:sz w:val="24"/>
                <w:szCs w:val="24"/>
              </w:rPr>
              <w:t>Indicator</w:t>
            </w:r>
          </w:p>
        </w:tc>
        <w:tc>
          <w:tcPr>
            <w:tcW w:w="987" w:type="dxa"/>
            <w:tcBorders>
              <w:top w:val="single" w:sz="8" w:space="0" w:color="000000"/>
              <w:left w:val="single" w:sz="8" w:space="0" w:color="000000"/>
              <w:bottom w:val="single" w:sz="8" w:space="0" w:color="000000"/>
              <w:right w:val="single" w:sz="8" w:space="0" w:color="000000"/>
            </w:tcBorders>
            <w:shd w:val="clear" w:color="auto" w:fill="D9E2F3"/>
          </w:tcPr>
          <w:p w14:paraId="2FBDD9E7" w14:textId="328C045C" w:rsidR="005F2AC9" w:rsidRPr="00A166D4" w:rsidRDefault="006F5716" w:rsidP="00A166D4">
            <w:pPr>
              <w:spacing w:before="0" w:after="0"/>
              <w:jc w:val="both"/>
              <w:rPr>
                <w:rFonts w:ascii="Times New Roman" w:eastAsia="Times New Roman" w:hAnsi="Times New Roman" w:cs="Times New Roman"/>
                <w:b/>
                <w:bCs/>
                <w:color w:val="000000" w:themeColor="text1"/>
                <w:sz w:val="24"/>
                <w:szCs w:val="24"/>
              </w:rPr>
            </w:pPr>
            <w:r w:rsidRPr="00A166D4">
              <w:rPr>
                <w:rFonts w:ascii="Times New Roman" w:eastAsia="Times New Roman" w:hAnsi="Times New Roman" w:cs="Times New Roman"/>
                <w:b/>
                <w:bCs/>
                <w:color w:val="000000" w:themeColor="text1"/>
                <w:sz w:val="24"/>
                <w:szCs w:val="24"/>
              </w:rPr>
              <w:t>Baseline value</w:t>
            </w:r>
          </w:p>
        </w:tc>
        <w:tc>
          <w:tcPr>
            <w:tcW w:w="886" w:type="dxa"/>
            <w:tcBorders>
              <w:top w:val="single" w:sz="8" w:space="0" w:color="000000"/>
              <w:left w:val="single" w:sz="8" w:space="0" w:color="000000"/>
              <w:bottom w:val="single" w:sz="8" w:space="0" w:color="000000"/>
              <w:right w:val="single" w:sz="8" w:space="0" w:color="000000"/>
            </w:tcBorders>
            <w:shd w:val="clear" w:color="auto" w:fill="D9E2F3"/>
          </w:tcPr>
          <w:p w14:paraId="215D52AE" w14:textId="77777777" w:rsidR="005F2AC9" w:rsidRPr="00A166D4" w:rsidRDefault="00B56839" w:rsidP="00A166D4">
            <w:pPr>
              <w:spacing w:before="0" w:after="0"/>
              <w:jc w:val="both"/>
              <w:rPr>
                <w:rFonts w:ascii="Times New Roman" w:eastAsia="Times New Roman" w:hAnsi="Times New Roman" w:cs="Times New Roman"/>
                <w:b/>
                <w:bCs/>
                <w:color w:val="000000" w:themeColor="text1"/>
                <w:sz w:val="24"/>
                <w:szCs w:val="24"/>
                <w:lang w:val="sq-AL"/>
              </w:rPr>
            </w:pPr>
            <w:r w:rsidRPr="00A166D4">
              <w:rPr>
                <w:rFonts w:ascii="Times New Roman" w:eastAsia="Times New Roman" w:hAnsi="Times New Roman" w:cs="Times New Roman"/>
                <w:b/>
                <w:bCs/>
                <w:color w:val="000000" w:themeColor="text1"/>
                <w:sz w:val="24"/>
                <w:szCs w:val="24"/>
                <w:lang w:val="sq-AL"/>
              </w:rPr>
              <w:t>2025</w:t>
            </w:r>
          </w:p>
          <w:p w14:paraId="143995EF"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tc>
        <w:tc>
          <w:tcPr>
            <w:tcW w:w="963" w:type="dxa"/>
            <w:tcBorders>
              <w:top w:val="single" w:sz="8" w:space="0" w:color="000000"/>
              <w:left w:val="single" w:sz="8" w:space="0" w:color="000000"/>
              <w:bottom w:val="single" w:sz="8" w:space="0" w:color="000000"/>
              <w:right w:val="single" w:sz="8" w:space="0" w:color="000000"/>
            </w:tcBorders>
            <w:shd w:val="clear" w:color="auto" w:fill="D9E2F3"/>
          </w:tcPr>
          <w:p w14:paraId="0039B890" w14:textId="407942BD" w:rsidR="005F2AC9" w:rsidRPr="00A166D4" w:rsidRDefault="006F5716" w:rsidP="00A166D4">
            <w:pPr>
              <w:spacing w:before="0" w:after="0"/>
              <w:jc w:val="both"/>
              <w:rPr>
                <w:rFonts w:ascii="Times New Roman" w:eastAsia="Times New Roman" w:hAnsi="Times New Roman" w:cs="Times New Roman"/>
                <w:b/>
                <w:bCs/>
                <w:color w:val="000000" w:themeColor="text1"/>
                <w:sz w:val="24"/>
                <w:szCs w:val="24"/>
              </w:rPr>
            </w:pPr>
            <w:r w:rsidRPr="00A166D4">
              <w:rPr>
                <w:rFonts w:ascii="Times New Roman" w:eastAsia="Times New Roman" w:hAnsi="Times New Roman" w:cs="Times New Roman"/>
                <w:b/>
                <w:bCs/>
                <w:color w:val="000000" w:themeColor="text1"/>
                <w:sz w:val="24"/>
                <w:szCs w:val="24"/>
              </w:rPr>
              <w:t>Target 2030</w:t>
            </w:r>
          </w:p>
        </w:tc>
        <w:tc>
          <w:tcPr>
            <w:tcW w:w="1175" w:type="dxa"/>
            <w:tcBorders>
              <w:top w:val="single" w:sz="8" w:space="0" w:color="000000"/>
              <w:left w:val="single" w:sz="8" w:space="0" w:color="000000"/>
              <w:bottom w:val="single" w:sz="8" w:space="0" w:color="000000"/>
              <w:right w:val="single" w:sz="8" w:space="0" w:color="000000"/>
            </w:tcBorders>
            <w:shd w:val="clear" w:color="auto" w:fill="D9E2F3"/>
          </w:tcPr>
          <w:p w14:paraId="416A0B68" w14:textId="77777777" w:rsidR="005F2AC9" w:rsidRPr="00A166D4" w:rsidRDefault="00B56839" w:rsidP="00A166D4">
            <w:pPr>
              <w:spacing w:before="0" w:after="0"/>
              <w:jc w:val="both"/>
              <w:rPr>
                <w:rFonts w:ascii="Times New Roman" w:eastAsia="Times New Roman" w:hAnsi="Times New Roman" w:cs="Times New Roman"/>
                <w:b/>
                <w:bCs/>
                <w:color w:val="000000" w:themeColor="text1"/>
                <w:sz w:val="24"/>
                <w:szCs w:val="24"/>
                <w:lang w:val="it-IT"/>
              </w:rPr>
            </w:pPr>
            <w:r w:rsidRPr="00A166D4">
              <w:rPr>
                <w:rFonts w:ascii="Times New Roman" w:eastAsia="Times New Roman" w:hAnsi="Times New Roman" w:cs="Times New Roman"/>
                <w:b/>
                <w:bCs/>
                <w:color w:val="000000" w:themeColor="text1"/>
                <w:sz w:val="24"/>
                <w:szCs w:val="24"/>
                <w:lang w:val="it-IT"/>
              </w:rPr>
              <w:t>Burimet dhe mjetet e verifikimit</w:t>
            </w:r>
          </w:p>
        </w:tc>
        <w:tc>
          <w:tcPr>
            <w:tcW w:w="1033" w:type="dxa"/>
            <w:tcBorders>
              <w:top w:val="single" w:sz="8" w:space="0" w:color="000000"/>
              <w:left w:val="single" w:sz="8" w:space="0" w:color="000000"/>
              <w:bottom w:val="single" w:sz="8" w:space="0" w:color="000000"/>
              <w:right w:val="single" w:sz="8" w:space="0" w:color="000000"/>
            </w:tcBorders>
            <w:shd w:val="clear" w:color="auto" w:fill="D9E2F3"/>
          </w:tcPr>
          <w:p w14:paraId="1C447D3C" w14:textId="085C2588" w:rsidR="005F2AC9" w:rsidRPr="00A166D4" w:rsidRDefault="006F5716" w:rsidP="00A166D4">
            <w:pPr>
              <w:spacing w:before="0" w:after="0"/>
              <w:jc w:val="both"/>
              <w:rPr>
                <w:rFonts w:ascii="Times New Roman" w:eastAsia="Times New Roman" w:hAnsi="Times New Roman" w:cs="Times New Roman"/>
                <w:b/>
                <w:bCs/>
                <w:color w:val="000000" w:themeColor="text1"/>
                <w:sz w:val="24"/>
                <w:szCs w:val="24"/>
              </w:rPr>
            </w:pPr>
            <w:r w:rsidRPr="00A166D4">
              <w:rPr>
                <w:rFonts w:ascii="Times New Roman" w:eastAsia="Times New Roman" w:hAnsi="Times New Roman" w:cs="Times New Roman"/>
                <w:b/>
                <w:bCs/>
                <w:color w:val="000000" w:themeColor="text1"/>
                <w:sz w:val="24"/>
                <w:szCs w:val="24"/>
              </w:rPr>
              <w:t>Sources and means of verification</w:t>
            </w:r>
          </w:p>
        </w:tc>
      </w:tr>
      <w:tr w:rsidR="005F2AC9" w:rsidRPr="00A166D4" w14:paraId="6697E9C9" w14:textId="77777777">
        <w:trPr>
          <w:trHeight w:val="1545"/>
        </w:trPr>
        <w:tc>
          <w:tcPr>
            <w:tcW w:w="884" w:type="dxa"/>
            <w:tcBorders>
              <w:top w:val="single" w:sz="8" w:space="0" w:color="000000"/>
              <w:left w:val="single" w:sz="8" w:space="0" w:color="000000"/>
              <w:bottom w:val="single" w:sz="8" w:space="0" w:color="000000"/>
              <w:right w:val="single" w:sz="8" w:space="0" w:color="000000"/>
            </w:tcBorders>
            <w:shd w:val="clear" w:color="auto" w:fill="E2EFD9"/>
            <w:vAlign w:val="center"/>
          </w:tcPr>
          <w:p w14:paraId="32A65A90" w14:textId="22059984" w:rsidR="005F2AC9" w:rsidRPr="00A166D4" w:rsidRDefault="006F5716" w:rsidP="00A166D4">
            <w:pPr>
              <w:spacing w:before="0" w:after="0"/>
              <w:jc w:val="both"/>
              <w:rPr>
                <w:rFonts w:ascii="Times New Roman" w:eastAsia="Times New Roman" w:hAnsi="Times New Roman" w:cs="Times New Roman"/>
                <w:b/>
                <w:bCs/>
                <w:color w:val="000000" w:themeColor="text1"/>
                <w:sz w:val="24"/>
                <w:szCs w:val="24"/>
              </w:rPr>
            </w:pPr>
            <w:r w:rsidRPr="00A166D4">
              <w:rPr>
                <w:rFonts w:ascii="Times New Roman" w:eastAsia="Times New Roman" w:hAnsi="Times New Roman" w:cs="Times New Roman"/>
                <w:b/>
                <w:bCs/>
                <w:color w:val="000000" w:themeColor="text1"/>
                <w:sz w:val="24"/>
                <w:szCs w:val="24"/>
              </w:rPr>
              <w:t>Policy goal (Impact)</w:t>
            </w:r>
          </w:p>
        </w:tc>
        <w:tc>
          <w:tcPr>
            <w:tcW w:w="1659" w:type="dxa"/>
            <w:tcBorders>
              <w:top w:val="single" w:sz="8" w:space="0" w:color="000000"/>
              <w:left w:val="single" w:sz="8" w:space="0" w:color="000000"/>
              <w:bottom w:val="single" w:sz="8" w:space="0" w:color="000000"/>
              <w:right w:val="single" w:sz="8" w:space="0" w:color="000000"/>
            </w:tcBorders>
            <w:shd w:val="clear" w:color="auto" w:fill="E2EFD9"/>
          </w:tcPr>
          <w:p w14:paraId="32ED1F41" w14:textId="3A3A8C1D" w:rsidR="005F2AC9" w:rsidRPr="00A166D4" w:rsidRDefault="006F5716"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Policy Goal B: Expansion of integrated, accessible, quality and gender-responsive social services, as well as advancement of deinstitutionalisation, in partnership with local government and other actors.</w:t>
            </w:r>
          </w:p>
        </w:tc>
        <w:tc>
          <w:tcPr>
            <w:tcW w:w="1662" w:type="dxa"/>
            <w:tcBorders>
              <w:top w:val="single" w:sz="8" w:space="0" w:color="000000"/>
              <w:left w:val="single" w:sz="8" w:space="0" w:color="000000"/>
              <w:bottom w:val="single" w:sz="8" w:space="0" w:color="000000"/>
              <w:right w:val="single" w:sz="8" w:space="0" w:color="000000"/>
            </w:tcBorders>
            <w:shd w:val="clear" w:color="auto" w:fill="E2EFD9"/>
          </w:tcPr>
          <w:p w14:paraId="2F37F51D" w14:textId="77777777" w:rsidR="006F5716" w:rsidRPr="00A166D4" w:rsidRDefault="006F5716"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Percentage of individuals in need benefiting from local and central social care services (by gender, minority, disability and age)</w:t>
            </w:r>
          </w:p>
          <w:p w14:paraId="778B9FCE" w14:textId="4D2568F2"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CB1271D" w14:textId="724F200C" w:rsidR="005F2AC9" w:rsidRPr="00A166D4" w:rsidRDefault="006F5716"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Number of municipalities providing community social services for at least three categories (PwD, women in need, vulnerable children/young people and the elderly)</w:t>
            </w:r>
            <w:r w:rsidR="00B56839" w:rsidRPr="00A166D4">
              <w:rPr>
                <w:rFonts w:ascii="Times New Roman" w:eastAsia="Times New Roman" w:hAnsi="Times New Roman" w:cs="Times New Roman"/>
                <w:color w:val="000000" w:themeColor="text1"/>
                <w:sz w:val="24"/>
                <w:szCs w:val="24"/>
              </w:rPr>
              <w:t xml:space="preserve"> </w:t>
            </w:r>
          </w:p>
          <w:p w14:paraId="03363A3D"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264DA33"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A813661" w14:textId="4CBEE000" w:rsidR="005F2AC9" w:rsidRPr="00A166D4" w:rsidRDefault="006F5716"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Rate of children aged 0–17 years in residential care centres at the end of the year, by gender)</w:t>
            </w:r>
            <w:r w:rsidR="00B56839" w:rsidRPr="00A166D4">
              <w:rPr>
                <w:rFonts w:ascii="Times New Roman" w:eastAsia="Times New Roman" w:hAnsi="Times New Roman" w:cs="Times New Roman"/>
                <w:color w:val="000000" w:themeColor="text1"/>
                <w:sz w:val="24"/>
                <w:szCs w:val="24"/>
              </w:rPr>
              <w:t xml:space="preserve"> </w:t>
            </w:r>
          </w:p>
        </w:tc>
        <w:tc>
          <w:tcPr>
            <w:tcW w:w="987" w:type="dxa"/>
            <w:tcBorders>
              <w:top w:val="single" w:sz="8" w:space="0" w:color="000000"/>
              <w:left w:val="single" w:sz="8" w:space="0" w:color="000000"/>
              <w:bottom w:val="single" w:sz="8" w:space="0" w:color="000000"/>
              <w:right w:val="single" w:sz="8" w:space="0" w:color="000000"/>
            </w:tcBorders>
            <w:shd w:val="clear" w:color="auto" w:fill="E2EFD9"/>
          </w:tcPr>
          <w:p w14:paraId="5A101250"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15% </w:t>
            </w:r>
          </w:p>
          <w:p w14:paraId="359B6732"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25D2C4BA"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21D1EC10"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0D59E926"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4D52074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EEE430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758D3BC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463B26E5"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408A94E4"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5CE2656E"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26D1E568" w14:textId="1F7EC1ED" w:rsidR="005F2AC9" w:rsidRPr="00A166D4" w:rsidRDefault="006F5716"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20 (year 2023)</w:t>
            </w:r>
            <w:r w:rsidR="00B56839" w:rsidRPr="00A166D4">
              <w:rPr>
                <w:rFonts w:ascii="Times New Roman" w:eastAsia="Times New Roman" w:hAnsi="Times New Roman" w:cs="Times New Roman"/>
                <w:color w:val="000000" w:themeColor="text1"/>
                <w:sz w:val="24"/>
                <w:szCs w:val="24"/>
                <w:lang w:val="it-IT"/>
              </w:rPr>
              <w:t xml:space="preserve"> </w:t>
            </w:r>
          </w:p>
          <w:p w14:paraId="5D5A8319"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74643863"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43D413CB"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3A0826E4"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65C8D1FE"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642CDCF4"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E771D05"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rPr>
            </w:pPr>
          </w:p>
          <w:p w14:paraId="0AA0FC72"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rPr>
            </w:pPr>
          </w:p>
          <w:p w14:paraId="1DF2961A"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6C78F35A"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252CA4F6"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58E8C18E"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2AB9F7E0"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7D4386FB" w14:textId="74563847" w:rsidR="005F2AC9" w:rsidRPr="00A166D4" w:rsidRDefault="006F5716"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90.43 (2021) 92.9 (male) 87.87 (female)</w:t>
            </w:r>
          </w:p>
        </w:tc>
        <w:tc>
          <w:tcPr>
            <w:tcW w:w="886" w:type="dxa"/>
            <w:tcBorders>
              <w:top w:val="single" w:sz="8" w:space="0" w:color="000000"/>
              <w:left w:val="single" w:sz="8" w:space="0" w:color="000000"/>
              <w:bottom w:val="single" w:sz="8" w:space="0" w:color="000000"/>
              <w:right w:val="single" w:sz="8" w:space="0" w:color="000000"/>
            </w:tcBorders>
            <w:shd w:val="clear" w:color="auto" w:fill="E2EFD9"/>
          </w:tcPr>
          <w:p w14:paraId="229E3728" w14:textId="754FB611" w:rsidR="005F2AC9" w:rsidRPr="00A166D4" w:rsidRDefault="002B2960"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17.6</w:t>
            </w:r>
            <w:r w:rsidR="00B56839" w:rsidRPr="00A166D4">
              <w:rPr>
                <w:rFonts w:ascii="Times New Roman" w:eastAsia="Times New Roman" w:hAnsi="Times New Roman" w:cs="Times New Roman"/>
                <w:color w:val="000000" w:themeColor="text1"/>
                <w:sz w:val="24"/>
                <w:szCs w:val="24"/>
                <w:lang w:val="it-IT"/>
              </w:rPr>
              <w:t>%</w:t>
            </w:r>
          </w:p>
          <w:p w14:paraId="2AB6C9A2"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416205FF"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688CDFAD"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7F6DDA18"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3454BA4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317B6E31"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73F285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7CFA6F15"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40898CB1"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415767EC"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4F0BEF23"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2E8479A8" w14:textId="513A9250"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45</w:t>
            </w:r>
          </w:p>
          <w:p w14:paraId="2B3BF3C8"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3603F9A7"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518D45C5"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33BA890F"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1628CCE8"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3649AC8F"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436DC05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478B400"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5D015AA8"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lang w:val="it-IT"/>
              </w:rPr>
            </w:pPr>
          </w:p>
          <w:p w14:paraId="17FFD68B"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lang w:val="it-IT"/>
              </w:rPr>
            </w:pPr>
          </w:p>
          <w:p w14:paraId="7E06EB19"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51605DA9"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1107F58C"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00F6C029"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67DFA472"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7410B9A3" w14:textId="153686D7" w:rsidR="005F2AC9" w:rsidRPr="00A166D4" w:rsidRDefault="006F5716"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168 101 (male) 67 (female)</w:t>
            </w:r>
          </w:p>
        </w:tc>
        <w:tc>
          <w:tcPr>
            <w:tcW w:w="963" w:type="dxa"/>
            <w:tcBorders>
              <w:top w:val="single" w:sz="8" w:space="0" w:color="000000"/>
              <w:left w:val="single" w:sz="8" w:space="0" w:color="000000"/>
              <w:bottom w:val="single" w:sz="8" w:space="0" w:color="000000"/>
              <w:right w:val="single" w:sz="8" w:space="0" w:color="000000"/>
            </w:tcBorders>
            <w:shd w:val="clear" w:color="auto" w:fill="E2EFD9"/>
          </w:tcPr>
          <w:p w14:paraId="40AE8951"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25%</w:t>
            </w:r>
          </w:p>
          <w:p w14:paraId="02D6BFDF"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038B8084"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19CE0BC5"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10A63770"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53A974BA"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26EFEC2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D42AD5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201C0E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2CE4478"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1443B466"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50214C26"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7851F18C" w14:textId="046C7716"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40</w:t>
            </w:r>
          </w:p>
          <w:p w14:paraId="7AAC7853"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4590FAB8"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65EF3457"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24B7E318"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3D8FE25D"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53EBF109"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1D8ACBA6"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4CD66178"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lang w:val="it-IT"/>
              </w:rPr>
            </w:pPr>
          </w:p>
          <w:p w14:paraId="576623AA"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lang w:val="it-IT"/>
              </w:rPr>
            </w:pPr>
          </w:p>
          <w:p w14:paraId="70B36FE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F8D5A31"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0C4AECFF"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1583E1E9"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2DBCA2F6"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65404FBD"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46B7088F" w14:textId="38C47EC6" w:rsidR="005F2AC9" w:rsidRPr="00A166D4" w:rsidRDefault="006F5716"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87.11 113.09 (male) 59.75 (female)</w:t>
            </w:r>
            <w:r w:rsidR="00B56839" w:rsidRPr="00A166D4">
              <w:rPr>
                <w:rFonts w:ascii="Times New Roman" w:eastAsia="Times New Roman" w:hAnsi="Times New Roman" w:cs="Times New Roman"/>
                <w:color w:val="000000" w:themeColor="text1"/>
                <w:sz w:val="24"/>
                <w:szCs w:val="24"/>
                <w:lang w:val="it-IT"/>
              </w:rPr>
              <w:t xml:space="preserve"> </w:t>
            </w:r>
          </w:p>
          <w:p w14:paraId="76D032B5"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2C364503"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39025649"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29B51253"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tc>
        <w:tc>
          <w:tcPr>
            <w:tcW w:w="1175" w:type="dxa"/>
            <w:tcBorders>
              <w:top w:val="single" w:sz="8" w:space="0" w:color="000000"/>
              <w:left w:val="single" w:sz="8" w:space="0" w:color="000000"/>
              <w:bottom w:val="single" w:sz="8" w:space="0" w:color="000000"/>
              <w:right w:val="single" w:sz="8" w:space="0" w:color="000000"/>
            </w:tcBorders>
            <w:shd w:val="clear" w:color="auto" w:fill="E2EFD9"/>
          </w:tcPr>
          <w:p w14:paraId="7DDC0A6A" w14:textId="77777777" w:rsidR="006F5716" w:rsidRPr="00A166D4" w:rsidRDefault="006F5716"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SSS / administrative data / NSPS monitoring report</w:t>
            </w:r>
          </w:p>
          <w:p w14:paraId="414B02F1" w14:textId="77777777" w:rsidR="006F5716" w:rsidRPr="00A166D4" w:rsidRDefault="006F5716" w:rsidP="00A166D4">
            <w:pPr>
              <w:spacing w:before="0" w:after="0"/>
              <w:jc w:val="both"/>
              <w:rPr>
                <w:rFonts w:ascii="Times New Roman" w:eastAsia="Times New Roman" w:hAnsi="Times New Roman" w:cs="Times New Roman"/>
                <w:color w:val="000000" w:themeColor="text1"/>
                <w:sz w:val="24"/>
                <w:szCs w:val="24"/>
                <w:lang w:val="it-CH"/>
              </w:rPr>
            </w:pPr>
          </w:p>
          <w:p w14:paraId="6887AB49" w14:textId="77777777" w:rsidR="00A0168A" w:rsidRDefault="00B56839"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 xml:space="preserve"> </w:t>
            </w:r>
          </w:p>
          <w:p w14:paraId="5141DDC0"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CH"/>
              </w:rPr>
            </w:pPr>
          </w:p>
          <w:p w14:paraId="760C626A"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CH"/>
              </w:rPr>
            </w:pPr>
          </w:p>
          <w:p w14:paraId="2DA1A22F"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CH"/>
              </w:rPr>
            </w:pPr>
          </w:p>
          <w:p w14:paraId="675A3B81"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CH"/>
              </w:rPr>
            </w:pPr>
          </w:p>
          <w:p w14:paraId="4E8D09E2" w14:textId="2CD7A178" w:rsidR="005F2AC9" w:rsidRPr="00A166D4" w:rsidRDefault="006F5716"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SSS / administrative data / NSPS monitoring report</w:t>
            </w:r>
            <w:r w:rsidR="00B56839" w:rsidRPr="00A166D4">
              <w:rPr>
                <w:rFonts w:ascii="Times New Roman" w:eastAsia="Times New Roman" w:hAnsi="Times New Roman" w:cs="Times New Roman"/>
                <w:color w:val="000000" w:themeColor="text1"/>
                <w:sz w:val="24"/>
                <w:szCs w:val="24"/>
                <w:lang w:val="it-CH"/>
              </w:rPr>
              <w:t xml:space="preserve"> </w:t>
            </w:r>
          </w:p>
          <w:p w14:paraId="13C104BC"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 xml:space="preserve"> </w:t>
            </w:r>
          </w:p>
          <w:p w14:paraId="04732041"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lang w:val="it-CH"/>
              </w:rPr>
            </w:pPr>
          </w:p>
          <w:p w14:paraId="4FA91BE1"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lang w:val="it-CH"/>
              </w:rPr>
            </w:pPr>
          </w:p>
          <w:p w14:paraId="6EDF6DC5"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 xml:space="preserve"> </w:t>
            </w:r>
          </w:p>
          <w:p w14:paraId="02CF67C2"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5ABB0416"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24C1BEF8"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0DA564DB"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2C2A073E"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259D5782"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1C320979" w14:textId="63649B0E"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rPr>
              <w:t>INSTAT / SSS</w:t>
            </w:r>
            <w:r w:rsidR="00B56839" w:rsidRPr="00A166D4">
              <w:rPr>
                <w:rFonts w:ascii="Times New Roman" w:eastAsia="Times New Roman" w:hAnsi="Times New Roman" w:cs="Times New Roman"/>
                <w:color w:val="000000" w:themeColor="text1"/>
                <w:sz w:val="24"/>
                <w:szCs w:val="24"/>
                <w:lang w:val="it-IT"/>
              </w:rPr>
              <w:t xml:space="preserve"> </w:t>
            </w:r>
          </w:p>
        </w:tc>
        <w:tc>
          <w:tcPr>
            <w:tcW w:w="1033" w:type="dxa"/>
            <w:tcBorders>
              <w:top w:val="single" w:sz="8" w:space="0" w:color="000000"/>
              <w:left w:val="single" w:sz="8" w:space="0" w:color="000000"/>
              <w:bottom w:val="single" w:sz="8" w:space="0" w:color="000000"/>
              <w:right w:val="single" w:sz="8" w:space="0" w:color="000000"/>
            </w:tcBorders>
            <w:shd w:val="clear" w:color="auto" w:fill="E2EFD9"/>
          </w:tcPr>
          <w:p w14:paraId="5566B447" w14:textId="404CE0A5" w:rsidR="005F2AC9" w:rsidRPr="00A166D4" w:rsidRDefault="006F5716"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EU Programme Document for Social Inclusion</w:t>
            </w:r>
            <w:r w:rsidR="00B56839" w:rsidRPr="00A166D4">
              <w:rPr>
                <w:rFonts w:ascii="Times New Roman" w:eastAsia="Times New Roman" w:hAnsi="Times New Roman" w:cs="Times New Roman"/>
                <w:color w:val="000000" w:themeColor="text1"/>
                <w:sz w:val="24"/>
                <w:szCs w:val="24"/>
                <w:lang w:val="it-IT"/>
              </w:rPr>
              <w:t xml:space="preserve"> </w:t>
            </w:r>
          </w:p>
          <w:p w14:paraId="601EEC0C"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0641A67D"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595AD568"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4F7C95D2"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7CC1CDDE" w14:textId="0CB9D066" w:rsidR="005F2AC9" w:rsidRPr="00A166D4" w:rsidRDefault="006F5716"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EU Programme Document for Social Inclusion</w:t>
            </w:r>
            <w:r w:rsidR="00B56839" w:rsidRPr="00A166D4">
              <w:rPr>
                <w:rFonts w:ascii="Times New Roman" w:eastAsia="Times New Roman" w:hAnsi="Times New Roman" w:cs="Times New Roman"/>
                <w:color w:val="000000" w:themeColor="text1"/>
                <w:sz w:val="24"/>
                <w:szCs w:val="24"/>
                <w:lang w:val="it-IT"/>
              </w:rPr>
              <w:t xml:space="preserve"> </w:t>
            </w:r>
          </w:p>
          <w:p w14:paraId="3203BFF3"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54E7A252"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259F5E68"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lang w:val="it-IT"/>
              </w:rPr>
            </w:pPr>
          </w:p>
          <w:p w14:paraId="6DF5832F"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lang w:val="it-IT"/>
              </w:rPr>
            </w:pPr>
          </w:p>
          <w:p w14:paraId="554B03D9"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58036977"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7C4FC674"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313834E0"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315EF9C4" w14:textId="1B7D4E79"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SDG – 10.4, 10.2 SDG 10.2 1.3.1; 5.4.1</w:t>
            </w:r>
          </w:p>
          <w:p w14:paraId="23A0B04B"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tc>
      </w:tr>
      <w:tr w:rsidR="005F2AC9" w:rsidRPr="00A166D4" w14:paraId="41F5B9DF" w14:textId="77777777" w:rsidTr="00B84A02">
        <w:trPr>
          <w:trHeight w:val="3085"/>
        </w:trPr>
        <w:tc>
          <w:tcPr>
            <w:tcW w:w="884" w:type="dxa"/>
            <w:vMerge w:val="restart"/>
            <w:tcBorders>
              <w:top w:val="single" w:sz="8" w:space="0" w:color="000000"/>
              <w:left w:val="single" w:sz="8" w:space="0" w:color="000000"/>
              <w:bottom w:val="single" w:sz="6" w:space="0" w:color="000000"/>
              <w:right w:val="single" w:sz="8" w:space="0" w:color="000000"/>
            </w:tcBorders>
            <w:shd w:val="clear" w:color="auto" w:fill="FFF2CC"/>
            <w:vAlign w:val="center"/>
          </w:tcPr>
          <w:p w14:paraId="6CF0BB3A" w14:textId="72B9ED51" w:rsidR="005F2AC9" w:rsidRPr="00A166D4" w:rsidRDefault="00B84A02" w:rsidP="00A166D4">
            <w:pPr>
              <w:spacing w:before="0" w:after="0"/>
              <w:jc w:val="both"/>
              <w:rPr>
                <w:rFonts w:ascii="Times New Roman" w:eastAsia="Times New Roman" w:hAnsi="Times New Roman" w:cs="Times New Roman"/>
                <w:b/>
                <w:bCs/>
                <w:color w:val="000000" w:themeColor="text1"/>
                <w:sz w:val="24"/>
                <w:szCs w:val="24"/>
                <w:u w:val="single"/>
                <w:lang w:val="sq-AL"/>
              </w:rPr>
            </w:pPr>
            <w:r w:rsidRPr="00A166D4">
              <w:rPr>
                <w:rFonts w:ascii="Times New Roman" w:eastAsia="Times New Roman" w:hAnsi="Times New Roman" w:cs="Times New Roman"/>
                <w:b/>
                <w:bCs/>
                <w:color w:val="000000" w:themeColor="text1"/>
                <w:sz w:val="24"/>
                <w:szCs w:val="24"/>
                <w:u w:val="single"/>
                <w:lang w:val="sq-AL"/>
              </w:rPr>
              <w:t>Specific/strategic objective</w:t>
            </w:r>
          </w:p>
        </w:tc>
        <w:tc>
          <w:tcPr>
            <w:tcW w:w="1659" w:type="dxa"/>
            <w:tcBorders>
              <w:top w:val="single" w:sz="8" w:space="0" w:color="000000"/>
              <w:left w:val="single" w:sz="8" w:space="0" w:color="000000"/>
              <w:bottom w:val="single" w:sz="8" w:space="0" w:color="000000"/>
              <w:right w:val="single" w:sz="8" w:space="0" w:color="000000"/>
            </w:tcBorders>
            <w:shd w:val="clear" w:color="auto" w:fill="FFF2CC"/>
          </w:tcPr>
          <w:p w14:paraId="6A4B9FE5" w14:textId="3484E38A"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B1. Consolidation of the decentralisation process of social care services for sustainable and gender-responsive financing, geographical coverage, accessibility and responsiveness to crises and emergencies</w:t>
            </w:r>
          </w:p>
        </w:tc>
        <w:tc>
          <w:tcPr>
            <w:tcW w:w="1662" w:type="dxa"/>
            <w:tcBorders>
              <w:top w:val="single" w:sz="8" w:space="0" w:color="000000"/>
              <w:left w:val="single" w:sz="8" w:space="0" w:color="000000"/>
              <w:bottom w:val="single" w:sz="8" w:space="0" w:color="000000"/>
              <w:right w:val="single" w:sz="8" w:space="0" w:color="000000"/>
            </w:tcBorders>
            <w:shd w:val="clear" w:color="auto" w:fill="FFF2CC"/>
          </w:tcPr>
          <w:p w14:paraId="6B68C01F" w14:textId="7BD9D051"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Number of new social care services provided at the local and regional level (by typology) through the Social Fund</w:t>
            </w:r>
            <w:r w:rsidR="00B56839" w:rsidRPr="00A166D4">
              <w:rPr>
                <w:rFonts w:ascii="Times New Roman" w:eastAsia="Times New Roman" w:hAnsi="Times New Roman" w:cs="Times New Roman"/>
                <w:color w:val="000000" w:themeColor="text1"/>
                <w:sz w:val="24"/>
                <w:szCs w:val="24"/>
                <w:lang w:val="sq-AL"/>
              </w:rPr>
              <w:t xml:space="preserve"> </w:t>
            </w:r>
          </w:p>
          <w:p w14:paraId="2C9F4FE3"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 xml:space="preserve"> </w:t>
            </w:r>
          </w:p>
          <w:p w14:paraId="76C87D38"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 xml:space="preserve"> </w:t>
            </w:r>
          </w:p>
          <w:p w14:paraId="2A105E92" w14:textId="53D840B0"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Social Fund as part of the annual budget of the Ministry of Health and Social Welfare</w:t>
            </w:r>
            <w:r w:rsidR="00B56839" w:rsidRPr="00A166D4">
              <w:rPr>
                <w:rFonts w:ascii="Times New Roman" w:eastAsia="Times New Roman" w:hAnsi="Times New Roman" w:cs="Times New Roman"/>
                <w:color w:val="000000" w:themeColor="text1"/>
                <w:sz w:val="24"/>
                <w:szCs w:val="24"/>
                <w:lang w:val="sq-AL"/>
              </w:rPr>
              <w:t xml:space="preserve"> </w:t>
            </w:r>
          </w:p>
          <w:p w14:paraId="5108CB86"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 xml:space="preserve"> </w:t>
            </w:r>
          </w:p>
        </w:tc>
        <w:tc>
          <w:tcPr>
            <w:tcW w:w="987" w:type="dxa"/>
            <w:tcBorders>
              <w:top w:val="single" w:sz="8" w:space="0" w:color="000000"/>
              <w:left w:val="single" w:sz="8" w:space="0" w:color="000000"/>
              <w:bottom w:val="single" w:sz="8" w:space="0" w:color="000000"/>
              <w:right w:val="single" w:sz="8" w:space="0" w:color="000000"/>
            </w:tcBorders>
            <w:shd w:val="clear" w:color="auto" w:fill="FFF2CC"/>
          </w:tcPr>
          <w:p w14:paraId="6C4E57B1" w14:textId="1E83C903" w:rsidR="005F2AC9" w:rsidRPr="00A166D4" w:rsidRDefault="00B84A02"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15 new services (year 2022)</w:t>
            </w:r>
            <w:r w:rsidR="00B56839" w:rsidRPr="00A166D4">
              <w:rPr>
                <w:rFonts w:ascii="Times New Roman" w:eastAsia="Times New Roman" w:hAnsi="Times New Roman" w:cs="Times New Roman"/>
                <w:color w:val="000000" w:themeColor="text1"/>
                <w:sz w:val="24"/>
                <w:szCs w:val="24"/>
              </w:rPr>
              <w:t xml:space="preserve"> </w:t>
            </w:r>
          </w:p>
          <w:p w14:paraId="14871E36"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E9EA94E"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7D1C4D7"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5794C1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968DBFC"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C78B840"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39336DD0"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4D1859F4" w14:textId="4E414651" w:rsidR="005F2AC9" w:rsidRPr="00A166D4" w:rsidRDefault="00B84A02"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200 million ALL</w:t>
            </w:r>
            <w:r w:rsidR="00B56839" w:rsidRPr="00A166D4">
              <w:rPr>
                <w:rFonts w:ascii="Times New Roman" w:eastAsia="Times New Roman" w:hAnsi="Times New Roman" w:cs="Times New Roman"/>
                <w:color w:val="000000" w:themeColor="text1"/>
                <w:sz w:val="24"/>
                <w:szCs w:val="24"/>
              </w:rPr>
              <w:t xml:space="preserve"> </w:t>
            </w:r>
          </w:p>
          <w:p w14:paraId="3A3FC387"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B3CDC5F"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28DF098C"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F7DFBF5"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F378D0A"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tc>
        <w:tc>
          <w:tcPr>
            <w:tcW w:w="886" w:type="dxa"/>
            <w:tcBorders>
              <w:top w:val="single" w:sz="8" w:space="0" w:color="000000"/>
              <w:left w:val="single" w:sz="8" w:space="0" w:color="000000"/>
              <w:bottom w:val="single" w:sz="8" w:space="0" w:color="000000"/>
              <w:right w:val="single" w:sz="8" w:space="0" w:color="000000"/>
            </w:tcBorders>
            <w:shd w:val="clear" w:color="auto" w:fill="FFF2CC"/>
          </w:tcPr>
          <w:p w14:paraId="1CE8339A" w14:textId="7DFCDFC2" w:rsidR="005F2AC9" w:rsidRPr="00A166D4" w:rsidRDefault="00B84A02"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38 new services</w:t>
            </w:r>
            <w:r w:rsidR="00B56839" w:rsidRPr="00A166D4">
              <w:rPr>
                <w:rFonts w:ascii="Times New Roman" w:eastAsia="Times New Roman" w:hAnsi="Times New Roman" w:cs="Times New Roman"/>
                <w:color w:val="000000" w:themeColor="text1"/>
                <w:sz w:val="24"/>
                <w:szCs w:val="24"/>
              </w:rPr>
              <w:t xml:space="preserve"> </w:t>
            </w:r>
          </w:p>
          <w:p w14:paraId="13105159"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40D71DC"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2D5FD68"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26675B9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66329842"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67B098C"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4F53D7C2"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3E081057" w14:textId="292A1AD3" w:rsidR="005F2AC9" w:rsidRPr="00A166D4" w:rsidRDefault="00B84A02"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700 million ALL (2024 + 2025)</w:t>
            </w:r>
          </w:p>
        </w:tc>
        <w:tc>
          <w:tcPr>
            <w:tcW w:w="963" w:type="dxa"/>
            <w:tcBorders>
              <w:top w:val="single" w:sz="8" w:space="0" w:color="000000"/>
              <w:left w:val="single" w:sz="8" w:space="0" w:color="000000"/>
              <w:bottom w:val="single" w:sz="8" w:space="0" w:color="000000"/>
              <w:right w:val="single" w:sz="8" w:space="0" w:color="000000"/>
            </w:tcBorders>
            <w:shd w:val="clear" w:color="auto" w:fill="FFF2CC"/>
          </w:tcPr>
          <w:p w14:paraId="63DD4844" w14:textId="7FB65F49" w:rsidR="005F2AC9" w:rsidRPr="00A166D4" w:rsidRDefault="00B84A02"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40 new services</w:t>
            </w:r>
            <w:r w:rsidR="00B56839" w:rsidRPr="00A166D4">
              <w:rPr>
                <w:rFonts w:ascii="Times New Roman" w:eastAsia="Times New Roman" w:hAnsi="Times New Roman" w:cs="Times New Roman"/>
                <w:color w:val="000000" w:themeColor="text1"/>
                <w:sz w:val="24"/>
                <w:szCs w:val="24"/>
              </w:rPr>
              <w:t xml:space="preserve"> </w:t>
            </w:r>
          </w:p>
          <w:p w14:paraId="3B2A3876"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DC4E5F3"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5B6885F"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269A9056"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129FF55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4C154723"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0CDD1F52"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22BDA7F0"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1D93794D" w14:textId="1A073D0C" w:rsidR="005F2AC9" w:rsidRPr="00A166D4" w:rsidRDefault="00B84A02"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500 million ALL</w:t>
            </w:r>
          </w:p>
        </w:tc>
        <w:tc>
          <w:tcPr>
            <w:tcW w:w="1175" w:type="dxa"/>
            <w:tcBorders>
              <w:top w:val="single" w:sz="8" w:space="0" w:color="000000"/>
              <w:left w:val="single" w:sz="8" w:space="0" w:color="000000"/>
              <w:bottom w:val="single" w:sz="8" w:space="0" w:color="000000"/>
              <w:right w:val="single" w:sz="8" w:space="0" w:color="000000"/>
            </w:tcBorders>
            <w:shd w:val="clear" w:color="auto" w:fill="FFF2CC"/>
          </w:tcPr>
          <w:p w14:paraId="6C5594BB" w14:textId="11128AB8"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SSS / administrative data</w:t>
            </w:r>
            <w:r w:rsidR="00B56839" w:rsidRPr="00A166D4">
              <w:rPr>
                <w:rFonts w:ascii="Times New Roman" w:eastAsia="Times New Roman" w:hAnsi="Times New Roman" w:cs="Times New Roman"/>
                <w:color w:val="000000" w:themeColor="text1"/>
                <w:sz w:val="24"/>
                <w:szCs w:val="24"/>
                <w:lang w:val="it-CH"/>
              </w:rPr>
              <w:t xml:space="preserve"> </w:t>
            </w:r>
          </w:p>
          <w:p w14:paraId="2A37BFDF"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 xml:space="preserve"> </w:t>
            </w:r>
          </w:p>
          <w:p w14:paraId="37C8A441"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 xml:space="preserve"> </w:t>
            </w:r>
          </w:p>
          <w:p w14:paraId="27522E14"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 xml:space="preserve"> </w:t>
            </w:r>
          </w:p>
          <w:p w14:paraId="16BE6E4A"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 xml:space="preserve"> </w:t>
            </w:r>
          </w:p>
          <w:p w14:paraId="1CC12436"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CH"/>
              </w:rPr>
            </w:pPr>
          </w:p>
          <w:p w14:paraId="124F26FC"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CH"/>
              </w:rPr>
            </w:pPr>
          </w:p>
          <w:p w14:paraId="23BB634B"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CH"/>
              </w:rPr>
            </w:pPr>
          </w:p>
          <w:p w14:paraId="45D1C8F0"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CH"/>
              </w:rPr>
            </w:pPr>
          </w:p>
          <w:p w14:paraId="2299C921" w14:textId="66DCF5E2"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SSS / administrative data / NSPS monitoring report</w:t>
            </w:r>
          </w:p>
        </w:tc>
        <w:tc>
          <w:tcPr>
            <w:tcW w:w="1033" w:type="dxa"/>
            <w:tcBorders>
              <w:top w:val="single" w:sz="8" w:space="0" w:color="000000"/>
              <w:left w:val="single" w:sz="8" w:space="0" w:color="000000"/>
              <w:bottom w:val="single" w:sz="8" w:space="0" w:color="000000"/>
              <w:right w:val="single" w:sz="8" w:space="0" w:color="000000"/>
            </w:tcBorders>
            <w:shd w:val="clear" w:color="auto" w:fill="FFF2CC"/>
          </w:tcPr>
          <w:p w14:paraId="3A62E651" w14:textId="2039068B"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EU Programme Document for Social Inclusion</w:t>
            </w:r>
            <w:r w:rsidR="00B56839" w:rsidRPr="00A166D4">
              <w:rPr>
                <w:rFonts w:ascii="Times New Roman" w:eastAsia="Times New Roman" w:hAnsi="Times New Roman" w:cs="Times New Roman"/>
                <w:color w:val="000000" w:themeColor="text1"/>
                <w:sz w:val="24"/>
                <w:szCs w:val="24"/>
                <w:lang w:val="it-IT"/>
              </w:rPr>
              <w:t xml:space="preserve"> </w:t>
            </w:r>
          </w:p>
          <w:p w14:paraId="7F2A851E"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1D41D772"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25926EB1"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IT"/>
              </w:rPr>
            </w:pPr>
          </w:p>
          <w:p w14:paraId="61818C71" w14:textId="7DAD388A"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NSDEI / Social Cohesion Objective / Social Protection</w:t>
            </w:r>
            <w:r w:rsidR="00B56839" w:rsidRPr="00A166D4">
              <w:rPr>
                <w:rFonts w:ascii="Times New Roman" w:eastAsia="Times New Roman" w:hAnsi="Times New Roman" w:cs="Times New Roman"/>
                <w:color w:val="000000" w:themeColor="text1"/>
                <w:sz w:val="24"/>
                <w:szCs w:val="24"/>
                <w:lang w:val="it-IT"/>
              </w:rPr>
              <w:t xml:space="preserve"> </w:t>
            </w:r>
          </w:p>
        </w:tc>
      </w:tr>
      <w:tr w:rsidR="005F2AC9" w:rsidRPr="00A166D4" w14:paraId="49AF5B30" w14:textId="77777777">
        <w:trPr>
          <w:trHeight w:val="300"/>
        </w:trPr>
        <w:tc>
          <w:tcPr>
            <w:tcW w:w="884" w:type="dxa"/>
            <w:vMerge/>
            <w:tcBorders>
              <w:left w:val="single" w:sz="6" w:space="0" w:color="000000"/>
              <w:right w:val="single" w:sz="6" w:space="0" w:color="000000"/>
            </w:tcBorders>
            <w:vAlign w:val="center"/>
          </w:tcPr>
          <w:p w14:paraId="0AE8834C" w14:textId="77777777" w:rsidR="005F2AC9" w:rsidRPr="00A166D4" w:rsidRDefault="005F2AC9" w:rsidP="00A166D4">
            <w:pPr>
              <w:spacing w:before="0" w:after="0"/>
              <w:jc w:val="both"/>
              <w:rPr>
                <w:rFonts w:ascii="Times New Roman" w:hAnsi="Times New Roman" w:cs="Times New Roman"/>
                <w:color w:val="000000" w:themeColor="text1"/>
                <w:sz w:val="24"/>
                <w:szCs w:val="24"/>
              </w:rPr>
            </w:pPr>
          </w:p>
        </w:tc>
        <w:tc>
          <w:tcPr>
            <w:tcW w:w="1659" w:type="dxa"/>
            <w:tcBorders>
              <w:top w:val="single" w:sz="8" w:space="0" w:color="000000"/>
              <w:left w:val="nil"/>
              <w:bottom w:val="single" w:sz="8" w:space="0" w:color="000000"/>
              <w:right w:val="single" w:sz="8" w:space="0" w:color="000000"/>
            </w:tcBorders>
            <w:shd w:val="clear" w:color="auto" w:fill="FFF2CC"/>
          </w:tcPr>
          <w:p w14:paraId="7AA04942" w14:textId="46465B4D"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B2: Implementation of standards and strengthening of the human capacities of social care services personnel for quality and gender-responsive services.</w:t>
            </w:r>
            <w:r w:rsidR="00B56839" w:rsidRPr="00A166D4">
              <w:rPr>
                <w:rFonts w:ascii="Times New Roman" w:eastAsia="Times New Roman" w:hAnsi="Times New Roman" w:cs="Times New Roman"/>
                <w:color w:val="000000" w:themeColor="text1"/>
                <w:sz w:val="24"/>
                <w:szCs w:val="24"/>
                <w:lang w:val="it-IT"/>
              </w:rPr>
              <w:t xml:space="preserve"> </w:t>
            </w:r>
          </w:p>
        </w:tc>
        <w:tc>
          <w:tcPr>
            <w:tcW w:w="1662" w:type="dxa"/>
            <w:tcBorders>
              <w:top w:val="single" w:sz="8" w:space="0" w:color="000000"/>
              <w:left w:val="single" w:sz="8" w:space="0" w:color="000000"/>
              <w:bottom w:val="single" w:sz="8" w:space="0" w:color="000000"/>
              <w:right w:val="single" w:sz="8" w:space="0" w:color="000000"/>
            </w:tcBorders>
            <w:shd w:val="clear" w:color="auto" w:fill="FFF2CC"/>
          </w:tcPr>
          <w:p w14:paraId="6C908051" w14:textId="55177A76"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Number of accredited public and non-public social services (by typology)</w:t>
            </w:r>
            <w:r w:rsidR="00B56839" w:rsidRPr="00A166D4">
              <w:rPr>
                <w:rFonts w:ascii="Times New Roman" w:eastAsia="Times New Roman" w:hAnsi="Times New Roman" w:cs="Times New Roman"/>
                <w:color w:val="000000" w:themeColor="text1"/>
                <w:sz w:val="24"/>
                <w:szCs w:val="24"/>
                <w:lang w:val="it-IT"/>
              </w:rPr>
              <w:t xml:space="preserve"> </w:t>
            </w:r>
          </w:p>
          <w:p w14:paraId="7E9789D9"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169055BA"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3A3578D8"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3069B9C1"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6307FF4C"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44D9ECD0" w14:textId="2A062DE1"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Number of social care services personnel trained in the implementation of service standards (by gender and service typology)</w:t>
            </w:r>
          </w:p>
        </w:tc>
        <w:tc>
          <w:tcPr>
            <w:tcW w:w="987" w:type="dxa"/>
            <w:tcBorders>
              <w:top w:val="single" w:sz="8" w:space="0" w:color="000000"/>
              <w:left w:val="single" w:sz="8" w:space="0" w:color="000000"/>
              <w:bottom w:val="single" w:sz="8" w:space="0" w:color="000000"/>
              <w:right w:val="single" w:sz="8" w:space="0" w:color="000000"/>
            </w:tcBorders>
            <w:shd w:val="clear" w:color="auto" w:fill="FFF2CC"/>
          </w:tcPr>
          <w:p w14:paraId="775EB81B"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N/a</w:t>
            </w:r>
          </w:p>
          <w:p w14:paraId="07C9EE21"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8C12773"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5136136"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38526D0"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62EDD5F"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EEF36E4"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A199734"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2CA7F9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7EB6A63F"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rPr>
            </w:pPr>
          </w:p>
          <w:p w14:paraId="3D8D3ADD"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E1811EA" w14:textId="1DDEACD4" w:rsidR="005F2AC9" w:rsidRPr="00A166D4" w:rsidRDefault="00B84A02"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81 (year 2023)</w:t>
            </w:r>
          </w:p>
        </w:tc>
        <w:tc>
          <w:tcPr>
            <w:tcW w:w="886" w:type="dxa"/>
            <w:tcBorders>
              <w:top w:val="single" w:sz="8" w:space="0" w:color="000000"/>
              <w:left w:val="single" w:sz="8" w:space="0" w:color="000000"/>
              <w:bottom w:val="single" w:sz="8" w:space="0" w:color="000000"/>
              <w:right w:val="single" w:sz="8" w:space="0" w:color="000000"/>
            </w:tcBorders>
            <w:shd w:val="clear" w:color="auto" w:fill="FFF2CC"/>
          </w:tcPr>
          <w:p w14:paraId="2C7431D9"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N/A</w:t>
            </w:r>
          </w:p>
          <w:p w14:paraId="00A924C8"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3F4C30D"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FEBC4FC"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62F0AEEB"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6735020"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0D5C4E6"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3EF8D4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080B17C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p w14:paraId="2C9C48B2"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1DA599B"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rPr>
            </w:pPr>
          </w:p>
          <w:p w14:paraId="029DA3DE"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rPr>
              <w:t>262</w:t>
            </w:r>
          </w:p>
        </w:tc>
        <w:tc>
          <w:tcPr>
            <w:tcW w:w="963" w:type="dxa"/>
            <w:tcBorders>
              <w:top w:val="single" w:sz="8" w:space="0" w:color="000000"/>
              <w:left w:val="single" w:sz="8" w:space="0" w:color="000000"/>
              <w:bottom w:val="single" w:sz="8" w:space="0" w:color="000000"/>
              <w:right w:val="single" w:sz="8" w:space="0" w:color="000000"/>
            </w:tcBorders>
            <w:shd w:val="clear" w:color="auto" w:fill="FFF2CC"/>
          </w:tcPr>
          <w:p w14:paraId="59A810B0" w14:textId="6FE97458" w:rsidR="005F2AC9" w:rsidRPr="00A166D4" w:rsidRDefault="00B84A02"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20 public care institutions</w:t>
            </w:r>
            <w:r w:rsidR="00B56839" w:rsidRPr="00A166D4">
              <w:rPr>
                <w:rFonts w:ascii="Times New Roman" w:eastAsia="Times New Roman" w:hAnsi="Times New Roman" w:cs="Times New Roman"/>
                <w:color w:val="000000" w:themeColor="text1"/>
                <w:sz w:val="24"/>
                <w:szCs w:val="24"/>
              </w:rPr>
              <w:t xml:space="preserve"> </w:t>
            </w:r>
          </w:p>
          <w:p w14:paraId="1F950655"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320AEEA"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07E31E27"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2F087B29"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3954DE6"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rPr>
            </w:pPr>
          </w:p>
          <w:p w14:paraId="7369A830"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766208A"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290</w:t>
            </w:r>
          </w:p>
          <w:p w14:paraId="63FB2592"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4DD5145"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298387E1"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360084FA"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4CFA342D"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tc>
        <w:tc>
          <w:tcPr>
            <w:tcW w:w="1175" w:type="dxa"/>
            <w:tcBorders>
              <w:top w:val="single" w:sz="8" w:space="0" w:color="000000"/>
              <w:left w:val="single" w:sz="8" w:space="0" w:color="000000"/>
              <w:bottom w:val="single" w:sz="8" w:space="0" w:color="000000"/>
              <w:right w:val="single" w:sz="8" w:space="0" w:color="000000"/>
            </w:tcBorders>
            <w:shd w:val="clear" w:color="auto" w:fill="FFF2CC"/>
          </w:tcPr>
          <w:p w14:paraId="4D993A9E" w14:textId="7C9B7C7A"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Accreditation and Continuing Training Agency / administrative data</w:t>
            </w:r>
            <w:r w:rsidR="00B56839" w:rsidRPr="00A166D4">
              <w:rPr>
                <w:rFonts w:ascii="Times New Roman" w:eastAsia="Times New Roman" w:hAnsi="Times New Roman" w:cs="Times New Roman"/>
                <w:color w:val="000000" w:themeColor="text1"/>
                <w:sz w:val="24"/>
                <w:szCs w:val="24"/>
                <w:lang w:val="it-CH"/>
              </w:rPr>
              <w:t xml:space="preserve"> </w:t>
            </w:r>
          </w:p>
          <w:p w14:paraId="0A6AAE4C"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 xml:space="preserve"> </w:t>
            </w:r>
          </w:p>
          <w:p w14:paraId="70AC5C42"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lang w:val="it-CH"/>
              </w:rPr>
            </w:pPr>
          </w:p>
          <w:p w14:paraId="1F5C3EB9"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lang w:val="it-CH"/>
              </w:rPr>
            </w:pPr>
          </w:p>
          <w:p w14:paraId="39AD467E" w14:textId="6B1BEF9A"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it-CH"/>
              </w:rPr>
            </w:pPr>
            <w:r w:rsidRPr="00A166D4">
              <w:rPr>
                <w:rFonts w:ascii="Times New Roman" w:eastAsia="Times New Roman" w:hAnsi="Times New Roman" w:cs="Times New Roman"/>
                <w:color w:val="000000" w:themeColor="text1"/>
                <w:sz w:val="24"/>
                <w:szCs w:val="24"/>
                <w:lang w:val="it-CH"/>
              </w:rPr>
              <w:t>SSS / Accreditation and Continuing Training Agency / administrative data</w:t>
            </w:r>
          </w:p>
        </w:tc>
        <w:tc>
          <w:tcPr>
            <w:tcW w:w="1033" w:type="dxa"/>
            <w:tcBorders>
              <w:top w:val="single" w:sz="8" w:space="0" w:color="000000"/>
              <w:left w:val="single" w:sz="8" w:space="0" w:color="000000"/>
              <w:bottom w:val="single" w:sz="8" w:space="0" w:color="000000"/>
              <w:right w:val="single" w:sz="8" w:space="0" w:color="000000"/>
            </w:tcBorders>
            <w:shd w:val="clear" w:color="auto" w:fill="FFF2CC"/>
          </w:tcPr>
          <w:p w14:paraId="1A04EAC6" w14:textId="7159E802"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SDG 1.3, 10.2 5.4.1, 5.C1</w:t>
            </w:r>
          </w:p>
        </w:tc>
      </w:tr>
      <w:tr w:rsidR="005F2AC9" w:rsidRPr="00A166D4" w14:paraId="0FAF85C2" w14:textId="77777777">
        <w:trPr>
          <w:trHeight w:val="1545"/>
        </w:trPr>
        <w:tc>
          <w:tcPr>
            <w:tcW w:w="884" w:type="dxa"/>
            <w:vMerge/>
            <w:tcBorders>
              <w:top w:val="single" w:sz="6" w:space="0" w:color="000000"/>
              <w:left w:val="single" w:sz="6" w:space="0" w:color="000000"/>
              <w:bottom w:val="single" w:sz="6" w:space="0" w:color="000000"/>
              <w:right w:val="single" w:sz="6" w:space="0" w:color="000000"/>
            </w:tcBorders>
            <w:vAlign w:val="center"/>
          </w:tcPr>
          <w:p w14:paraId="674A0F2F" w14:textId="77777777" w:rsidR="005F2AC9" w:rsidRPr="00A166D4" w:rsidRDefault="005F2AC9" w:rsidP="00A166D4">
            <w:pPr>
              <w:spacing w:before="0" w:after="0"/>
              <w:jc w:val="both"/>
              <w:rPr>
                <w:rFonts w:ascii="Times New Roman" w:hAnsi="Times New Roman" w:cs="Times New Roman"/>
                <w:color w:val="000000" w:themeColor="text1"/>
                <w:sz w:val="24"/>
                <w:szCs w:val="24"/>
              </w:rPr>
            </w:pPr>
          </w:p>
        </w:tc>
        <w:tc>
          <w:tcPr>
            <w:tcW w:w="1659" w:type="dxa"/>
            <w:tcBorders>
              <w:top w:val="single" w:sz="8" w:space="0" w:color="000000"/>
              <w:left w:val="nil"/>
              <w:bottom w:val="single" w:sz="8" w:space="0" w:color="000000"/>
              <w:right w:val="single" w:sz="8" w:space="0" w:color="000000"/>
            </w:tcBorders>
            <w:shd w:val="clear" w:color="auto" w:fill="FFF2CC"/>
          </w:tcPr>
          <w:p w14:paraId="1F357A9B" w14:textId="112F8ADD"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sq-AL"/>
              </w:rPr>
            </w:pPr>
            <w:r w:rsidRPr="00A166D4">
              <w:rPr>
                <w:rFonts w:ascii="Times New Roman" w:eastAsia="Times New Roman" w:hAnsi="Times New Roman" w:cs="Times New Roman"/>
                <w:color w:val="000000" w:themeColor="text1"/>
                <w:sz w:val="24"/>
                <w:szCs w:val="24"/>
                <w:lang w:val="sq-AL"/>
              </w:rPr>
              <w:t>B3: Deinstitutionalisation of residential care services and transformation towards family-based, community-based and day care services, respecting the principle of human rights and gender perspectives.</w:t>
            </w:r>
          </w:p>
        </w:tc>
        <w:tc>
          <w:tcPr>
            <w:tcW w:w="1662" w:type="dxa"/>
            <w:tcBorders>
              <w:top w:val="single" w:sz="8" w:space="0" w:color="000000"/>
              <w:left w:val="single" w:sz="8" w:space="0" w:color="000000"/>
              <w:bottom w:val="single" w:sz="8" w:space="0" w:color="000000"/>
              <w:right w:val="single" w:sz="8" w:space="0" w:color="000000"/>
            </w:tcBorders>
            <w:shd w:val="clear" w:color="auto" w:fill="FFF2CC"/>
          </w:tcPr>
          <w:p w14:paraId="538DD8FA" w14:textId="6E26312B" w:rsidR="005F2AC9" w:rsidRPr="00A166D4" w:rsidRDefault="00B84A02" w:rsidP="00A166D4">
            <w:pPr>
              <w:spacing w:before="0" w:after="0"/>
              <w:jc w:val="both"/>
              <w:rPr>
                <w:rFonts w:ascii="Times New Roman" w:eastAsia="Times New Roman" w:hAnsi="Times New Roman" w:cs="Times New Roman"/>
                <w:color w:val="000000" w:themeColor="text1"/>
                <w:sz w:val="24"/>
                <w:szCs w:val="24"/>
                <w:highlight w:val="yellow"/>
                <w:lang w:val="it-CH"/>
              </w:rPr>
            </w:pPr>
            <w:r w:rsidRPr="00A166D4">
              <w:rPr>
                <w:rFonts w:ascii="Times New Roman" w:eastAsia="Times New Roman" w:hAnsi="Times New Roman" w:cs="Times New Roman"/>
                <w:color w:val="000000" w:themeColor="text1"/>
                <w:sz w:val="24"/>
                <w:szCs w:val="24"/>
                <w:lang w:val="it-CH"/>
              </w:rPr>
              <w:t>Rate of children aged 0–17 years in foster families (per 100,000)</w:t>
            </w:r>
            <w:r w:rsidR="00B56839" w:rsidRPr="00A166D4">
              <w:rPr>
                <w:rFonts w:ascii="Times New Roman" w:eastAsia="Times New Roman" w:hAnsi="Times New Roman" w:cs="Times New Roman"/>
                <w:color w:val="000000" w:themeColor="text1"/>
                <w:sz w:val="24"/>
                <w:szCs w:val="24"/>
                <w:highlight w:val="yellow"/>
                <w:lang w:val="it-CH"/>
              </w:rPr>
              <w:t xml:space="preserve"> </w:t>
            </w:r>
          </w:p>
          <w:p w14:paraId="03C9D10E"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lang w:val="it-CH"/>
              </w:rPr>
            </w:pPr>
            <w:r w:rsidRPr="00A166D4">
              <w:rPr>
                <w:rFonts w:ascii="Times New Roman" w:eastAsia="Times New Roman" w:hAnsi="Times New Roman" w:cs="Times New Roman"/>
                <w:color w:val="000000" w:themeColor="text1"/>
                <w:sz w:val="24"/>
                <w:szCs w:val="24"/>
                <w:highlight w:val="yellow"/>
                <w:lang w:val="it-CH"/>
              </w:rPr>
              <w:t xml:space="preserve"> </w:t>
            </w:r>
          </w:p>
          <w:p w14:paraId="7065BE94"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lang w:val="it-CH"/>
              </w:rPr>
            </w:pPr>
            <w:r w:rsidRPr="00A166D4">
              <w:rPr>
                <w:rFonts w:ascii="Times New Roman" w:eastAsia="Times New Roman" w:hAnsi="Times New Roman" w:cs="Times New Roman"/>
                <w:color w:val="000000" w:themeColor="text1"/>
                <w:sz w:val="24"/>
                <w:szCs w:val="24"/>
                <w:highlight w:val="yellow"/>
                <w:lang w:val="it-CH"/>
              </w:rPr>
              <w:t xml:space="preserve"> </w:t>
            </w:r>
          </w:p>
          <w:p w14:paraId="0A4D3253"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lang w:val="it-CH"/>
              </w:rPr>
            </w:pPr>
            <w:r w:rsidRPr="00A166D4">
              <w:rPr>
                <w:rFonts w:ascii="Times New Roman" w:eastAsia="Times New Roman" w:hAnsi="Times New Roman" w:cs="Times New Roman"/>
                <w:color w:val="000000" w:themeColor="text1"/>
                <w:sz w:val="24"/>
                <w:szCs w:val="24"/>
                <w:highlight w:val="yellow"/>
                <w:lang w:val="it-CH"/>
              </w:rPr>
              <w:t xml:space="preserve"> </w:t>
            </w:r>
          </w:p>
          <w:p w14:paraId="510538CE" w14:textId="77777777" w:rsidR="00B84A02" w:rsidRPr="00A166D4" w:rsidRDefault="00B84A02" w:rsidP="00A166D4">
            <w:pPr>
              <w:spacing w:before="0" w:after="0"/>
              <w:jc w:val="both"/>
              <w:rPr>
                <w:rFonts w:ascii="Times New Roman" w:hAnsi="Times New Roman" w:cs="Times New Roman"/>
                <w:sz w:val="24"/>
                <w:szCs w:val="24"/>
              </w:rPr>
            </w:pPr>
            <w:r w:rsidRPr="00A166D4">
              <w:rPr>
                <w:rFonts w:ascii="Times New Roman" w:hAnsi="Times New Roman" w:cs="Times New Roman"/>
                <w:sz w:val="24"/>
                <w:szCs w:val="24"/>
              </w:rPr>
              <w:t>Ratio of children with disabilities to the total number of children in residential care centres at the end of the year (percentage)</w:t>
            </w:r>
          </w:p>
          <w:p w14:paraId="0FCE38DF" w14:textId="1160FE3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lang w:val="it-CH"/>
              </w:rPr>
            </w:pPr>
            <w:r w:rsidRPr="00A166D4">
              <w:rPr>
                <w:rFonts w:ascii="Times New Roman" w:eastAsia="Times New Roman" w:hAnsi="Times New Roman" w:cs="Times New Roman"/>
                <w:color w:val="000000" w:themeColor="text1"/>
                <w:sz w:val="24"/>
                <w:szCs w:val="24"/>
                <w:highlight w:val="yellow"/>
                <w:lang w:val="it-CH"/>
              </w:rPr>
              <w:t xml:space="preserve"> </w:t>
            </w:r>
          </w:p>
          <w:p w14:paraId="756884DF"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lang w:val="it-CH"/>
              </w:rPr>
            </w:pPr>
            <w:r w:rsidRPr="00A166D4">
              <w:rPr>
                <w:rFonts w:ascii="Times New Roman" w:eastAsia="Times New Roman" w:hAnsi="Times New Roman" w:cs="Times New Roman"/>
                <w:color w:val="000000" w:themeColor="text1"/>
                <w:sz w:val="24"/>
                <w:szCs w:val="24"/>
                <w:highlight w:val="yellow"/>
                <w:lang w:val="it-CH"/>
              </w:rPr>
              <w:t xml:space="preserve"> </w:t>
            </w:r>
          </w:p>
          <w:p w14:paraId="45BE5240" w14:textId="63E53F75" w:rsidR="005F2AC9" w:rsidRPr="00A166D4" w:rsidRDefault="00B84A02"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hAnsi="Times New Roman" w:cs="Times New Roman"/>
                <w:sz w:val="24"/>
                <w:szCs w:val="24"/>
              </w:rPr>
              <w:t>Rate of children aged 0–17 years in alternative care (per 100,000)</w:t>
            </w:r>
          </w:p>
        </w:tc>
        <w:tc>
          <w:tcPr>
            <w:tcW w:w="987" w:type="dxa"/>
            <w:tcBorders>
              <w:top w:val="single" w:sz="8" w:space="0" w:color="000000"/>
              <w:left w:val="single" w:sz="8" w:space="0" w:color="000000"/>
              <w:bottom w:val="single" w:sz="8" w:space="0" w:color="000000"/>
              <w:right w:val="single" w:sz="8" w:space="0" w:color="000000"/>
            </w:tcBorders>
            <w:shd w:val="clear" w:color="auto" w:fill="FFF2CC"/>
          </w:tcPr>
          <w:p w14:paraId="5F56412B" w14:textId="4BCF8A3C" w:rsidR="005F2AC9" w:rsidRPr="00A166D4" w:rsidRDefault="00B84A02"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hAnsi="Times New Roman" w:cs="Times New Roman"/>
                <w:sz w:val="24"/>
                <w:szCs w:val="24"/>
              </w:rPr>
              <w:t>65.9 (2021) 67.1 (male) 64.6 (female)</w:t>
            </w:r>
            <w:r w:rsidR="00B56839" w:rsidRPr="00A166D4">
              <w:rPr>
                <w:rFonts w:ascii="Times New Roman" w:eastAsia="Times New Roman" w:hAnsi="Times New Roman" w:cs="Times New Roman"/>
                <w:color w:val="000000" w:themeColor="text1"/>
                <w:sz w:val="24"/>
                <w:szCs w:val="24"/>
                <w:highlight w:val="yellow"/>
              </w:rPr>
              <w:t xml:space="preserve"> </w:t>
            </w:r>
          </w:p>
          <w:p w14:paraId="0B0EF6DA"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79019A87" w14:textId="631D1918" w:rsidR="005F2AC9" w:rsidRPr="00A0168A" w:rsidRDefault="00561AD4"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rPr>
              <w:t>6,1% (</w:t>
            </w:r>
            <w:r w:rsidR="00B56839" w:rsidRPr="00A166D4">
              <w:rPr>
                <w:rFonts w:ascii="Times New Roman" w:eastAsia="Times New Roman" w:hAnsi="Times New Roman" w:cs="Times New Roman"/>
                <w:color w:val="000000" w:themeColor="text1"/>
                <w:sz w:val="24"/>
                <w:szCs w:val="24"/>
              </w:rPr>
              <w:t xml:space="preserve">2021) </w:t>
            </w:r>
          </w:p>
          <w:p w14:paraId="4D921CD6"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796917E1"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4FC60048"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7A05B992"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48AD1A10"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3B72B18C"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60EC2C81"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09B908FC"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2F5619B0"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2D0E988B"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17B6F73E" w14:textId="15244F9B" w:rsidR="005F2AC9" w:rsidRPr="00A166D4" w:rsidRDefault="00B84A02"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rPr>
              <w:t>160 (total) – 2021 163 – male 156 – female</w:t>
            </w:r>
            <w:r w:rsidR="00B56839" w:rsidRPr="00A166D4">
              <w:rPr>
                <w:rFonts w:ascii="Times New Roman" w:eastAsia="Times New Roman" w:hAnsi="Times New Roman" w:cs="Times New Roman"/>
                <w:color w:val="000000" w:themeColor="text1"/>
                <w:sz w:val="24"/>
                <w:szCs w:val="24"/>
                <w:highlight w:val="yellow"/>
              </w:rPr>
              <w:t xml:space="preserve"> </w:t>
            </w:r>
          </w:p>
        </w:tc>
        <w:tc>
          <w:tcPr>
            <w:tcW w:w="886" w:type="dxa"/>
            <w:tcBorders>
              <w:top w:val="single" w:sz="8" w:space="0" w:color="000000"/>
              <w:left w:val="single" w:sz="8" w:space="0" w:color="000000"/>
              <w:bottom w:val="single" w:sz="8" w:space="0" w:color="000000"/>
              <w:right w:val="single" w:sz="8" w:space="0" w:color="000000"/>
            </w:tcBorders>
            <w:shd w:val="clear" w:color="auto" w:fill="FFF2CC"/>
          </w:tcPr>
          <w:p w14:paraId="7EEACBB2" w14:textId="5EF70EE3" w:rsidR="005F2AC9" w:rsidRPr="00A166D4" w:rsidRDefault="00B84A02"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hAnsi="Times New Roman" w:cs="Times New Roman"/>
                <w:sz w:val="24"/>
                <w:szCs w:val="24"/>
              </w:rPr>
              <w:t>305 162 (male) 143 (female)</w:t>
            </w:r>
            <w:r w:rsidR="00B56839" w:rsidRPr="00A166D4">
              <w:rPr>
                <w:rFonts w:ascii="Times New Roman" w:eastAsia="Times New Roman" w:hAnsi="Times New Roman" w:cs="Times New Roman"/>
                <w:color w:val="000000" w:themeColor="text1"/>
                <w:sz w:val="24"/>
                <w:szCs w:val="24"/>
                <w:highlight w:val="yellow"/>
              </w:rPr>
              <w:t xml:space="preserve"> </w:t>
            </w:r>
          </w:p>
          <w:p w14:paraId="109558B0"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7A94A401" w14:textId="77777777" w:rsidR="00A0168A"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highlight w:val="yellow"/>
              </w:rPr>
              <w:t xml:space="preserve"> </w:t>
            </w:r>
          </w:p>
          <w:p w14:paraId="3604200A" w14:textId="595A5C52" w:rsidR="005F2AC9" w:rsidRPr="00A0168A"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rPr>
              <w:t>1%</w:t>
            </w:r>
          </w:p>
          <w:p w14:paraId="574DFCEB"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65ECA2AE"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4229C8D9"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580B0C4A"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0629A101" w14:textId="06124875" w:rsidR="00561AD4"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03BAAFB9"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4879E735"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46667AE2"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60DDBD12"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0889C99B"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3221ED5F"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50C2BAA0" w14:textId="2907FA81" w:rsidR="005F2AC9" w:rsidRPr="00A166D4" w:rsidRDefault="00B84A02"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rPr>
              <w:t>178 179 – male 177 – female</w:t>
            </w:r>
            <w:r w:rsidR="00B56839" w:rsidRPr="00A166D4">
              <w:rPr>
                <w:rFonts w:ascii="Times New Roman" w:eastAsia="Times New Roman" w:hAnsi="Times New Roman" w:cs="Times New Roman"/>
                <w:color w:val="000000" w:themeColor="text1"/>
                <w:sz w:val="24"/>
                <w:szCs w:val="24"/>
                <w:highlight w:val="yellow"/>
              </w:rPr>
              <w:t xml:space="preserve"> </w:t>
            </w:r>
          </w:p>
        </w:tc>
        <w:tc>
          <w:tcPr>
            <w:tcW w:w="963" w:type="dxa"/>
            <w:tcBorders>
              <w:top w:val="single" w:sz="8" w:space="0" w:color="000000"/>
              <w:left w:val="single" w:sz="8" w:space="0" w:color="000000"/>
              <w:bottom w:val="single" w:sz="8" w:space="0" w:color="000000"/>
              <w:right w:val="single" w:sz="8" w:space="0" w:color="000000"/>
            </w:tcBorders>
            <w:shd w:val="clear" w:color="auto" w:fill="FFF2CC"/>
          </w:tcPr>
          <w:p w14:paraId="56A95ED8" w14:textId="22652D72" w:rsidR="005F2AC9" w:rsidRPr="00A166D4" w:rsidRDefault="00B84A02" w:rsidP="00A166D4">
            <w:pPr>
              <w:spacing w:before="0" w:after="0"/>
              <w:jc w:val="both"/>
              <w:rPr>
                <w:rFonts w:ascii="Times New Roman" w:eastAsia="Times New Roman" w:hAnsi="Times New Roman" w:cs="Times New Roman"/>
                <w:color w:val="000000" w:themeColor="text1"/>
                <w:sz w:val="24"/>
                <w:szCs w:val="24"/>
                <w:highlight w:val="yellow"/>
                <w:lang w:val="it-IT"/>
              </w:rPr>
            </w:pPr>
            <w:r w:rsidRPr="00A166D4">
              <w:rPr>
                <w:rFonts w:ascii="Times New Roman" w:hAnsi="Times New Roman" w:cs="Times New Roman"/>
                <w:sz w:val="24"/>
                <w:szCs w:val="24"/>
              </w:rPr>
              <w:t>117.2 137.4 (male) 95.8 (female)</w:t>
            </w:r>
            <w:r w:rsidR="00B56839" w:rsidRPr="00A166D4">
              <w:rPr>
                <w:rFonts w:ascii="Times New Roman" w:eastAsia="Times New Roman" w:hAnsi="Times New Roman" w:cs="Times New Roman"/>
                <w:color w:val="000000" w:themeColor="text1"/>
                <w:sz w:val="24"/>
                <w:szCs w:val="24"/>
                <w:highlight w:val="yellow"/>
                <w:lang w:val="it-IT"/>
              </w:rPr>
              <w:t xml:space="preserve"> </w:t>
            </w:r>
          </w:p>
          <w:p w14:paraId="3AA86101"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lang w:val="it-IT"/>
              </w:rPr>
            </w:pPr>
            <w:r w:rsidRPr="00A166D4">
              <w:rPr>
                <w:rFonts w:ascii="Times New Roman" w:eastAsia="Times New Roman" w:hAnsi="Times New Roman" w:cs="Times New Roman"/>
                <w:color w:val="000000" w:themeColor="text1"/>
                <w:sz w:val="24"/>
                <w:szCs w:val="24"/>
                <w:highlight w:val="yellow"/>
                <w:lang w:val="it-IT"/>
              </w:rPr>
              <w:t xml:space="preserve"> </w:t>
            </w:r>
          </w:p>
          <w:p w14:paraId="76C2D634" w14:textId="77777777" w:rsidR="00561AD4" w:rsidRPr="00A166D4" w:rsidRDefault="00561AD4" w:rsidP="00A166D4">
            <w:pPr>
              <w:spacing w:before="0" w:after="0"/>
              <w:jc w:val="both"/>
              <w:rPr>
                <w:rFonts w:ascii="Times New Roman" w:eastAsia="Times New Roman" w:hAnsi="Times New Roman" w:cs="Times New Roman"/>
                <w:color w:val="000000" w:themeColor="text1"/>
                <w:sz w:val="24"/>
                <w:szCs w:val="24"/>
                <w:highlight w:val="yellow"/>
                <w:lang w:val="it-IT"/>
              </w:rPr>
            </w:pPr>
          </w:p>
          <w:p w14:paraId="1B7ECFF8"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0.1%</w:t>
            </w:r>
          </w:p>
          <w:p w14:paraId="6AFD1271"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09B95F7B"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2790B0DA"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74DD5363"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69D50602"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34614669"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5EC64073"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7451B1F9"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22FC5DBC"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39F6570B"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61C20076"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6F042741" w14:textId="3A7626F9" w:rsidR="005F2AC9" w:rsidRPr="00A166D4" w:rsidRDefault="00B84A02"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200 249 (male) 148 (female)</w:t>
            </w:r>
          </w:p>
        </w:tc>
        <w:tc>
          <w:tcPr>
            <w:tcW w:w="1175" w:type="dxa"/>
            <w:tcBorders>
              <w:top w:val="single" w:sz="8" w:space="0" w:color="000000"/>
              <w:left w:val="single" w:sz="8" w:space="0" w:color="000000"/>
              <w:bottom w:val="single" w:sz="8" w:space="0" w:color="000000"/>
              <w:right w:val="single" w:sz="8" w:space="0" w:color="000000"/>
            </w:tcBorders>
            <w:shd w:val="clear" w:color="auto" w:fill="FFF2CC"/>
          </w:tcPr>
          <w:p w14:paraId="2573984B" w14:textId="5922AF9D" w:rsidR="005F2AC9" w:rsidRPr="00A166D4" w:rsidRDefault="00B84A02"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rPr>
              <w:t>INSTAT / SSS</w:t>
            </w:r>
            <w:r w:rsidR="00B56839" w:rsidRPr="00A166D4">
              <w:rPr>
                <w:rFonts w:ascii="Times New Roman" w:eastAsia="Times New Roman" w:hAnsi="Times New Roman" w:cs="Times New Roman"/>
                <w:color w:val="000000" w:themeColor="text1"/>
                <w:sz w:val="24"/>
                <w:szCs w:val="24"/>
                <w:highlight w:val="yellow"/>
              </w:rPr>
              <w:t xml:space="preserve"> </w:t>
            </w:r>
          </w:p>
          <w:p w14:paraId="5EA64651"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2BE47FCC"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78077DF0"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52774F4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462A4B9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highlight w:val="yellow"/>
              </w:rPr>
            </w:pPr>
          </w:p>
          <w:p w14:paraId="5FA1A030"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361EBC69" w14:textId="5CC551E9" w:rsidR="005F2AC9" w:rsidRPr="00A166D4" w:rsidRDefault="00B84A02"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rPr>
              <w:t>INSTAT / SSS</w:t>
            </w:r>
            <w:r w:rsidR="00B56839" w:rsidRPr="00A166D4">
              <w:rPr>
                <w:rFonts w:ascii="Times New Roman" w:eastAsia="Times New Roman" w:hAnsi="Times New Roman" w:cs="Times New Roman"/>
                <w:color w:val="000000" w:themeColor="text1"/>
                <w:sz w:val="24"/>
                <w:szCs w:val="24"/>
                <w:highlight w:val="yellow"/>
              </w:rPr>
              <w:t xml:space="preserve"> </w:t>
            </w:r>
          </w:p>
          <w:p w14:paraId="542EE248"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25ABD1B4"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4B98AF4C"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7F453E91" w14:textId="77777777" w:rsidR="00561AD4"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7C1FB2A0"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1C924C0B"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371A4265"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7F22BB8D"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00F3EBD6"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4900C55C" w14:textId="77777777" w:rsidR="00A0168A" w:rsidRDefault="00A0168A" w:rsidP="00A166D4">
            <w:pPr>
              <w:spacing w:before="0" w:after="0"/>
              <w:jc w:val="both"/>
              <w:rPr>
                <w:rFonts w:ascii="Times New Roman" w:eastAsia="Times New Roman" w:hAnsi="Times New Roman" w:cs="Times New Roman"/>
                <w:color w:val="000000" w:themeColor="text1"/>
                <w:sz w:val="24"/>
                <w:szCs w:val="24"/>
              </w:rPr>
            </w:pPr>
          </w:p>
          <w:p w14:paraId="2F8A8EE9" w14:textId="28AB26EB" w:rsidR="005F2AC9" w:rsidRPr="00A166D4" w:rsidRDefault="00B84A02"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rPr>
              <w:t>INSTAT / SSS</w:t>
            </w:r>
            <w:r w:rsidR="00B56839" w:rsidRPr="00A166D4">
              <w:rPr>
                <w:rFonts w:ascii="Times New Roman" w:eastAsia="Times New Roman" w:hAnsi="Times New Roman" w:cs="Times New Roman"/>
                <w:color w:val="000000" w:themeColor="text1"/>
                <w:sz w:val="24"/>
                <w:szCs w:val="24"/>
                <w:highlight w:val="yellow"/>
              </w:rPr>
              <w:t xml:space="preserve"> </w:t>
            </w:r>
          </w:p>
          <w:p w14:paraId="719946ED"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2042DA7A"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3FC42ED8"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6445FAF8"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6BB9E883"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5619E36C"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p w14:paraId="3A368D90"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highlight w:val="yellow"/>
              </w:rPr>
            </w:pPr>
            <w:r w:rsidRPr="00A166D4">
              <w:rPr>
                <w:rFonts w:ascii="Times New Roman" w:eastAsia="Times New Roman" w:hAnsi="Times New Roman" w:cs="Times New Roman"/>
                <w:color w:val="000000" w:themeColor="text1"/>
                <w:sz w:val="24"/>
                <w:szCs w:val="24"/>
                <w:highlight w:val="yellow"/>
              </w:rPr>
              <w:t xml:space="preserve"> </w:t>
            </w:r>
          </w:p>
        </w:tc>
        <w:tc>
          <w:tcPr>
            <w:tcW w:w="1033" w:type="dxa"/>
            <w:tcBorders>
              <w:top w:val="single" w:sz="8" w:space="0" w:color="000000"/>
              <w:left w:val="single" w:sz="8" w:space="0" w:color="000000"/>
              <w:bottom w:val="single" w:sz="8" w:space="0" w:color="000000"/>
              <w:right w:val="single" w:sz="8" w:space="0" w:color="000000"/>
            </w:tcBorders>
            <w:shd w:val="clear" w:color="auto" w:fill="FFF2CC"/>
          </w:tcPr>
          <w:p w14:paraId="59E1934B"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29DF878" w14:textId="326095F9" w:rsidR="005F2AC9" w:rsidRPr="00A166D4" w:rsidRDefault="00B84A02" w:rsidP="00A166D4">
            <w:pPr>
              <w:spacing w:before="0"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SDG – 1.3, 10.2</w:t>
            </w:r>
            <w:r w:rsidR="00B56839" w:rsidRPr="00A166D4">
              <w:rPr>
                <w:rFonts w:ascii="Times New Roman" w:eastAsia="Times New Roman" w:hAnsi="Times New Roman" w:cs="Times New Roman"/>
                <w:color w:val="000000" w:themeColor="text1"/>
                <w:sz w:val="24"/>
                <w:szCs w:val="24"/>
              </w:rPr>
              <w:t xml:space="preserve"> </w:t>
            </w:r>
          </w:p>
          <w:p w14:paraId="1151F1A2"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rPr>
            </w:pPr>
          </w:p>
        </w:tc>
      </w:tr>
    </w:tbl>
    <w:p w14:paraId="5BAB15E7" w14:textId="77777777" w:rsidR="005F2AC9" w:rsidRPr="00A166D4" w:rsidRDefault="005F2AC9" w:rsidP="00A166D4">
      <w:pPr>
        <w:spacing w:after="0"/>
        <w:jc w:val="both"/>
        <w:rPr>
          <w:rFonts w:ascii="Times New Roman" w:hAnsi="Times New Roman" w:cs="Times New Roman"/>
          <w:b/>
          <w:bCs/>
          <w:color w:val="000000" w:themeColor="text1"/>
          <w:sz w:val="24"/>
          <w:szCs w:val="24"/>
          <w:lang w:val="sq-AL"/>
        </w:rPr>
      </w:pPr>
    </w:p>
    <w:p w14:paraId="7EEFA402" w14:textId="77777777" w:rsidR="00491591" w:rsidRPr="00A0168A" w:rsidRDefault="00491591" w:rsidP="00A166D4">
      <w:pPr>
        <w:suppressAutoHyphens w:val="0"/>
        <w:spacing w:beforeAutospacing="1" w:after="100" w:afterAutospacing="1"/>
        <w:jc w:val="both"/>
        <w:rPr>
          <w:rFonts w:ascii="Times New Roman" w:eastAsia="Times New Roman" w:hAnsi="Times New Roman" w:cs="Times New Roman"/>
          <w:b/>
          <w:bCs/>
          <w:sz w:val="24"/>
          <w:szCs w:val="24"/>
        </w:rPr>
      </w:pPr>
      <w:r w:rsidRPr="00A0168A">
        <w:rPr>
          <w:rFonts w:ascii="Times New Roman" w:eastAsia="Times New Roman" w:hAnsi="Times New Roman" w:cs="Times New Roman"/>
          <w:b/>
          <w:bCs/>
          <w:sz w:val="24"/>
          <w:szCs w:val="24"/>
        </w:rPr>
        <w:t>Specific/strategic objective B.1: Consolidation of the decentralisation process of social care services for sustainable and gender-responsive financing, geographical coverage, accessibility and responsiveness to crises and emergencies.</w:t>
      </w:r>
    </w:p>
    <w:p w14:paraId="486D342E" w14:textId="77777777" w:rsidR="00A0168A" w:rsidRPr="00A0168A" w:rsidRDefault="00491591" w:rsidP="00A166D4">
      <w:pPr>
        <w:suppressAutoHyphens w:val="0"/>
        <w:spacing w:beforeAutospacing="1" w:after="100" w:afterAutospacing="1"/>
        <w:jc w:val="both"/>
        <w:rPr>
          <w:rFonts w:ascii="Times New Roman" w:eastAsia="Times New Roman" w:hAnsi="Times New Roman" w:cs="Times New Roman"/>
          <w:i/>
          <w:iCs/>
          <w:sz w:val="24"/>
          <w:szCs w:val="24"/>
          <w:u w:val="single"/>
        </w:rPr>
      </w:pPr>
      <w:r w:rsidRPr="00A0168A">
        <w:rPr>
          <w:rFonts w:ascii="Times New Roman" w:eastAsia="Times New Roman" w:hAnsi="Times New Roman" w:cs="Times New Roman"/>
          <w:i/>
          <w:iCs/>
          <w:sz w:val="24"/>
          <w:szCs w:val="24"/>
          <w:u w:val="single"/>
        </w:rPr>
        <w:t xml:space="preserve">Priority measures: </w:t>
      </w:r>
    </w:p>
    <w:p w14:paraId="4A73DD1B" w14:textId="3DA04469" w:rsidR="00491591" w:rsidRPr="00A0168A" w:rsidRDefault="00491591" w:rsidP="00A166D4">
      <w:pPr>
        <w:suppressAutoHyphens w:val="0"/>
        <w:spacing w:beforeAutospacing="1" w:after="100" w:afterAutospacing="1"/>
        <w:jc w:val="both"/>
        <w:rPr>
          <w:rFonts w:ascii="Times New Roman" w:eastAsia="Times New Roman" w:hAnsi="Times New Roman" w:cs="Times New Roman"/>
          <w:sz w:val="24"/>
          <w:szCs w:val="24"/>
          <w:u w:val="single"/>
        </w:rPr>
      </w:pPr>
      <w:r w:rsidRPr="00A0168A">
        <w:rPr>
          <w:rFonts w:ascii="Times New Roman" w:eastAsia="Times New Roman" w:hAnsi="Times New Roman" w:cs="Times New Roman"/>
          <w:sz w:val="24"/>
          <w:szCs w:val="24"/>
          <w:u w:val="single"/>
        </w:rPr>
        <w:t>B.1.1 To improve the planning, gender-responsive financing model of social care services at the local level, as well as effective response to crises and emergencies.</w:t>
      </w:r>
    </w:p>
    <w:p w14:paraId="59F642BA" w14:textId="77777777" w:rsidR="00491591" w:rsidRPr="00A0168A" w:rsidRDefault="00491591" w:rsidP="00A166D4">
      <w:pPr>
        <w:suppressAutoHyphens w:val="0"/>
        <w:spacing w:beforeAutospacing="1" w:after="100" w:afterAutospacing="1"/>
        <w:jc w:val="both"/>
        <w:rPr>
          <w:rFonts w:ascii="Times New Roman" w:eastAsia="Times New Roman" w:hAnsi="Times New Roman" w:cs="Times New Roman"/>
          <w:b/>
          <w:bCs/>
          <w:sz w:val="24"/>
          <w:szCs w:val="24"/>
        </w:rPr>
      </w:pPr>
      <w:r w:rsidRPr="00A0168A">
        <w:rPr>
          <w:rFonts w:ascii="Times New Roman" w:eastAsia="Times New Roman" w:hAnsi="Times New Roman" w:cs="Times New Roman"/>
          <w:b/>
          <w:bCs/>
          <w:sz w:val="24"/>
          <w:szCs w:val="24"/>
        </w:rPr>
        <w:t>Priority activities for the reporting period:</w:t>
      </w:r>
    </w:p>
    <w:p w14:paraId="576AC551" w14:textId="77777777" w:rsidR="00491591" w:rsidRPr="00A166D4" w:rsidRDefault="00491591" w:rsidP="00320C75">
      <w:pPr>
        <w:numPr>
          <w:ilvl w:val="0"/>
          <w:numId w:val="2"/>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Continuous review and improvement of the legal and sub-legal framework for greater coverage, quality, effectiveness, financing, gender dimension, as well as response to crises and emergencies;</w:t>
      </w:r>
    </w:p>
    <w:p w14:paraId="362095E9" w14:textId="77777777" w:rsidR="00491591" w:rsidRPr="00A166D4" w:rsidRDefault="00491591" w:rsidP="00320C75">
      <w:pPr>
        <w:numPr>
          <w:ilvl w:val="0"/>
          <w:numId w:val="2"/>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Technical support for the drafting/periodic review of Local Social Plans, taking into consideration new categories of vulnerability, integrating the gender approach, as well as the approach and standards for response to crises and emergencies, in cooperation with partners and civil society organisations;</w:t>
      </w:r>
    </w:p>
    <w:p w14:paraId="1B23CB30" w14:textId="77777777" w:rsidR="00491591" w:rsidRPr="00A166D4" w:rsidRDefault="00491591" w:rsidP="00320C75">
      <w:pPr>
        <w:numPr>
          <w:ilvl w:val="0"/>
          <w:numId w:val="2"/>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Increase in the number of human resources and their technical capacities to ensure the implementation of the monitoring framework of local social plans by LGUs;</w:t>
      </w:r>
    </w:p>
    <w:p w14:paraId="4736A51D" w14:textId="77777777" w:rsidR="00491591" w:rsidRPr="00A166D4" w:rsidRDefault="00491591" w:rsidP="00320C75">
      <w:pPr>
        <w:numPr>
          <w:ilvl w:val="0"/>
          <w:numId w:val="2"/>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Review of the costing of social services (cost/unit) as an instrument for sustainable financial planning for both levels and following gender-responsive budgeting;</w:t>
      </w:r>
    </w:p>
    <w:p w14:paraId="1669179D" w14:textId="77777777" w:rsidR="00491591" w:rsidRPr="00A166D4" w:rsidRDefault="00491591" w:rsidP="00320C75">
      <w:pPr>
        <w:numPr>
          <w:ilvl w:val="0"/>
          <w:numId w:val="2"/>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Periodic assessment of the performance of the Social Fund; Suggestion of necessary improvements;</w:t>
      </w:r>
    </w:p>
    <w:p w14:paraId="58BB9FDA" w14:textId="77777777" w:rsidR="00491591" w:rsidRPr="00A166D4" w:rsidRDefault="00491591" w:rsidP="00320C75">
      <w:pPr>
        <w:numPr>
          <w:ilvl w:val="0"/>
          <w:numId w:val="2"/>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Review of the regulatory framework and implementation in support of sustainable local social financing, including financing for response to crises and emergencies;</w:t>
      </w:r>
    </w:p>
    <w:p w14:paraId="30F0426A" w14:textId="77777777" w:rsidR="00491591" w:rsidRPr="00A166D4" w:rsidRDefault="00491591" w:rsidP="00320C75">
      <w:pPr>
        <w:numPr>
          <w:ilvl w:val="0"/>
          <w:numId w:val="2"/>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Identification of sustainable models for the financing of social services at the local level (with the participation of private business, donors, partnerships with NPOs, etc.) and assisting LGUs in their replication/implementation;</w:t>
      </w:r>
    </w:p>
    <w:p w14:paraId="37637075" w14:textId="1423134E" w:rsidR="005F2AC9" w:rsidRPr="00A166D4" w:rsidRDefault="00491591" w:rsidP="00320C75">
      <w:pPr>
        <w:numPr>
          <w:ilvl w:val="0"/>
          <w:numId w:val="2"/>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Increasing the capacities of public procurement law entities in the financing and procurement of social services; Identification of challenges and the need for improvements;</w:t>
      </w:r>
    </w:p>
    <w:p w14:paraId="6F5B612A" w14:textId="4596E75E" w:rsidR="005F2AC9" w:rsidRPr="00A166D4" w:rsidRDefault="00B84A02" w:rsidP="00A166D4">
      <w:pPr>
        <w:spacing w:after="0"/>
        <w:jc w:val="both"/>
        <w:rPr>
          <w:rFonts w:ascii="Times New Roman" w:eastAsia="Times New Roman" w:hAnsi="Times New Roman" w:cs="Times New Roman"/>
          <w:b/>
          <w:bCs/>
          <w:color w:val="000000" w:themeColor="text1"/>
          <w:sz w:val="24"/>
          <w:szCs w:val="24"/>
          <w:lang w:val="it-IT"/>
        </w:rPr>
      </w:pPr>
      <w:r w:rsidRPr="00A166D4">
        <w:rPr>
          <w:rFonts w:ascii="Times New Roman" w:eastAsia="Times New Roman" w:hAnsi="Times New Roman" w:cs="Times New Roman"/>
          <w:b/>
          <w:bCs/>
          <w:color w:val="000000" w:themeColor="text1"/>
          <w:sz w:val="24"/>
          <w:szCs w:val="24"/>
          <w:lang w:val="it-IT"/>
        </w:rPr>
        <w:t>Table: Passport Indicators for Specific Objective B.1.1</w:t>
      </w:r>
    </w:p>
    <w:p w14:paraId="57007EA7" w14:textId="77777777" w:rsidR="00B84A02" w:rsidRPr="00A166D4" w:rsidRDefault="00B84A02" w:rsidP="00A166D4">
      <w:pPr>
        <w:spacing w:after="0"/>
        <w:jc w:val="both"/>
        <w:rPr>
          <w:rFonts w:ascii="Times New Roman" w:eastAsia="Times New Roman" w:hAnsi="Times New Roman" w:cs="Times New Roman"/>
          <w:b/>
          <w:bCs/>
          <w:color w:val="000000" w:themeColor="text1"/>
          <w:sz w:val="24"/>
          <w:szCs w:val="24"/>
          <w:lang w:val="pt-BR"/>
        </w:rPr>
      </w:pPr>
    </w:p>
    <w:tbl>
      <w:tblPr>
        <w:tblStyle w:val="TableGrid"/>
        <w:tblW w:w="9034" w:type="dxa"/>
        <w:tblLayout w:type="fixed"/>
        <w:tblLook w:val="04A0" w:firstRow="1" w:lastRow="0" w:firstColumn="1" w:lastColumn="0" w:noHBand="0" w:noVBand="1"/>
      </w:tblPr>
      <w:tblGrid>
        <w:gridCol w:w="1111"/>
        <w:gridCol w:w="1679"/>
        <w:gridCol w:w="2221"/>
        <w:gridCol w:w="840"/>
        <w:gridCol w:w="750"/>
        <w:gridCol w:w="765"/>
        <w:gridCol w:w="1668"/>
      </w:tblGrid>
      <w:tr w:rsidR="005F2AC9" w:rsidRPr="00A166D4" w14:paraId="2369109F" w14:textId="77777777" w:rsidTr="00A44C0A">
        <w:trPr>
          <w:trHeight w:val="5084"/>
        </w:trPr>
        <w:tc>
          <w:tcPr>
            <w:tcW w:w="1110" w:type="dxa"/>
            <w:tcBorders>
              <w:top w:val="single" w:sz="8" w:space="0" w:color="000000"/>
              <w:left w:val="single" w:sz="8" w:space="0" w:color="000000"/>
              <w:bottom w:val="single" w:sz="8" w:space="0" w:color="000000"/>
              <w:right w:val="single" w:sz="8" w:space="0" w:color="000000"/>
            </w:tcBorders>
            <w:vAlign w:val="center"/>
          </w:tcPr>
          <w:p w14:paraId="1FAB6D30" w14:textId="48BC1327" w:rsidR="005F2AC9" w:rsidRPr="00A166D4" w:rsidRDefault="00B84A02"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b/>
                <w:bCs/>
                <w:color w:val="000000" w:themeColor="text1"/>
                <w:sz w:val="24"/>
                <w:szCs w:val="24"/>
              </w:rPr>
              <w:t>Priority measures</w:t>
            </w:r>
          </w:p>
        </w:tc>
        <w:tc>
          <w:tcPr>
            <w:tcW w:w="1679" w:type="dxa"/>
            <w:tcBorders>
              <w:top w:val="single" w:sz="8" w:space="0" w:color="000000"/>
              <w:left w:val="single" w:sz="8" w:space="0" w:color="000000"/>
              <w:bottom w:val="single" w:sz="8" w:space="0" w:color="000000"/>
              <w:right w:val="single" w:sz="8" w:space="0" w:color="000000"/>
            </w:tcBorders>
          </w:tcPr>
          <w:p w14:paraId="0E8897B1" w14:textId="7006F790" w:rsidR="005F2AC9" w:rsidRPr="00A166D4" w:rsidRDefault="00B84A02"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B1.1. To improve the planning, gender-responsive financing model of social care services at the local level, as well as effective response to crises and emergencies</w:t>
            </w:r>
          </w:p>
        </w:tc>
        <w:tc>
          <w:tcPr>
            <w:tcW w:w="2221" w:type="dxa"/>
            <w:tcBorders>
              <w:top w:val="single" w:sz="8" w:space="0" w:color="000000"/>
              <w:left w:val="single" w:sz="8" w:space="0" w:color="000000"/>
              <w:bottom w:val="single" w:sz="8" w:space="0" w:color="000000"/>
              <w:right w:val="single" w:sz="8" w:space="0" w:color="000000"/>
            </w:tcBorders>
          </w:tcPr>
          <w:p w14:paraId="362975FD" w14:textId="2D14A715" w:rsidR="005F2AC9" w:rsidRPr="00A166D4" w:rsidRDefault="00B84A02"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Number of municipalities that have established or expanded the financing of local social services in the medium-term budget and reviewed with a gender lens</w:t>
            </w:r>
            <w:r w:rsidR="00B56839" w:rsidRPr="00A166D4">
              <w:rPr>
                <w:rFonts w:ascii="Times New Roman" w:eastAsia="Times New Roman" w:hAnsi="Times New Roman" w:cs="Times New Roman"/>
                <w:color w:val="000000" w:themeColor="text1"/>
                <w:sz w:val="24"/>
                <w:szCs w:val="24"/>
                <w:lang w:val="en-GB"/>
              </w:rPr>
              <w:t xml:space="preserve"> </w:t>
            </w:r>
          </w:p>
          <w:p w14:paraId="6FA046E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72CDA7A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56A6468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43EC892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06E0E923" w14:textId="61B2808D" w:rsidR="005F2AC9" w:rsidRPr="00A166D4" w:rsidRDefault="00B84A02"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Number of personnel in local government units, regional directorates and central level trained in planning, financing, procurement and crisis response</w:t>
            </w:r>
          </w:p>
        </w:tc>
        <w:tc>
          <w:tcPr>
            <w:tcW w:w="840" w:type="dxa"/>
            <w:tcBorders>
              <w:top w:val="single" w:sz="8" w:space="0" w:color="000000"/>
              <w:left w:val="single" w:sz="8" w:space="0" w:color="000000"/>
              <w:bottom w:val="single" w:sz="8" w:space="0" w:color="000000"/>
              <w:right w:val="single" w:sz="8" w:space="0" w:color="000000"/>
            </w:tcBorders>
          </w:tcPr>
          <w:p w14:paraId="7D5CAB0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5</w:t>
            </w:r>
          </w:p>
          <w:p w14:paraId="671AC23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08990C7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727F5D2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1B25CF6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14917BD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2C493C3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109760D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1A6B230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1B2B6DE1"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6C231C4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1A003A2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15C33E0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7E2FB9A1" w14:textId="20E68D8A" w:rsidR="005F2AC9" w:rsidRPr="00A166D4" w:rsidRDefault="00B84A02"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142 (year 2023)</w:t>
            </w:r>
          </w:p>
        </w:tc>
        <w:tc>
          <w:tcPr>
            <w:tcW w:w="750" w:type="dxa"/>
            <w:tcBorders>
              <w:top w:val="single" w:sz="8" w:space="0" w:color="000000"/>
              <w:left w:val="single" w:sz="8" w:space="0" w:color="000000"/>
              <w:bottom w:val="single" w:sz="8" w:space="0" w:color="000000"/>
              <w:right w:val="single" w:sz="8" w:space="0" w:color="000000"/>
            </w:tcBorders>
          </w:tcPr>
          <w:p w14:paraId="07F157F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20</w:t>
            </w:r>
          </w:p>
          <w:p w14:paraId="50C7752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0EE6CA7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46F1000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269B087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24A0F46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4DCDFE1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7298D7C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6C9A9B9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02502051"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56F46DE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7A295D1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1FE5E75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51E9E61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314</w:t>
            </w:r>
          </w:p>
        </w:tc>
        <w:tc>
          <w:tcPr>
            <w:tcW w:w="765" w:type="dxa"/>
            <w:tcBorders>
              <w:top w:val="single" w:sz="8" w:space="0" w:color="000000"/>
              <w:left w:val="single" w:sz="8" w:space="0" w:color="000000"/>
              <w:bottom w:val="single" w:sz="8" w:space="0" w:color="000000"/>
              <w:right w:val="single" w:sz="8" w:space="0" w:color="000000"/>
            </w:tcBorders>
          </w:tcPr>
          <w:p w14:paraId="152C5A7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25</w:t>
            </w:r>
          </w:p>
          <w:p w14:paraId="61967E5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6579888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027864D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5FC22B6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370711D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254346C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20FF47E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7C76AD0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6FD7E6C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48BCBA2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0B3E58F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71E8AE2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066F3DD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340</w:t>
            </w:r>
          </w:p>
          <w:p w14:paraId="74A3D87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tc>
        <w:tc>
          <w:tcPr>
            <w:tcW w:w="1668" w:type="dxa"/>
            <w:tcBorders>
              <w:top w:val="single" w:sz="8" w:space="0" w:color="000000"/>
              <w:left w:val="single" w:sz="8" w:space="0" w:color="000000"/>
              <w:bottom w:val="single" w:sz="8" w:space="0" w:color="000000"/>
              <w:right w:val="single" w:sz="8" w:space="0" w:color="000000"/>
            </w:tcBorders>
          </w:tcPr>
          <w:p w14:paraId="4CB5118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p w14:paraId="596DFA8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p w14:paraId="6B31C7E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p w14:paraId="6FCE596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p w14:paraId="5A48D40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p w14:paraId="36FBFED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p w14:paraId="7C6D660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p w14:paraId="0BF13E5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p w14:paraId="2D393751"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CH"/>
              </w:rPr>
            </w:pPr>
          </w:p>
          <w:p w14:paraId="6E351D6B"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CH"/>
              </w:rPr>
            </w:pPr>
          </w:p>
          <w:p w14:paraId="25A14DFB"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CH"/>
              </w:rPr>
            </w:pPr>
          </w:p>
          <w:p w14:paraId="0BB9E851"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CH"/>
              </w:rPr>
            </w:pPr>
          </w:p>
          <w:p w14:paraId="2FF078D3" w14:textId="77777777" w:rsidR="00A0168A" w:rsidRDefault="00A0168A" w:rsidP="00A166D4">
            <w:pPr>
              <w:spacing w:before="0" w:after="0"/>
              <w:jc w:val="both"/>
              <w:rPr>
                <w:rFonts w:ascii="Times New Roman" w:eastAsia="Times New Roman" w:hAnsi="Times New Roman" w:cs="Times New Roman"/>
                <w:color w:val="000000" w:themeColor="text1"/>
                <w:sz w:val="24"/>
                <w:szCs w:val="24"/>
                <w:lang w:val="it-CH"/>
              </w:rPr>
            </w:pPr>
          </w:p>
          <w:p w14:paraId="2F1E4E2C" w14:textId="76121D06" w:rsidR="005F2AC9" w:rsidRPr="00A166D4" w:rsidRDefault="00B84A02"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CH"/>
              </w:rPr>
              <w:t>SSS / administrative data / NSPS monitoring report</w:t>
            </w:r>
            <w:r w:rsidR="00B56839" w:rsidRPr="00A166D4">
              <w:rPr>
                <w:rFonts w:ascii="Times New Roman" w:eastAsia="Times New Roman" w:hAnsi="Times New Roman" w:cs="Times New Roman"/>
                <w:color w:val="000000" w:themeColor="text1"/>
                <w:sz w:val="24"/>
                <w:szCs w:val="24"/>
                <w:lang w:val="it-IT"/>
              </w:rPr>
              <w:t xml:space="preserve"> </w:t>
            </w:r>
          </w:p>
          <w:p w14:paraId="38A9B86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21395F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08C908F3" w14:textId="1C12FCB8" w:rsidR="005F2AC9" w:rsidRPr="00A166D4" w:rsidRDefault="005F2AC9" w:rsidP="00A166D4">
            <w:pPr>
              <w:spacing w:before="0" w:after="0"/>
              <w:jc w:val="both"/>
              <w:rPr>
                <w:rFonts w:ascii="Times New Roman" w:hAnsi="Times New Roman" w:cs="Times New Roman"/>
                <w:color w:val="000000" w:themeColor="text1"/>
                <w:sz w:val="24"/>
                <w:szCs w:val="24"/>
              </w:rPr>
            </w:pPr>
          </w:p>
        </w:tc>
      </w:tr>
    </w:tbl>
    <w:p w14:paraId="27881B14" w14:textId="77777777" w:rsidR="00962E92" w:rsidRPr="00A166D4" w:rsidRDefault="00962E92" w:rsidP="00A166D4">
      <w:pPr>
        <w:spacing w:after="0"/>
        <w:jc w:val="both"/>
        <w:rPr>
          <w:rFonts w:ascii="Times New Roman" w:hAnsi="Times New Roman" w:cs="Times New Roman"/>
          <w:b/>
          <w:bCs/>
          <w:color w:val="000000" w:themeColor="text1"/>
          <w:sz w:val="24"/>
          <w:szCs w:val="24"/>
          <w:lang w:val="it-IT"/>
        </w:rPr>
      </w:pPr>
    </w:p>
    <w:p w14:paraId="2202DD79"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Description of the objective and monitoring results</w:t>
      </w:r>
    </w:p>
    <w:p w14:paraId="62F73163"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This objective is underpinned by the principles of decentralisation and deinstitutionalisation of social care services for groups in need and aims to strengthen the role of local self-government units in the planning, financing and delivery of social care services, guaranteeing equal access for all citizens, regardless of gender, age or place of residence. Decentralisation is accompanied by a clear system of fund transfers and increased local capacities for effective management, so that services are sustainable and capable of responding to crises and emergencies.</w:t>
      </w:r>
    </w:p>
    <w:p w14:paraId="402E9947"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objective for the consolidation of the decentralisation process of social care services recorded important steps during the reporting period. In the direction of sustainable financing, the Social Fund was operationalised with dedicated allocations for municipalities, enabling the majority of them to obtain funds for the establishment of new services or the expansion of existing ones. This process was also supported by the approval of new co-financing mechanisms between central government and local self-government units, creating conditions for some services to continue operating even after the completion of donor-funded projects.</w:t>
      </w:r>
    </w:p>
    <w:p w14:paraId="56BB0B5D"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 the field of gender responsiveness, visible progress was achieved through the inclusion of gender-responsive budgeting elements in social services programmes by an increasing number of municipalities. In just the first two years of the strategy's implementation, approximately 20 municipalities have begun to apply this approach, gradually reflecting the need for gender equality in planning and resource allocation. In addition, dedicated training cycles were conducted for local administration on the manner of integrating the gender perspective into the financial planning and reporting process.</w:t>
      </w:r>
    </w:p>
    <w:p w14:paraId="60AFCF11"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Another important achievement relates to the geographical coverage and accessibility of social services.</w:t>
      </w:r>
    </w:p>
    <w:p w14:paraId="53A7A8AD"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Social Services Map 2025 presents a complete and updated overview of the social services provided at the national and local level, identifying the types of services, their geographical distribution, and the respective capacities. It includes data on residential and day care centres, services for children, the elderly, persons with disabilities, victims of violence and trafficking, as well as new forms of community support. Through this map, it is possible to identify existing gaps in service coverage, regions where provision remains limited, as well as good practices that need to be expanded. In this way, the Social Services Map 2025 serves as a guiding instrument for the planning and fairer distribution of resources, supporting the deinstitutionalisation process and the development of alternative care in Albania.</w:t>
      </w:r>
    </w:p>
    <w:p w14:paraId="61FEC518"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 2025, 439 social care providers deliver services, or 13% more than in 2023, ensuring the operation of 1,669 social care services, or 56% more than in 2023, for over 50,000 beneficiaries, individuals in need (11% more than in 2023).</w:t>
      </w:r>
    </w:p>
    <w:p w14:paraId="05DC182B"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"Non-Public" institutions constitute 39% of the number of services for 56% of beneficiaries, and public institutions (fully or partially financed from the state budget) constitute 61% of the total number, from which 44% of beneficiaries receive services.</w:t>
      </w:r>
    </w:p>
    <w:p w14:paraId="6797D30E"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13% of institutions are national and cover the entire territory, 10% are regional and cover the respective districts in which the institutions are established and operate, while 77% of institutions are local and provide services for the respective municipalities.</w:t>
      </w:r>
    </w:p>
    <w:p w14:paraId="4688AB15"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"Pre-social" services constitute 22% of all services, followed by "Community" and "Specialised" services at 14% and 13% respectively. The least prevalent services are "Shelters" and "Alternative care", each at 3%.</w:t>
      </w:r>
    </w:p>
    <w:p w14:paraId="04182D28"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44% of service beneficiaries receive community services for all individuals and families in need, while in specialised services the beneficiary groups are divided into: children with disabilities (10%), the elderly (15%), victims of domestic violence/trafficking (6%), adults with disabilities (6%), children without parental care (3%), Roma &amp; Egyptians (9%), young people (7%).</w:t>
      </w:r>
    </w:p>
    <w:p w14:paraId="2E8919EB"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Social Fund has brought visible progress in the development of social services in Albania, with significant increases both in the number of services and in the value of financing over the years:</w:t>
      </w:r>
    </w:p>
    <w:p w14:paraId="5CB423A9" w14:textId="77777777" w:rsidR="00491591" w:rsidRPr="00A166D4" w:rsidRDefault="00491591" w:rsidP="00320C75">
      <w:pPr>
        <w:numPr>
          <w:ilvl w:val="0"/>
          <w:numId w:val="14"/>
        </w:numPr>
        <w:suppressAutoHyphens w:val="0"/>
        <w:spacing w:beforeAutospacing="1" w:after="100" w:afterAutospacing="1"/>
        <w:jc w:val="both"/>
        <w:rPr>
          <w:rFonts w:ascii="Times New Roman" w:eastAsia="Times New Roman" w:hAnsi="Times New Roman" w:cs="Times New Roman"/>
          <w:sz w:val="24"/>
          <w:szCs w:val="24"/>
        </w:rPr>
      </w:pPr>
      <w:r w:rsidRPr="00A0168A">
        <w:rPr>
          <w:rFonts w:ascii="Times New Roman" w:eastAsia="Times New Roman" w:hAnsi="Times New Roman" w:cs="Times New Roman"/>
          <w:b/>
          <w:bCs/>
          <w:sz w:val="24"/>
          <w:szCs w:val="24"/>
        </w:rPr>
        <w:t>2019–2020</w:t>
      </w:r>
      <w:r w:rsidRPr="00A166D4">
        <w:rPr>
          <w:rFonts w:ascii="Times New Roman" w:eastAsia="Times New Roman" w:hAnsi="Times New Roman" w:cs="Times New Roman"/>
          <w:sz w:val="24"/>
          <w:szCs w:val="24"/>
        </w:rPr>
        <w:t xml:space="preserve">: Only </w:t>
      </w:r>
      <w:r w:rsidRPr="00A0168A">
        <w:rPr>
          <w:rFonts w:ascii="Times New Roman" w:eastAsia="Times New Roman" w:hAnsi="Times New Roman" w:cs="Times New Roman"/>
          <w:b/>
          <w:bCs/>
          <w:sz w:val="24"/>
          <w:szCs w:val="24"/>
        </w:rPr>
        <w:t>14 services</w:t>
      </w:r>
      <w:r w:rsidRPr="00A166D4">
        <w:rPr>
          <w:rFonts w:ascii="Times New Roman" w:eastAsia="Times New Roman" w:hAnsi="Times New Roman" w:cs="Times New Roman"/>
          <w:sz w:val="24"/>
          <w:szCs w:val="24"/>
        </w:rPr>
        <w:t xml:space="preserve"> were created with a total financing of </w:t>
      </w:r>
      <w:r w:rsidRPr="00A0168A">
        <w:rPr>
          <w:rFonts w:ascii="Times New Roman" w:eastAsia="Times New Roman" w:hAnsi="Times New Roman" w:cs="Times New Roman"/>
          <w:b/>
          <w:bCs/>
          <w:sz w:val="24"/>
          <w:szCs w:val="24"/>
        </w:rPr>
        <w:t>74 million ALL</w:t>
      </w:r>
      <w:r w:rsidRPr="00A166D4">
        <w:rPr>
          <w:rFonts w:ascii="Times New Roman" w:eastAsia="Times New Roman" w:hAnsi="Times New Roman" w:cs="Times New Roman"/>
          <w:sz w:val="24"/>
          <w:szCs w:val="24"/>
        </w:rPr>
        <w:t>, marking the beginning of the Social Fund's implementation.</w:t>
      </w:r>
    </w:p>
    <w:p w14:paraId="05C8FBB1" w14:textId="77777777" w:rsidR="00491591" w:rsidRPr="00A166D4" w:rsidRDefault="00491591" w:rsidP="00320C75">
      <w:pPr>
        <w:numPr>
          <w:ilvl w:val="0"/>
          <w:numId w:val="14"/>
        </w:numPr>
        <w:suppressAutoHyphens w:val="0"/>
        <w:spacing w:beforeAutospacing="1" w:after="100" w:afterAutospacing="1"/>
        <w:jc w:val="both"/>
        <w:rPr>
          <w:rFonts w:ascii="Times New Roman" w:eastAsia="Times New Roman" w:hAnsi="Times New Roman" w:cs="Times New Roman"/>
          <w:sz w:val="24"/>
          <w:szCs w:val="24"/>
        </w:rPr>
      </w:pPr>
      <w:r w:rsidRPr="00A0168A">
        <w:rPr>
          <w:rFonts w:ascii="Times New Roman" w:eastAsia="Times New Roman" w:hAnsi="Times New Roman" w:cs="Times New Roman"/>
          <w:b/>
          <w:bCs/>
          <w:sz w:val="24"/>
          <w:szCs w:val="24"/>
        </w:rPr>
        <w:t>2022</w:t>
      </w:r>
      <w:r w:rsidRPr="00A166D4">
        <w:rPr>
          <w:rFonts w:ascii="Times New Roman" w:eastAsia="Times New Roman" w:hAnsi="Times New Roman" w:cs="Times New Roman"/>
          <w:sz w:val="24"/>
          <w:szCs w:val="24"/>
        </w:rPr>
        <w:t xml:space="preserve">: </w:t>
      </w:r>
      <w:r w:rsidRPr="00A0168A">
        <w:rPr>
          <w:rFonts w:ascii="Times New Roman" w:eastAsia="Times New Roman" w:hAnsi="Times New Roman" w:cs="Times New Roman"/>
          <w:b/>
          <w:bCs/>
          <w:sz w:val="24"/>
          <w:szCs w:val="24"/>
        </w:rPr>
        <w:t>40 services</w:t>
      </w:r>
      <w:r w:rsidRPr="00A166D4">
        <w:rPr>
          <w:rFonts w:ascii="Times New Roman" w:eastAsia="Times New Roman" w:hAnsi="Times New Roman" w:cs="Times New Roman"/>
          <w:sz w:val="24"/>
          <w:szCs w:val="24"/>
        </w:rPr>
        <w:t xml:space="preserve"> were implemented in </w:t>
      </w:r>
      <w:r w:rsidRPr="00A0168A">
        <w:rPr>
          <w:rFonts w:ascii="Times New Roman" w:eastAsia="Times New Roman" w:hAnsi="Times New Roman" w:cs="Times New Roman"/>
          <w:b/>
          <w:bCs/>
          <w:sz w:val="24"/>
          <w:szCs w:val="24"/>
        </w:rPr>
        <w:t>27 municipalities</w:t>
      </w:r>
      <w:r w:rsidRPr="00A166D4">
        <w:rPr>
          <w:rFonts w:ascii="Times New Roman" w:eastAsia="Times New Roman" w:hAnsi="Times New Roman" w:cs="Times New Roman"/>
          <w:sz w:val="24"/>
          <w:szCs w:val="24"/>
        </w:rPr>
        <w:t xml:space="preserve"> and </w:t>
      </w:r>
      <w:r w:rsidRPr="00A0168A">
        <w:rPr>
          <w:rFonts w:ascii="Times New Roman" w:eastAsia="Times New Roman" w:hAnsi="Times New Roman" w:cs="Times New Roman"/>
          <w:b/>
          <w:bCs/>
          <w:sz w:val="24"/>
          <w:szCs w:val="24"/>
        </w:rPr>
        <w:t>6 districts</w:t>
      </w:r>
      <w:r w:rsidRPr="00A166D4">
        <w:rPr>
          <w:rFonts w:ascii="Times New Roman" w:eastAsia="Times New Roman" w:hAnsi="Times New Roman" w:cs="Times New Roman"/>
          <w:sz w:val="24"/>
          <w:szCs w:val="24"/>
        </w:rPr>
        <w:t xml:space="preserve">, with financing of </w:t>
      </w:r>
      <w:r w:rsidRPr="00A0168A">
        <w:rPr>
          <w:rFonts w:ascii="Times New Roman" w:eastAsia="Times New Roman" w:hAnsi="Times New Roman" w:cs="Times New Roman"/>
          <w:b/>
          <w:bCs/>
          <w:sz w:val="24"/>
          <w:szCs w:val="24"/>
        </w:rPr>
        <w:t>600 million ALL</w:t>
      </w:r>
      <w:r w:rsidRPr="00A166D4">
        <w:rPr>
          <w:rFonts w:ascii="Times New Roman" w:eastAsia="Times New Roman" w:hAnsi="Times New Roman" w:cs="Times New Roman"/>
          <w:sz w:val="24"/>
          <w:szCs w:val="24"/>
        </w:rPr>
        <w:t>, reflecting a considerable expansion of territorial coverage and financial capacity.</w:t>
      </w:r>
    </w:p>
    <w:p w14:paraId="0A6C5AFE" w14:textId="77777777" w:rsidR="00491591" w:rsidRPr="00A166D4" w:rsidRDefault="00491591" w:rsidP="00320C75">
      <w:pPr>
        <w:numPr>
          <w:ilvl w:val="0"/>
          <w:numId w:val="14"/>
        </w:numPr>
        <w:suppressAutoHyphens w:val="0"/>
        <w:spacing w:beforeAutospacing="1" w:after="100" w:afterAutospacing="1"/>
        <w:jc w:val="both"/>
        <w:rPr>
          <w:rFonts w:ascii="Times New Roman" w:eastAsia="Times New Roman" w:hAnsi="Times New Roman" w:cs="Times New Roman"/>
          <w:sz w:val="24"/>
          <w:szCs w:val="24"/>
        </w:rPr>
      </w:pPr>
      <w:r w:rsidRPr="00A0168A">
        <w:rPr>
          <w:rFonts w:ascii="Times New Roman" w:eastAsia="Times New Roman" w:hAnsi="Times New Roman" w:cs="Times New Roman"/>
          <w:b/>
          <w:bCs/>
          <w:sz w:val="24"/>
          <w:szCs w:val="24"/>
        </w:rPr>
        <w:t>2024</w:t>
      </w:r>
      <w:r w:rsidRPr="00A166D4">
        <w:rPr>
          <w:rFonts w:ascii="Times New Roman" w:eastAsia="Times New Roman" w:hAnsi="Times New Roman" w:cs="Times New Roman"/>
          <w:sz w:val="24"/>
          <w:szCs w:val="24"/>
        </w:rPr>
        <w:t xml:space="preserve">: </w:t>
      </w:r>
      <w:r w:rsidRPr="00A0168A">
        <w:rPr>
          <w:rFonts w:ascii="Times New Roman" w:eastAsia="Times New Roman" w:hAnsi="Times New Roman" w:cs="Times New Roman"/>
          <w:b/>
          <w:bCs/>
          <w:sz w:val="24"/>
          <w:szCs w:val="24"/>
        </w:rPr>
        <w:t>324,042,142 ALL</w:t>
      </w:r>
      <w:r w:rsidRPr="00A166D4">
        <w:rPr>
          <w:rFonts w:ascii="Times New Roman" w:eastAsia="Times New Roman" w:hAnsi="Times New Roman" w:cs="Times New Roman"/>
          <w:sz w:val="24"/>
          <w:szCs w:val="24"/>
        </w:rPr>
        <w:t xml:space="preserve"> were allocated for </w:t>
      </w:r>
      <w:r w:rsidRPr="00A0168A">
        <w:rPr>
          <w:rFonts w:ascii="Times New Roman" w:eastAsia="Times New Roman" w:hAnsi="Times New Roman" w:cs="Times New Roman"/>
          <w:b/>
          <w:bCs/>
          <w:sz w:val="24"/>
          <w:szCs w:val="24"/>
        </w:rPr>
        <w:t>46 services</w:t>
      </w:r>
      <w:r w:rsidRPr="00A166D4">
        <w:rPr>
          <w:rFonts w:ascii="Times New Roman" w:eastAsia="Times New Roman" w:hAnsi="Times New Roman" w:cs="Times New Roman"/>
          <w:sz w:val="24"/>
          <w:szCs w:val="24"/>
        </w:rPr>
        <w:t xml:space="preserve"> </w:t>
      </w:r>
      <w:r w:rsidRPr="00A0168A">
        <w:rPr>
          <w:rFonts w:ascii="Times New Roman" w:eastAsia="Times New Roman" w:hAnsi="Times New Roman" w:cs="Times New Roman"/>
          <w:b/>
          <w:bCs/>
          <w:sz w:val="24"/>
          <w:szCs w:val="24"/>
        </w:rPr>
        <w:t>at the municipal level</w:t>
      </w:r>
      <w:r w:rsidRPr="00A166D4">
        <w:rPr>
          <w:rFonts w:ascii="Times New Roman" w:eastAsia="Times New Roman" w:hAnsi="Times New Roman" w:cs="Times New Roman"/>
          <w:sz w:val="24"/>
          <w:szCs w:val="24"/>
        </w:rPr>
        <w:t xml:space="preserve"> </w:t>
      </w:r>
      <w:r w:rsidRPr="00A0168A">
        <w:rPr>
          <w:rFonts w:ascii="Times New Roman" w:eastAsia="Times New Roman" w:hAnsi="Times New Roman" w:cs="Times New Roman"/>
          <w:b/>
          <w:bCs/>
          <w:sz w:val="24"/>
          <w:szCs w:val="24"/>
        </w:rPr>
        <w:t>and 18 specialised services at the district level</w:t>
      </w:r>
      <w:r w:rsidRPr="00A166D4">
        <w:rPr>
          <w:rFonts w:ascii="Times New Roman" w:eastAsia="Times New Roman" w:hAnsi="Times New Roman" w:cs="Times New Roman"/>
          <w:sz w:val="24"/>
          <w:szCs w:val="24"/>
        </w:rPr>
        <w:t>, quadrupling the fund compared to 2020 and supporting a wider range of services.</w:t>
      </w:r>
    </w:p>
    <w:p w14:paraId="79EB83C2" w14:textId="77777777" w:rsidR="00491591" w:rsidRPr="00A166D4" w:rsidRDefault="00491591" w:rsidP="00320C75">
      <w:pPr>
        <w:numPr>
          <w:ilvl w:val="0"/>
          <w:numId w:val="14"/>
        </w:numPr>
        <w:suppressAutoHyphens w:val="0"/>
        <w:spacing w:beforeAutospacing="1" w:after="100" w:afterAutospacing="1"/>
        <w:jc w:val="both"/>
        <w:rPr>
          <w:rFonts w:ascii="Times New Roman" w:eastAsia="Times New Roman" w:hAnsi="Times New Roman" w:cs="Times New Roman"/>
          <w:sz w:val="24"/>
          <w:szCs w:val="24"/>
        </w:rPr>
      </w:pPr>
      <w:r w:rsidRPr="00A0168A">
        <w:rPr>
          <w:rFonts w:ascii="Times New Roman" w:eastAsia="Times New Roman" w:hAnsi="Times New Roman" w:cs="Times New Roman"/>
          <w:b/>
          <w:bCs/>
          <w:sz w:val="24"/>
          <w:szCs w:val="24"/>
        </w:rPr>
        <w:t>2025:</w:t>
      </w:r>
      <w:r w:rsidRPr="00A166D4">
        <w:rPr>
          <w:rFonts w:ascii="Times New Roman" w:eastAsia="Times New Roman" w:hAnsi="Times New Roman" w:cs="Times New Roman"/>
          <w:sz w:val="24"/>
          <w:szCs w:val="24"/>
        </w:rPr>
        <w:t xml:space="preserve"> The fund reaches </w:t>
      </w:r>
      <w:r w:rsidRPr="00A0168A">
        <w:rPr>
          <w:rFonts w:ascii="Times New Roman" w:eastAsia="Times New Roman" w:hAnsi="Times New Roman" w:cs="Times New Roman"/>
          <w:b/>
          <w:bCs/>
          <w:sz w:val="24"/>
          <w:szCs w:val="24"/>
        </w:rPr>
        <w:t>369,374,217 ALL</w:t>
      </w:r>
      <w:r w:rsidRPr="00A166D4">
        <w:rPr>
          <w:rFonts w:ascii="Times New Roman" w:eastAsia="Times New Roman" w:hAnsi="Times New Roman" w:cs="Times New Roman"/>
          <w:sz w:val="24"/>
          <w:szCs w:val="24"/>
        </w:rPr>
        <w:t xml:space="preserve">, supporting </w:t>
      </w:r>
      <w:r w:rsidRPr="00A0168A">
        <w:rPr>
          <w:rFonts w:ascii="Times New Roman" w:eastAsia="Times New Roman" w:hAnsi="Times New Roman" w:cs="Times New Roman"/>
          <w:b/>
          <w:bCs/>
          <w:sz w:val="24"/>
          <w:szCs w:val="24"/>
        </w:rPr>
        <w:t>65 municipal services</w:t>
      </w:r>
      <w:r w:rsidRPr="00A166D4">
        <w:rPr>
          <w:rFonts w:ascii="Times New Roman" w:eastAsia="Times New Roman" w:hAnsi="Times New Roman" w:cs="Times New Roman"/>
          <w:sz w:val="24"/>
          <w:szCs w:val="24"/>
        </w:rPr>
        <w:t xml:space="preserve"> and </w:t>
      </w:r>
      <w:r w:rsidRPr="00A0168A">
        <w:rPr>
          <w:rFonts w:ascii="Times New Roman" w:eastAsia="Times New Roman" w:hAnsi="Times New Roman" w:cs="Times New Roman"/>
          <w:b/>
          <w:bCs/>
          <w:sz w:val="24"/>
          <w:szCs w:val="24"/>
        </w:rPr>
        <w:t>19 specialised regional services</w:t>
      </w:r>
      <w:r w:rsidRPr="00A166D4">
        <w:rPr>
          <w:rFonts w:ascii="Times New Roman" w:eastAsia="Times New Roman" w:hAnsi="Times New Roman" w:cs="Times New Roman"/>
          <w:sz w:val="24"/>
          <w:szCs w:val="24"/>
        </w:rPr>
        <w:t xml:space="preserve">, with an increase of </w:t>
      </w:r>
      <w:r w:rsidRPr="00A0168A">
        <w:rPr>
          <w:rFonts w:ascii="Times New Roman" w:eastAsia="Times New Roman" w:hAnsi="Times New Roman" w:cs="Times New Roman"/>
          <w:b/>
          <w:bCs/>
          <w:sz w:val="24"/>
          <w:szCs w:val="24"/>
        </w:rPr>
        <w:t>15%</w:t>
      </w:r>
      <w:r w:rsidRPr="00A166D4">
        <w:rPr>
          <w:rFonts w:ascii="Times New Roman" w:eastAsia="Times New Roman" w:hAnsi="Times New Roman" w:cs="Times New Roman"/>
          <w:sz w:val="24"/>
          <w:szCs w:val="24"/>
        </w:rPr>
        <w:t xml:space="preserve"> compared to 2024.</w:t>
      </w:r>
    </w:p>
    <w:p w14:paraId="5B2AA03D" w14:textId="77777777" w:rsidR="00491591" w:rsidRPr="00A166D4" w:rsidRDefault="00491591" w:rsidP="00320C75">
      <w:pPr>
        <w:numPr>
          <w:ilvl w:val="0"/>
          <w:numId w:val="14"/>
        </w:numPr>
        <w:suppressAutoHyphens w:val="0"/>
        <w:spacing w:beforeAutospacing="1" w:after="100" w:afterAutospacing="1"/>
        <w:jc w:val="both"/>
        <w:rPr>
          <w:rFonts w:ascii="Times New Roman" w:eastAsia="Times New Roman" w:hAnsi="Times New Roman" w:cs="Times New Roman"/>
          <w:sz w:val="24"/>
          <w:szCs w:val="24"/>
        </w:rPr>
      </w:pPr>
      <w:r w:rsidRPr="00A0168A">
        <w:rPr>
          <w:rFonts w:ascii="Times New Roman" w:eastAsia="Times New Roman" w:hAnsi="Times New Roman" w:cs="Times New Roman"/>
          <w:b/>
          <w:bCs/>
          <w:sz w:val="24"/>
          <w:szCs w:val="24"/>
        </w:rPr>
        <w:t>2025</w:t>
      </w:r>
      <w:r w:rsidRPr="00A166D4">
        <w:rPr>
          <w:rFonts w:ascii="Times New Roman" w:eastAsia="Times New Roman" w:hAnsi="Times New Roman" w:cs="Times New Roman"/>
          <w:sz w:val="24"/>
          <w:szCs w:val="24"/>
        </w:rPr>
        <w:t xml:space="preserve">: </w:t>
      </w:r>
      <w:r w:rsidRPr="00A0168A">
        <w:rPr>
          <w:rFonts w:ascii="Times New Roman" w:eastAsia="Times New Roman" w:hAnsi="Times New Roman" w:cs="Times New Roman"/>
          <w:i/>
          <w:iCs/>
          <w:sz w:val="24"/>
          <w:szCs w:val="24"/>
          <w:u w:val="single"/>
        </w:rPr>
        <w:t>Eleven new community services</w:t>
      </w:r>
      <w:r w:rsidRPr="00A166D4">
        <w:rPr>
          <w:rFonts w:ascii="Times New Roman" w:eastAsia="Times New Roman" w:hAnsi="Times New Roman" w:cs="Times New Roman"/>
          <w:sz w:val="24"/>
          <w:szCs w:val="24"/>
        </w:rPr>
        <w:t xml:space="preserve"> were established in rural and remote areas, including centres for children, day care for the elderly and special support for persons with disabilities.</w:t>
      </w:r>
    </w:p>
    <w:p w14:paraId="0D521A42" w14:textId="77777777" w:rsidR="00491591" w:rsidRPr="00A166D4" w:rsidRDefault="00491591" w:rsidP="00320C75">
      <w:pPr>
        <w:numPr>
          <w:ilvl w:val="0"/>
          <w:numId w:val="14"/>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In total, during the six years of the Social Fund's operation, </w:t>
      </w:r>
      <w:r w:rsidRPr="00A0168A">
        <w:rPr>
          <w:rFonts w:ascii="Times New Roman" w:eastAsia="Times New Roman" w:hAnsi="Times New Roman" w:cs="Times New Roman"/>
          <w:b/>
          <w:bCs/>
          <w:sz w:val="24"/>
          <w:szCs w:val="24"/>
        </w:rPr>
        <w:t>84 new services have been created</w:t>
      </w:r>
      <w:r w:rsidRPr="00A166D4">
        <w:rPr>
          <w:rFonts w:ascii="Times New Roman" w:eastAsia="Times New Roman" w:hAnsi="Times New Roman" w:cs="Times New Roman"/>
          <w:sz w:val="24"/>
          <w:szCs w:val="24"/>
        </w:rPr>
        <w:t xml:space="preserve"> (65 at the municipal level and 19 specialised at the regional level), benefiting approximately </w:t>
      </w:r>
      <w:r w:rsidRPr="00A0168A">
        <w:rPr>
          <w:rFonts w:ascii="Times New Roman" w:eastAsia="Times New Roman" w:hAnsi="Times New Roman" w:cs="Times New Roman"/>
          <w:b/>
          <w:bCs/>
          <w:sz w:val="24"/>
          <w:szCs w:val="24"/>
        </w:rPr>
        <w:t>44,000 individuals</w:t>
      </w:r>
      <w:r w:rsidRPr="00A166D4">
        <w:rPr>
          <w:rFonts w:ascii="Times New Roman" w:eastAsia="Times New Roman" w:hAnsi="Times New Roman" w:cs="Times New Roman"/>
          <w:sz w:val="24"/>
          <w:szCs w:val="24"/>
        </w:rPr>
        <w:t xml:space="preserve">, while the distributed funds amount to </w:t>
      </w:r>
      <w:r w:rsidRPr="00A0168A">
        <w:rPr>
          <w:rFonts w:ascii="Times New Roman" w:eastAsia="Times New Roman" w:hAnsi="Times New Roman" w:cs="Times New Roman"/>
          <w:b/>
          <w:bCs/>
          <w:sz w:val="24"/>
          <w:szCs w:val="24"/>
        </w:rPr>
        <w:t>1.5 billion ALL.</w:t>
      </w:r>
    </w:p>
    <w:p w14:paraId="21C5FE24"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 terms of financial support, priority has been given to municipalities that previously had no social services, while the assessment process has ensured that municipalities with limited capacities cooperate with neighbouring municipalities to harmonise and meet their needs.</w:t>
      </w:r>
    </w:p>
    <w:p w14:paraId="43B36C57"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regulatory framework governing the operation of the Social Fund was reviewed in 2024. Decision No. 111, dated 23.8.2018, "On the Functioning of the Social Fund", was amended by Decision No. 613, dated 2.10.2024, with the aim of enabling local government units to integrate the Local Social Fund into the medium-term budget programmes for social care. The Local Social Fund represents a financial mechanism increasing the responsibilities of municipalities in the delivery of social care services in a sustainable and equitable manner. At its core, it guarantees a fairer distribution of resources and responsibilities between the central and local levels for meeting the social needs of communities.</w:t>
      </w:r>
    </w:p>
    <w:p w14:paraId="55502776"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 this framework, local self-government units, following needs assessment and drafting of the local social plan, identify the services that are not financed in the medium-term budget programme. The Ministry of Health and Social Welfare allocates funds for these services, which are transferred to local units through the budget product "Social Fund" as part of the local programme for social care functions. The guide for the establishment and functioning of the local social fund has been drafted to assist local government.</w:t>
      </w:r>
    </w:p>
    <w:p w14:paraId="7F06BC3F"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 parallel, the methodology for calculating funds for the financing of social services was also reviewed, through Decision of the Council of Ministers No. 224, dated 9.4.2024, with the aim of promoting cooperation between municipalities, especially smaller ones facing financial and human resource constraints.</w:t>
      </w:r>
    </w:p>
    <w:p w14:paraId="4070A9AF"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Below is a more detailed overview of applications and financing within the framework of the Social Fund for 2025:</w:t>
      </w:r>
    </w:p>
    <w:p w14:paraId="3D2A6E86"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 total of 62 applications from municipalities and districts of the country were deposited at the Technical Secretariat of the Ministry of Health and Social Welfare, including new, continuation and service expansion applications. Following review by the Evaluation Commission, 11 new services were approved in 8 new municipalities, bringing a significant increase in the number of beneficiaries by 11,665 additional individuals and an addition of 100 professionals to the social care system. The fund allocated for 2025 amounts to 363,833,321 ALL, supporting 65 services at the municipal level. The fund utilised is 347,402,956 ALL, or 95% of the allocated fund.</w:t>
      </w:r>
    </w:p>
    <w:p w14:paraId="1FDEDD41"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supported services include a wide range of interventions, such as mobile services for children with disabilities, the elderly and persons with mental health problems, family assistance, day centres and multifunctional services for groups in need. In total, 37 multifunctional community centres have been financed since 2020, with over 10,000 beneficiaries, while for 2025, 7 new community-based services were added in new and existing municipalities, covering 2,316 new beneficiaries. Likewise, 5 emergency services for victims of domestic violence were supported, with 1,555 beneficiaries.</w:t>
      </w:r>
    </w:p>
    <w:p w14:paraId="43DAC088"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At the regional level, 19 specialised services were financed in partnership with non-governmental organisations, covering a total of 18,834 beneficiaries. These include home-based assistance, multidisciplinary services for the elderly, shelters for victims of violence and trafficking, national counselling helplines, centres for persons with disabilities, services for the LGBTI+ community and residential services for women and girls in situations of vulnerability.</w:t>
      </w:r>
    </w:p>
    <w:p w14:paraId="3A190AE8"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This broad overview of services supported for 2025 attests to the expansion and diversification of the social care system in Albania, as well as the continued commitment to guaranteeing sustainable support for the most vulnerable groups of society.</w:t>
      </w:r>
    </w:p>
    <w:p w14:paraId="6DC43687"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Within the framework of strengthening local institutional capacities, with the support of UNDP/UN programmes, TAEU4SI – GOPA and UNICEF, as well as the contribution of the State Social Service, a series of training sessions were organised involving a total of 574 social workers across the country. These training sessions aimed at strengthening the professional capacities of staff, increasing the quality of service delivery and improving the institutional and legal framework for social services.</w:t>
      </w:r>
    </w:p>
    <w:p w14:paraId="1B6CC77D"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 considerable number of social workers engaged in community centres for children with disabilities participated in training on multidisciplinary teamwork, where the roles of staff in drafting therapeutic plans were emphasised and updated legal and policy standards in the field of disability were presented. Another group of professionals attended dedicated training on the sexual development and sexual education of children and adolescents with intellectual disabilities, as well as on techniques for conducting difficult conversations with parents. In 2024, approximately 80 professionals from 17 municipalities participated in training on mental health and psychiatric disorders of children with developmental difficulties, being equipped with specialised knowledge on working with children suffering from various syndromes.</w:t>
      </w:r>
    </w:p>
    <w:p w14:paraId="372DD636"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Furthermore, social workers from public residential institutions for children participated in a three-day training on the methodology for the transformation of residential institutions for children aged 0–5 years, orienting them towards support services for children and families. In the field of elderly care, 10 professionals participated in training on updated policies in this sector and new typologies of alternative services, such as home-based care, familiarising themselves with the relevant standards and protocols.</w:t>
      </w:r>
    </w:p>
    <w:p w14:paraId="747F9A40"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Within the framework of strengthening capacities at the local level, training sessions were also conducted for all 61 municipalities, focusing on transparency, horizontal and vertical equality and understanding of social services procurement procedures.</w:t>
      </w:r>
    </w:p>
    <w:p w14:paraId="5E4D71C6"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An important achievement in this direction has been the drafting of the Procurement Manual for social services, which clarifies the steps that local government units must follow to contract services in accordance with the regulatory framework of the Social Fund. This manual, accompanied by dedicated training cycles in 61 municipalities, with the technical assistance of EU4SI, has significantly increased the number of municipalities applying for the development of social services through the Social Fund. Currently, 51 municipalities have begun to use the funds allocated from the state budget for the establishment of new services, marking a major step forward in the direction of the decentralisation of services and their sustainable financing.</w:t>
      </w:r>
    </w:p>
    <w:p w14:paraId="5C12A1C1"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An important process is also the review of the methodology for drafting Local Social Plans, which has been improved based on the best European practices.</w:t>
      </w:r>
    </w:p>
    <w:p w14:paraId="51D4475F"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 2024, a total of 28 Local Social Plans were drafted and approved by municipalities, giving priority to those municipalities that had plans that had expired before 2024. The process continued during 2025 with the other municipalities whose social plans expired before 2024. In 2025, 59 municipalities had Local Social Plans in force, approved in accordance with the legal framework for the planning and development of social services at the local level. Three of these plans expire during the same year. Meanwhile, the municipalities of Shkodër and Fushë-Arrëz are currently in the process of preparing updated local social plans, as the existing documents have not been reviewed since 2021 and 2023 respectively.</w:t>
      </w:r>
    </w:p>
    <w:p w14:paraId="57C2F4AE"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updated methodology also creates a clearer link between the municipal budgeting process and the development of the Local Social Plan, including more accurate unit costs for the delivery of services.</w:t>
      </w:r>
    </w:p>
    <w:p w14:paraId="6D31AA00"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One of the main lessons learned from the implementation of this methodology is the need for stronger inter-municipal and inter-regional dialogue on service planning and resource distribution, in accordance with the changes to the legal framework on the functioning of the Social Fund. In this framework, the process began in Korçë district and Tirana, a dedicated inter-municipal dialogue process among municipalities, which was finalised in Tirana District during 2025.</w:t>
      </w:r>
    </w:p>
    <w:p w14:paraId="2553A655"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This initiative is intended to pave the way for regional social planning, a new concept in Albania, and the first steps have already been taken. The proposed methodology for regional social plans follows a structured approach, with the first step being the collection of Local Social Plans and conducting a cross-cutting analysis – a process that is currently underway. The Regional Council chairs the steering committee that oversees the development of the Regional Social Plan, with the active participation of municipality mayors.</w:t>
      </w:r>
    </w:p>
    <w:p w14:paraId="1520C6C0" w14:textId="77777777" w:rsidR="00491591" w:rsidRPr="00A166D4" w:rsidRDefault="0049159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implementation of improved local social care plans has brought improvements in service delivery, harmonising social needs with budgeting and municipal resource planning. Municipalities have increased their ability to prioritise vulnerable groups, have improved the efficient use of funds and have strengthened coordination among service providers. The process has also increased local accountability and community engagement, contributing to more targeted and more sustainable social services.</w:t>
      </w:r>
    </w:p>
    <w:p w14:paraId="25756C3F" w14:textId="77777777" w:rsidR="00491591" w:rsidRPr="00A0168A" w:rsidRDefault="00491591" w:rsidP="00A166D4">
      <w:pPr>
        <w:suppressAutoHyphens w:val="0"/>
        <w:spacing w:beforeAutospacing="1" w:after="100" w:afterAutospacing="1"/>
        <w:jc w:val="both"/>
        <w:rPr>
          <w:rFonts w:ascii="Times New Roman" w:eastAsia="Times New Roman" w:hAnsi="Times New Roman" w:cs="Times New Roman"/>
          <w:b/>
          <w:bCs/>
          <w:sz w:val="24"/>
          <w:szCs w:val="24"/>
          <w:u w:val="single"/>
        </w:rPr>
      </w:pPr>
      <w:r w:rsidRPr="00A0168A">
        <w:rPr>
          <w:rFonts w:ascii="Times New Roman" w:eastAsia="Times New Roman" w:hAnsi="Times New Roman" w:cs="Times New Roman"/>
          <w:b/>
          <w:bCs/>
          <w:sz w:val="24"/>
          <w:szCs w:val="24"/>
          <w:u w:val="single"/>
        </w:rPr>
        <w:t>B.1.2 To improve the geographical coverage, diversification and accessibility, digitalisation and gender sensitivity of social care services.</w:t>
      </w:r>
    </w:p>
    <w:p w14:paraId="24C68514" w14:textId="77777777" w:rsidR="00491591" w:rsidRPr="00A0168A" w:rsidRDefault="00491591" w:rsidP="00A166D4">
      <w:pPr>
        <w:suppressAutoHyphens w:val="0"/>
        <w:spacing w:beforeAutospacing="1" w:after="100" w:afterAutospacing="1"/>
        <w:jc w:val="both"/>
        <w:rPr>
          <w:rFonts w:ascii="Times New Roman" w:eastAsia="Times New Roman" w:hAnsi="Times New Roman" w:cs="Times New Roman"/>
          <w:b/>
          <w:bCs/>
          <w:sz w:val="24"/>
          <w:szCs w:val="24"/>
        </w:rPr>
      </w:pPr>
      <w:r w:rsidRPr="00A0168A">
        <w:rPr>
          <w:rFonts w:ascii="Times New Roman" w:eastAsia="Times New Roman" w:hAnsi="Times New Roman" w:cs="Times New Roman"/>
          <w:b/>
          <w:bCs/>
          <w:sz w:val="24"/>
          <w:szCs w:val="24"/>
        </w:rPr>
        <w:t>Priority activities for the reporting period:</w:t>
      </w:r>
    </w:p>
    <w:p w14:paraId="6EEC2216" w14:textId="77777777" w:rsidR="00491591" w:rsidRPr="00A166D4" w:rsidRDefault="00491591" w:rsidP="00320C75">
      <w:pPr>
        <w:numPr>
          <w:ilvl w:val="0"/>
          <w:numId w:val="15"/>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Training of users for the population and proper functioning of the digital map;</w:t>
      </w:r>
    </w:p>
    <w:p w14:paraId="73E48D51" w14:textId="77777777" w:rsidR="00491591" w:rsidRPr="00A166D4" w:rsidRDefault="00491591" w:rsidP="00320C75">
      <w:pPr>
        <w:numPr>
          <w:ilvl w:val="0"/>
          <w:numId w:val="15"/>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Continued training of personnel/users for the population and proper functioning of the electronic register of social care services;</w:t>
      </w:r>
    </w:p>
    <w:p w14:paraId="220E48D9" w14:textId="77777777" w:rsidR="00491591" w:rsidRPr="00A166D4" w:rsidRDefault="00491591" w:rsidP="00320C75">
      <w:pPr>
        <w:numPr>
          <w:ilvl w:val="0"/>
          <w:numId w:val="15"/>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Regular monitoring of the entry and use of gender-disaggregated data; Development of a unified system for the management and periodic analysis of data to track the impact and results of integrated social care services;</w:t>
      </w:r>
    </w:p>
    <w:p w14:paraId="190D8061" w14:textId="77777777" w:rsidR="00491591" w:rsidRPr="00A166D4" w:rsidRDefault="00491591" w:rsidP="00320C75">
      <w:pPr>
        <w:numPr>
          <w:ilvl w:val="0"/>
          <w:numId w:val="15"/>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Establishment and operation of Needs Assessment and Referral Units at the administrative unit level with dedicated personnel in implementation of legislation;</w:t>
      </w:r>
    </w:p>
    <w:p w14:paraId="3602D105" w14:textId="4DCFE2BA" w:rsidR="00491591" w:rsidRPr="00A166D4" w:rsidRDefault="00491591" w:rsidP="00320C75">
      <w:pPr>
        <w:numPr>
          <w:ilvl w:val="0"/>
          <w:numId w:val="15"/>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xml:space="preserve">Review of the manual/guide and continued training of </w:t>
      </w:r>
      <w:r w:rsidR="00354CD9">
        <w:rPr>
          <w:rFonts w:ascii="Times New Roman" w:eastAsia="Times New Roman" w:hAnsi="Times New Roman" w:cs="Times New Roman"/>
          <w:sz w:val="24"/>
          <w:szCs w:val="24"/>
        </w:rPr>
        <w:t>NARU</w:t>
      </w:r>
      <w:r w:rsidRPr="00A166D4">
        <w:rPr>
          <w:rFonts w:ascii="Times New Roman" w:eastAsia="Times New Roman" w:hAnsi="Times New Roman" w:cs="Times New Roman"/>
          <w:sz w:val="24"/>
          <w:szCs w:val="24"/>
        </w:rPr>
        <w:t xml:space="preserve"> personnel in relation to case management and cross-sectoral cooperation;</w:t>
      </w:r>
    </w:p>
    <w:p w14:paraId="2519871B" w14:textId="77777777" w:rsidR="00491591" w:rsidRPr="00A166D4" w:rsidRDefault="00491591" w:rsidP="00320C75">
      <w:pPr>
        <w:numPr>
          <w:ilvl w:val="0"/>
          <w:numId w:val="15"/>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Development of new models of social services, integrated and accessible, in response to local social plans and dynamics in vulnerabilities, in accordance with the findings of analyses and the annual analysis of local social plans and using the gender approach; Promotion of these service models; Encouragement of partnerships with civil society organisations;</w:t>
      </w:r>
    </w:p>
    <w:p w14:paraId="6080982B" w14:textId="11960657" w:rsidR="005F2AC9" w:rsidRPr="00A166D4" w:rsidRDefault="00491591" w:rsidP="00320C75">
      <w:pPr>
        <w:numPr>
          <w:ilvl w:val="0"/>
          <w:numId w:val="15"/>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Regular and targeted awareness-raising and communication campaigns on social care services and the right of beneficiaries to use them;</w:t>
      </w:r>
      <w:r w:rsidR="00B56839" w:rsidRPr="00A166D4">
        <w:rPr>
          <w:rFonts w:ascii="Times New Roman" w:hAnsi="Times New Roman" w:cs="Times New Roman"/>
          <w:color w:val="000000" w:themeColor="text1"/>
          <w:sz w:val="24"/>
          <w:szCs w:val="24"/>
          <w:lang w:val="sq-AL"/>
        </w:rPr>
        <w:t xml:space="preserve"> </w:t>
      </w:r>
    </w:p>
    <w:p w14:paraId="70BBFAA0" w14:textId="301444CB" w:rsidR="005F2AC9" w:rsidRPr="00A166D4" w:rsidRDefault="00B84A02" w:rsidP="00A166D4">
      <w:pPr>
        <w:spacing w:after="0"/>
        <w:jc w:val="both"/>
        <w:rPr>
          <w:rFonts w:ascii="Times New Roman" w:eastAsia="Times New Roman" w:hAnsi="Times New Roman" w:cs="Times New Roman"/>
          <w:b/>
          <w:bCs/>
          <w:color w:val="000000" w:themeColor="text1"/>
          <w:sz w:val="24"/>
          <w:szCs w:val="24"/>
          <w:lang w:val="it-IT"/>
        </w:rPr>
      </w:pPr>
      <w:r w:rsidRPr="00A166D4">
        <w:rPr>
          <w:rFonts w:ascii="Times New Roman" w:eastAsia="Times New Roman" w:hAnsi="Times New Roman" w:cs="Times New Roman"/>
          <w:b/>
          <w:bCs/>
          <w:color w:val="000000" w:themeColor="text1"/>
          <w:sz w:val="24"/>
          <w:szCs w:val="24"/>
          <w:lang w:val="it-IT"/>
        </w:rPr>
        <w:t>Table: Passport Indicators for Specific Objective B.1.2</w:t>
      </w:r>
    </w:p>
    <w:p w14:paraId="5500A626" w14:textId="77777777" w:rsidR="00B84A02" w:rsidRPr="00A166D4" w:rsidRDefault="00B84A02" w:rsidP="00A166D4">
      <w:pPr>
        <w:spacing w:after="0"/>
        <w:jc w:val="both"/>
        <w:rPr>
          <w:rFonts w:ascii="Times New Roman" w:hAnsi="Times New Roman" w:cs="Times New Roman"/>
          <w:b/>
          <w:bCs/>
          <w:color w:val="000000" w:themeColor="text1"/>
          <w:sz w:val="24"/>
          <w:szCs w:val="24"/>
          <w:lang w:val="it-IT"/>
        </w:rPr>
      </w:pPr>
    </w:p>
    <w:tbl>
      <w:tblPr>
        <w:tblStyle w:val="TableGrid"/>
        <w:tblW w:w="9034" w:type="dxa"/>
        <w:tblLayout w:type="fixed"/>
        <w:tblLook w:val="04A0" w:firstRow="1" w:lastRow="0" w:firstColumn="1" w:lastColumn="0" w:noHBand="0" w:noVBand="1"/>
      </w:tblPr>
      <w:tblGrid>
        <w:gridCol w:w="1111"/>
        <w:gridCol w:w="1679"/>
        <w:gridCol w:w="2221"/>
        <w:gridCol w:w="840"/>
        <w:gridCol w:w="750"/>
        <w:gridCol w:w="765"/>
        <w:gridCol w:w="1668"/>
      </w:tblGrid>
      <w:tr w:rsidR="005F2AC9" w:rsidRPr="00A166D4" w14:paraId="72CB6BA8" w14:textId="77777777">
        <w:trPr>
          <w:trHeight w:val="300"/>
        </w:trPr>
        <w:tc>
          <w:tcPr>
            <w:tcW w:w="1110" w:type="dxa"/>
            <w:tcBorders>
              <w:top w:val="single" w:sz="8" w:space="0" w:color="000000"/>
              <w:left w:val="single" w:sz="8" w:space="0" w:color="000000"/>
              <w:bottom w:val="single" w:sz="8" w:space="0" w:color="000000"/>
              <w:right w:val="single" w:sz="8" w:space="0" w:color="000000"/>
            </w:tcBorders>
            <w:vAlign w:val="center"/>
          </w:tcPr>
          <w:p w14:paraId="768AB50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tc>
        <w:tc>
          <w:tcPr>
            <w:tcW w:w="1679" w:type="dxa"/>
            <w:tcBorders>
              <w:top w:val="single" w:sz="8" w:space="0" w:color="000000"/>
              <w:left w:val="single" w:sz="8" w:space="0" w:color="000000"/>
              <w:bottom w:val="single" w:sz="8" w:space="0" w:color="000000"/>
              <w:right w:val="single" w:sz="8" w:space="0" w:color="000000"/>
            </w:tcBorders>
          </w:tcPr>
          <w:p w14:paraId="424F8C68" w14:textId="0F5318F4" w:rsidR="005F2AC9" w:rsidRPr="00A166D4" w:rsidRDefault="00B84A02" w:rsidP="00A166D4">
            <w:pPr>
              <w:spacing w:before="0" w:after="0"/>
              <w:jc w:val="both"/>
              <w:rPr>
                <w:rFonts w:ascii="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B1.2. Improvement of geographical coverage, diversification, accessibility, digitalisation, gender sensitivity of integrated social care services, in accordance with needs.</w:t>
            </w:r>
          </w:p>
        </w:tc>
        <w:tc>
          <w:tcPr>
            <w:tcW w:w="2221" w:type="dxa"/>
            <w:tcBorders>
              <w:top w:val="single" w:sz="8" w:space="0" w:color="000000"/>
              <w:left w:val="single" w:sz="8" w:space="0" w:color="000000"/>
              <w:bottom w:val="single" w:sz="8" w:space="0" w:color="000000"/>
              <w:right w:val="single" w:sz="8" w:space="0" w:color="000000"/>
            </w:tcBorders>
          </w:tcPr>
          <w:p w14:paraId="6E0E4A0C" w14:textId="5EE25660" w:rsidR="005F2AC9" w:rsidRPr="00A166D4" w:rsidRDefault="00B84A02"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Number of municipalities using the Electronic Register of Social Services</w:t>
            </w:r>
            <w:r w:rsidR="00B56839" w:rsidRPr="00A166D4">
              <w:rPr>
                <w:rFonts w:ascii="Times New Roman" w:eastAsia="Times New Roman" w:hAnsi="Times New Roman" w:cs="Times New Roman"/>
                <w:color w:val="000000" w:themeColor="text1"/>
                <w:sz w:val="24"/>
                <w:szCs w:val="24"/>
                <w:lang w:val="it-CH"/>
              </w:rPr>
              <w:t xml:space="preserve"> </w:t>
            </w:r>
          </w:p>
          <w:p w14:paraId="353BB16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CH"/>
              </w:rPr>
              <w:t xml:space="preserve"> </w:t>
            </w:r>
          </w:p>
          <w:p w14:paraId="4E11E2A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CH"/>
              </w:rPr>
              <w:t xml:space="preserve"> </w:t>
            </w:r>
          </w:p>
          <w:p w14:paraId="1F322FB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CH"/>
              </w:rPr>
              <w:t xml:space="preserve"> </w:t>
            </w:r>
          </w:p>
          <w:p w14:paraId="635E292B" w14:textId="56E322B9" w:rsidR="005F2AC9" w:rsidRPr="00A166D4" w:rsidRDefault="00B84A02"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Number of municipalities where Needs Assessment and Case Referral Units operate</w:t>
            </w:r>
          </w:p>
        </w:tc>
        <w:tc>
          <w:tcPr>
            <w:tcW w:w="840" w:type="dxa"/>
            <w:tcBorders>
              <w:top w:val="single" w:sz="8" w:space="0" w:color="000000"/>
              <w:left w:val="single" w:sz="8" w:space="0" w:color="000000"/>
              <w:bottom w:val="single" w:sz="8" w:space="0" w:color="000000"/>
              <w:right w:val="single" w:sz="8" w:space="0" w:color="000000"/>
            </w:tcBorders>
          </w:tcPr>
          <w:p w14:paraId="723EA4F4" w14:textId="271A229F" w:rsidR="005F2AC9" w:rsidRPr="00A166D4" w:rsidRDefault="00B84A02"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20 municipalities (year 2023)</w:t>
            </w:r>
            <w:r w:rsidR="00B56839" w:rsidRPr="00A166D4">
              <w:rPr>
                <w:rFonts w:ascii="Times New Roman" w:eastAsia="Times New Roman" w:hAnsi="Times New Roman" w:cs="Times New Roman"/>
                <w:color w:val="000000" w:themeColor="text1"/>
                <w:sz w:val="24"/>
                <w:szCs w:val="24"/>
                <w:lang w:val="it-IT"/>
              </w:rPr>
              <w:t xml:space="preserve"> </w:t>
            </w:r>
          </w:p>
          <w:p w14:paraId="684B1CA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2497F26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743A9C2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07846181" w14:textId="23FB2FAC" w:rsidR="005F2AC9" w:rsidRPr="00A166D4" w:rsidRDefault="00B84A02"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6 municipalities (year 2021)</w:t>
            </w:r>
          </w:p>
        </w:tc>
        <w:tc>
          <w:tcPr>
            <w:tcW w:w="750" w:type="dxa"/>
            <w:tcBorders>
              <w:top w:val="single" w:sz="8" w:space="0" w:color="000000"/>
              <w:left w:val="single" w:sz="8" w:space="0" w:color="000000"/>
              <w:bottom w:val="single" w:sz="8" w:space="0" w:color="000000"/>
              <w:right w:val="single" w:sz="8" w:space="0" w:color="000000"/>
            </w:tcBorders>
          </w:tcPr>
          <w:p w14:paraId="3685C2C8" w14:textId="4D7B304F" w:rsidR="005F2AC9" w:rsidRPr="00A166D4" w:rsidRDefault="00B84A02"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45 municipalities</w:t>
            </w:r>
            <w:r w:rsidR="00B56839" w:rsidRPr="00A166D4">
              <w:rPr>
                <w:rFonts w:ascii="Times New Roman" w:eastAsia="Times New Roman" w:hAnsi="Times New Roman" w:cs="Times New Roman"/>
                <w:color w:val="000000" w:themeColor="text1"/>
                <w:sz w:val="24"/>
                <w:szCs w:val="24"/>
                <w:lang w:val="it-IT"/>
              </w:rPr>
              <w:t xml:space="preserve"> </w:t>
            </w:r>
          </w:p>
          <w:p w14:paraId="448E403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20420B0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20AD898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C8190D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19DE2D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31152DEC"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15</w:t>
            </w:r>
          </w:p>
          <w:p w14:paraId="148F975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3ACDD6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79B7D17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BEB18B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2520331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F54066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tc>
        <w:tc>
          <w:tcPr>
            <w:tcW w:w="765" w:type="dxa"/>
            <w:tcBorders>
              <w:top w:val="single" w:sz="8" w:space="0" w:color="000000"/>
              <w:left w:val="single" w:sz="8" w:space="0" w:color="000000"/>
              <w:bottom w:val="single" w:sz="8" w:space="0" w:color="000000"/>
              <w:right w:val="single" w:sz="8" w:space="0" w:color="000000"/>
            </w:tcBorders>
          </w:tcPr>
          <w:p w14:paraId="15EFD1F4" w14:textId="251150FD" w:rsidR="005F2AC9" w:rsidRPr="00A166D4" w:rsidRDefault="00B84A02"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61 municipalities</w:t>
            </w:r>
            <w:r w:rsidR="00B56839" w:rsidRPr="00A166D4">
              <w:rPr>
                <w:rFonts w:ascii="Times New Roman" w:eastAsia="Times New Roman" w:hAnsi="Times New Roman" w:cs="Times New Roman"/>
                <w:color w:val="000000" w:themeColor="text1"/>
                <w:sz w:val="24"/>
                <w:szCs w:val="24"/>
                <w:lang w:val="it-IT"/>
              </w:rPr>
              <w:t xml:space="preserve"> </w:t>
            </w:r>
          </w:p>
          <w:p w14:paraId="2C56316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01B29D0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C3FEAF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7B26E1FF"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68588A9A" w14:textId="77777777" w:rsidR="004860B6" w:rsidRPr="00A166D4" w:rsidRDefault="004860B6" w:rsidP="00A166D4">
            <w:pPr>
              <w:spacing w:before="0" w:after="0"/>
              <w:jc w:val="both"/>
              <w:rPr>
                <w:rFonts w:ascii="Times New Roman" w:hAnsi="Times New Roman" w:cs="Times New Roman"/>
                <w:color w:val="000000" w:themeColor="text1"/>
                <w:sz w:val="24"/>
                <w:szCs w:val="24"/>
              </w:rPr>
            </w:pPr>
          </w:p>
          <w:p w14:paraId="1DB8EEAC"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35</w:t>
            </w:r>
          </w:p>
        </w:tc>
        <w:tc>
          <w:tcPr>
            <w:tcW w:w="1668" w:type="dxa"/>
            <w:tcBorders>
              <w:top w:val="single" w:sz="8" w:space="0" w:color="000000"/>
              <w:left w:val="single" w:sz="8" w:space="0" w:color="000000"/>
              <w:bottom w:val="single" w:sz="8" w:space="0" w:color="000000"/>
              <w:right w:val="single" w:sz="8" w:space="0" w:color="000000"/>
            </w:tcBorders>
          </w:tcPr>
          <w:p w14:paraId="5AA8F9D9"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p w14:paraId="1F85F0F8"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p w14:paraId="707A2C9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p w14:paraId="117B3D3F" w14:textId="108793D5" w:rsidR="005F2AC9" w:rsidRPr="00A166D4" w:rsidRDefault="00B84A02"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SSS / administrative data / NSPS monitoring report</w:t>
            </w:r>
            <w:r w:rsidR="00B56839" w:rsidRPr="00A166D4">
              <w:rPr>
                <w:rFonts w:ascii="Times New Roman" w:eastAsia="Times New Roman" w:hAnsi="Times New Roman" w:cs="Times New Roman"/>
                <w:color w:val="000000" w:themeColor="text1"/>
                <w:sz w:val="24"/>
                <w:szCs w:val="24"/>
                <w:lang w:val="it-CH"/>
              </w:rPr>
              <w:t xml:space="preserve"> </w:t>
            </w:r>
          </w:p>
          <w:p w14:paraId="3FE94366"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tc>
      </w:tr>
    </w:tbl>
    <w:p w14:paraId="1EE6CEC5" w14:textId="4F5B81D9" w:rsidR="007B7441" w:rsidRPr="00E8759D" w:rsidRDefault="007B7441" w:rsidP="00A166D4">
      <w:pPr>
        <w:suppressAutoHyphens w:val="0"/>
        <w:spacing w:beforeAutospacing="1" w:after="100" w:afterAutospacing="1"/>
        <w:jc w:val="both"/>
        <w:rPr>
          <w:rFonts w:ascii="Times New Roman" w:eastAsia="Times New Roman" w:hAnsi="Times New Roman" w:cs="Times New Roman"/>
          <w:b/>
          <w:bCs/>
          <w:sz w:val="24"/>
          <w:szCs w:val="24"/>
        </w:rPr>
      </w:pPr>
      <w:r w:rsidRPr="00E8759D">
        <w:rPr>
          <w:rFonts w:ascii="Times New Roman" w:eastAsia="Times New Roman" w:hAnsi="Times New Roman" w:cs="Times New Roman"/>
          <w:b/>
          <w:bCs/>
          <w:sz w:val="24"/>
          <w:szCs w:val="24"/>
        </w:rPr>
        <w:t>Description of the objective and monitoring results</w:t>
      </w:r>
    </w:p>
    <w:p w14:paraId="179719AF"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Within the framework of the reform for strengthening reporting and monitoring systems, the Electronic Register of Social Services (MIS-SSS) has begun to be widely used by municipalities and social care institutions, enabling for the first time the automatic generation of data on case management and service delivery. This system is a key instrument for increasing transparency, improving planning and facilitating periodic reporting at the local and central level.</w:t>
      </w:r>
    </w:p>
    <w:p w14:paraId="1AC1184E"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2025 data show that the system is being populated (1,567 registered cases), of which 159 have completed the entire workflow, indicating that, in addition to the increase in access, the full implementation of the system steps needs to be strengthened.</w:t>
      </w:r>
    </w:p>
    <w:p w14:paraId="7CCE37FB"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Improvements have been identified, such as the increase in municipalities' familiarity with the system, the inclusion of primary health care providers with active users, technical improvements in the workflow and the training of 253 users, as well as a positive impetus from monitoring within the framework of the Social Fund. However, the full functioning of the system continues to be affected by recurring issues, including the lack of technical maintenance, insufficient infrastructure, irregular monitoring, ineffective user management, limited staff capacities and the lack of interoperability between systems, factors that together limit the full completion of the workflow and optimal utilisation of the SSS's potential.</w:t>
      </w:r>
    </w:p>
    <w:p w14:paraId="0E469B9C"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Nevertheless, several important achievements have been recorded: all 61 municipalities are now active users of the system; the work flow has been improved on the basis of social service requirements for case management; social care institutions have begun to populate the system with data; and during the monitoring process of services supported by the Social Fund, all municipalities have been encouraged to use and continue using the MIS-SSS system.</w:t>
      </w:r>
    </w:p>
    <w:p w14:paraId="45CC7A13"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 the field of human resources, a comprehensive analysis of the human capacities engaged in the delivery of social services has been conducted. In Albania, 3,753 persons are currently employed in the social care sector, of whom 78% are directly engaged in service delivery and 22% support the functioning of the system at the local level. The majority of employees (81%) are women. Of the 61 municipalities, only 29 have established dedicated departments for social services, while the rest operate through social sectors.</w:t>
      </w:r>
    </w:p>
    <w:p w14:paraId="507412E7"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By the end of 2025, 66 Needs Assessment and Referral Units (NARU) have been established and are operational in 15 municipalities. The NARU model is designed and implemented at the administrative unit level; consequently, all reported NARUs operate at this level. In the case of municipalities with smaller territory and population, a NARU may cover more than one administrative unit, depending on local needs and organisation.</w:t>
      </w:r>
    </w:p>
    <w:p w14:paraId="10060642"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 the direction of improving the regulatory framework, the Ministry of Health and Social Welfare, with the support of UNICEF, has drafted the Guide for the Establishment and Organisation of NARUs, which envisages detailed descriptions of duties, cross-sectoral guidelines and cooperation models, the organisation of integrated case management, the legal aspects of functioning, as well as elements of licensing and monitoring.</w:t>
      </w:r>
    </w:p>
    <w:p w14:paraId="522AB963"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As regards the consultation process and ensuring local engagement, since 2019 onwards, consultations have been held in all 61 municipalities of the country. Within the framework of the EU4SocialCare programme, 15 mentoring sessions were held for directors and sectors of social services, with approximately 150 participants (directors, sector heads and technical staff), focused on their role and functions in the field of social protection and care, as well as the establishment and functioning of NARUs.</w:t>
      </w:r>
    </w:p>
    <w:p w14:paraId="4C16F9A2"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 implementation of the national capacity development plan, all 61 municipalities have been supported through on-the-job training, mentoring and technical guidance. During this period, 489 municipal employees, service providers, heads of social structures and representatives of partner civil society organisations participated in these processes, strengthening knowledge on the mandate, role and responsibilities of NARUs, as well as contributing with comments to the drafting of the Guide.</w:t>
      </w:r>
    </w:p>
    <w:p w14:paraId="2873A08F"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For 2026, the continuation of the process of extending NARUs to the remaining municipalities is envisaged, with technical assistance from UNICEF, giving priority to those municipalities where structures have not yet been formally established or where further consolidation is required. A detailed plan for national coverage is in preparation and is expected to be finalised by February 2026, with the aim of full coverage and functionalisation of NARUs in all municipalities during 2026. In parallel, work will continue on strengthening their functionalisation at the administrative unit level, through clarification of roles and responsibilities, strengthening of human resources and improvement of coordination with child protection structures and other social services, in accordance with Law No. 121/2016.</w:t>
      </w:r>
    </w:p>
    <w:p w14:paraId="76E34638"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Within the framework of the implementation of the Social Protection Strategy 2024–2030, the Ministry of Health and Social Welfare has intensified efforts for communication and increasing the visibility of social services, with the aim of informing and empowering beneficiaries to exercise their right to access social care. Awareness-raising campaigns and activities have been conducted to increase understanding of the Social Fund and the opportunities it offers for local units and vulnerable groups. These efforts have been materialised through a national activity in February 2024 and another in February 2025.</w:t>
      </w:r>
    </w:p>
    <w:p w14:paraId="0809BBFF"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communication efforts of EU4SocialCare reached approximately 1.2 million persons through four digital platforms, ensuring broad dissemination of information on the results and concrete impact of social services supported by the European Union. The publication of human-focused stories, particularly within the framework of international human rights days, contributed to presenting their effects on the lives of beneficiaries. These efforts also served as a basis for reflection and strategic orientation, helping to identify priorities and for future planning of interventions in the field of social protection.</w:t>
      </w:r>
    </w:p>
    <w:p w14:paraId="787DDD75" w14:textId="77777777" w:rsidR="007B7441" w:rsidRPr="00E8759D" w:rsidRDefault="007B7441" w:rsidP="00A166D4">
      <w:pPr>
        <w:suppressAutoHyphens w:val="0"/>
        <w:spacing w:beforeAutospacing="1" w:after="100" w:afterAutospacing="1"/>
        <w:jc w:val="both"/>
        <w:rPr>
          <w:rFonts w:ascii="Times New Roman" w:eastAsia="Times New Roman" w:hAnsi="Times New Roman" w:cs="Times New Roman"/>
          <w:b/>
          <w:bCs/>
          <w:sz w:val="24"/>
          <w:szCs w:val="24"/>
        </w:rPr>
      </w:pPr>
      <w:r w:rsidRPr="00E8759D">
        <w:rPr>
          <w:rFonts w:ascii="Times New Roman" w:eastAsia="Times New Roman" w:hAnsi="Times New Roman" w:cs="Times New Roman"/>
          <w:b/>
          <w:bCs/>
          <w:sz w:val="24"/>
          <w:szCs w:val="24"/>
        </w:rPr>
        <w:t>Specific Objective B2: Implementation of standards and strengthening of the human capacities of social care services personnel for quality and gender-responsive services.</w:t>
      </w:r>
    </w:p>
    <w:p w14:paraId="71564DDC" w14:textId="77777777" w:rsidR="00E8759D"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E8759D">
        <w:rPr>
          <w:rFonts w:ascii="Times New Roman" w:eastAsia="Times New Roman" w:hAnsi="Times New Roman" w:cs="Times New Roman"/>
          <w:i/>
          <w:iCs/>
          <w:sz w:val="24"/>
          <w:szCs w:val="24"/>
        </w:rPr>
        <w:t>Priority measures:</w:t>
      </w:r>
      <w:r w:rsidRPr="00A166D4">
        <w:rPr>
          <w:rFonts w:ascii="Times New Roman" w:eastAsia="Times New Roman" w:hAnsi="Times New Roman" w:cs="Times New Roman"/>
          <w:sz w:val="24"/>
          <w:szCs w:val="24"/>
        </w:rPr>
        <w:t xml:space="preserve"> </w:t>
      </w:r>
    </w:p>
    <w:p w14:paraId="0FA5B7B6" w14:textId="7591B193" w:rsidR="007B7441" w:rsidRPr="00E8759D" w:rsidRDefault="007B7441" w:rsidP="00A166D4">
      <w:pPr>
        <w:suppressAutoHyphens w:val="0"/>
        <w:spacing w:beforeAutospacing="1" w:after="100" w:afterAutospacing="1"/>
        <w:jc w:val="both"/>
        <w:rPr>
          <w:rFonts w:ascii="Times New Roman" w:eastAsia="Times New Roman" w:hAnsi="Times New Roman" w:cs="Times New Roman"/>
          <w:sz w:val="24"/>
          <w:szCs w:val="24"/>
          <w:u w:val="single"/>
        </w:rPr>
      </w:pPr>
      <w:r w:rsidRPr="00E8759D">
        <w:rPr>
          <w:rFonts w:ascii="Times New Roman" w:eastAsia="Times New Roman" w:hAnsi="Times New Roman" w:cs="Times New Roman"/>
          <w:sz w:val="24"/>
          <w:szCs w:val="24"/>
          <w:u w:val="single"/>
        </w:rPr>
        <w:t>B.2.1 Improving the quality of existing and new services through the implementation, monitoring and inspection of standards, including from a gender-responsive perspective.</w:t>
      </w:r>
    </w:p>
    <w:p w14:paraId="63856B4D" w14:textId="77777777" w:rsidR="007B7441" w:rsidRPr="00E8759D" w:rsidRDefault="007B7441" w:rsidP="00A166D4">
      <w:pPr>
        <w:suppressAutoHyphens w:val="0"/>
        <w:spacing w:beforeAutospacing="1" w:after="100" w:afterAutospacing="1"/>
        <w:jc w:val="both"/>
        <w:rPr>
          <w:rFonts w:ascii="Times New Roman" w:eastAsia="Times New Roman" w:hAnsi="Times New Roman" w:cs="Times New Roman"/>
          <w:b/>
          <w:bCs/>
          <w:sz w:val="24"/>
          <w:szCs w:val="24"/>
        </w:rPr>
      </w:pPr>
      <w:r w:rsidRPr="00E8759D">
        <w:rPr>
          <w:rFonts w:ascii="Times New Roman" w:eastAsia="Times New Roman" w:hAnsi="Times New Roman" w:cs="Times New Roman"/>
          <w:b/>
          <w:bCs/>
          <w:sz w:val="24"/>
          <w:szCs w:val="24"/>
        </w:rPr>
        <w:t>Priority activities for the reporting period:</w:t>
      </w:r>
    </w:p>
    <w:p w14:paraId="10724CEE" w14:textId="77777777" w:rsidR="007B7441" w:rsidRPr="00A166D4" w:rsidRDefault="007B7441" w:rsidP="00320C75">
      <w:pPr>
        <w:numPr>
          <w:ilvl w:val="0"/>
          <w:numId w:val="1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Completion and/or review of the social services standards framework with general and specific standards (for existing and new services; including residential services for the elderly and children; for young people for independent living; day care and residential services for PwD categories, victims of violence or trafficking); Continued harmonisation of protocols followed by public and non-public providers with the functional and quality standards of social care services;</w:t>
      </w:r>
    </w:p>
    <w:p w14:paraId="0BFE05C7" w14:textId="77777777" w:rsidR="007B7441" w:rsidRPr="00A166D4" w:rsidRDefault="007B7441" w:rsidP="00320C75">
      <w:pPr>
        <w:numPr>
          <w:ilvl w:val="0"/>
          <w:numId w:val="1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Separation and clarification of the roles of institutions in relation to the monitoring and inspection of social care services;</w:t>
      </w:r>
    </w:p>
    <w:p w14:paraId="2B30696D" w14:textId="77777777" w:rsidR="007B7441" w:rsidRPr="00A166D4" w:rsidRDefault="007B7441" w:rsidP="00320C75">
      <w:pPr>
        <w:numPr>
          <w:ilvl w:val="0"/>
          <w:numId w:val="1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Drafting and/or review of the methodology and guidelines for the monitoring and inspection of services, including monitoring by the local level itself;</w:t>
      </w:r>
    </w:p>
    <w:p w14:paraId="44C6C435" w14:textId="7552F66D" w:rsidR="005F2AC9" w:rsidRPr="00A166D4" w:rsidRDefault="007B7441" w:rsidP="00320C75">
      <w:pPr>
        <w:numPr>
          <w:ilvl w:val="0"/>
          <w:numId w:val="1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Carrying out periodic inspections and analyses;</w:t>
      </w:r>
      <w:r w:rsidR="00B56839" w:rsidRPr="00A166D4">
        <w:rPr>
          <w:rFonts w:ascii="Times New Roman" w:hAnsi="Times New Roman" w:cs="Times New Roman"/>
          <w:color w:val="000000" w:themeColor="text1"/>
          <w:sz w:val="24"/>
          <w:szCs w:val="24"/>
          <w:lang w:val="sq-AL"/>
        </w:rPr>
        <w:t xml:space="preserve">  </w:t>
      </w:r>
    </w:p>
    <w:p w14:paraId="05330E7C" w14:textId="234F134F" w:rsidR="005F2AC9" w:rsidRPr="00A166D4" w:rsidRDefault="00B84A02" w:rsidP="00E8759D">
      <w:pPr>
        <w:jc w:val="both"/>
        <w:rPr>
          <w:rFonts w:ascii="Times New Roman" w:hAnsi="Times New Roman" w:cs="Times New Roman"/>
          <w:b/>
          <w:bCs/>
          <w:color w:val="000000" w:themeColor="text1"/>
          <w:sz w:val="24"/>
          <w:szCs w:val="24"/>
          <w:lang w:val="it-IT"/>
        </w:rPr>
      </w:pPr>
      <w:r w:rsidRPr="00A166D4">
        <w:rPr>
          <w:rFonts w:ascii="Times New Roman" w:eastAsia="Times New Roman" w:hAnsi="Times New Roman" w:cs="Times New Roman"/>
          <w:b/>
          <w:bCs/>
          <w:color w:val="000000" w:themeColor="text1"/>
          <w:sz w:val="24"/>
          <w:szCs w:val="24"/>
          <w:lang w:val="it-IT"/>
        </w:rPr>
        <w:t>Table: Passport Indicators for Specific Objective B.2.1</w:t>
      </w:r>
    </w:p>
    <w:tbl>
      <w:tblPr>
        <w:tblStyle w:val="TableGrid"/>
        <w:tblW w:w="9250" w:type="dxa"/>
        <w:tblLayout w:type="fixed"/>
        <w:tblLook w:val="04A0" w:firstRow="1" w:lastRow="0" w:firstColumn="1" w:lastColumn="0" w:noHBand="0" w:noVBand="1"/>
      </w:tblPr>
      <w:tblGrid>
        <w:gridCol w:w="2130"/>
        <w:gridCol w:w="2325"/>
        <w:gridCol w:w="1263"/>
        <w:gridCol w:w="1058"/>
        <w:gridCol w:w="1058"/>
        <w:gridCol w:w="1416"/>
      </w:tblGrid>
      <w:tr w:rsidR="005F2AC9" w:rsidRPr="00A166D4" w14:paraId="5172F59E" w14:textId="77777777" w:rsidTr="007B7441">
        <w:trPr>
          <w:trHeight w:val="300"/>
        </w:trPr>
        <w:tc>
          <w:tcPr>
            <w:tcW w:w="2130" w:type="dxa"/>
            <w:tcBorders>
              <w:top w:val="single" w:sz="8" w:space="0" w:color="000000"/>
              <w:left w:val="single" w:sz="8" w:space="0" w:color="000000"/>
              <w:bottom w:val="single" w:sz="8" w:space="0" w:color="000000"/>
              <w:right w:val="single" w:sz="8" w:space="0" w:color="000000"/>
            </w:tcBorders>
          </w:tcPr>
          <w:p w14:paraId="12BF6A97" w14:textId="0EA35B9B" w:rsidR="005F2AC9" w:rsidRPr="00A166D4" w:rsidRDefault="00B84A02" w:rsidP="00A166D4">
            <w:pPr>
              <w:spacing w:before="0" w:after="0"/>
              <w:jc w:val="both"/>
              <w:rPr>
                <w:rFonts w:ascii="Times New Roman" w:hAnsi="Times New Roman" w:cs="Times New Roman"/>
                <w:color w:val="000000" w:themeColor="text1"/>
                <w:sz w:val="24"/>
                <w:szCs w:val="24"/>
                <w:lang w:val="it-IT"/>
              </w:rPr>
            </w:pPr>
            <w:r w:rsidRPr="00A166D4">
              <w:rPr>
                <w:rFonts w:ascii="Times New Roman" w:hAnsi="Times New Roman" w:cs="Times New Roman"/>
                <w:sz w:val="24"/>
                <w:szCs w:val="24"/>
              </w:rPr>
              <w:t>B2.1 Improvement of the quality and gender sensitivity of existing and new services through the implementation, monitoring and inspection of standards.</w:t>
            </w:r>
          </w:p>
        </w:tc>
        <w:tc>
          <w:tcPr>
            <w:tcW w:w="2325" w:type="dxa"/>
            <w:tcBorders>
              <w:top w:val="single" w:sz="8" w:space="0" w:color="000000"/>
              <w:left w:val="single" w:sz="8" w:space="0" w:color="000000"/>
              <w:bottom w:val="single" w:sz="8" w:space="0" w:color="000000"/>
              <w:right w:val="single" w:sz="8" w:space="0" w:color="000000"/>
            </w:tcBorders>
          </w:tcPr>
          <w:p w14:paraId="3C7FD681" w14:textId="70E8C5A3" w:rsidR="005F2AC9" w:rsidRPr="00A166D4" w:rsidRDefault="00B84A02" w:rsidP="00A166D4">
            <w:pPr>
              <w:spacing w:before="0" w:after="0"/>
              <w:jc w:val="both"/>
              <w:rPr>
                <w:rFonts w:ascii="Times New Roman" w:hAnsi="Times New Roman" w:cs="Times New Roman"/>
                <w:color w:val="000000" w:themeColor="text1"/>
                <w:sz w:val="24"/>
                <w:szCs w:val="24"/>
                <w:lang w:val="it-IT"/>
              </w:rPr>
            </w:pPr>
            <w:r w:rsidRPr="00A166D4">
              <w:rPr>
                <w:rFonts w:ascii="Times New Roman" w:hAnsi="Times New Roman" w:cs="Times New Roman"/>
                <w:sz w:val="24"/>
                <w:szCs w:val="24"/>
              </w:rPr>
              <w:t>Number of inspections carried out on the basis of standards and the inspection framework for public and non-public entities (by service typology)</w:t>
            </w:r>
            <w:r w:rsidR="00B56839" w:rsidRPr="00A166D4">
              <w:rPr>
                <w:rFonts w:ascii="Times New Roman" w:eastAsia="Times New Roman" w:hAnsi="Times New Roman" w:cs="Times New Roman"/>
                <w:color w:val="000000" w:themeColor="text1"/>
                <w:sz w:val="24"/>
                <w:szCs w:val="24"/>
                <w:lang w:val="it-IT"/>
              </w:rPr>
              <w:t xml:space="preserve"> </w:t>
            </w:r>
          </w:p>
          <w:p w14:paraId="0F54F300" w14:textId="77777777" w:rsidR="005F2AC9" w:rsidRPr="00A166D4" w:rsidRDefault="00B56839" w:rsidP="00A166D4">
            <w:pPr>
              <w:spacing w:before="0" w:after="0"/>
              <w:jc w:val="both"/>
              <w:rPr>
                <w:rFonts w:ascii="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48FAFC33" w14:textId="77777777" w:rsidR="005F2AC9" w:rsidRPr="00A166D4" w:rsidRDefault="00B56839" w:rsidP="00A166D4">
            <w:pPr>
              <w:spacing w:before="0" w:after="0"/>
              <w:jc w:val="both"/>
              <w:rPr>
                <w:rFonts w:ascii="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tc>
        <w:tc>
          <w:tcPr>
            <w:tcW w:w="1263" w:type="dxa"/>
            <w:tcBorders>
              <w:top w:val="single" w:sz="8" w:space="0" w:color="000000"/>
              <w:left w:val="single" w:sz="8" w:space="0" w:color="000000"/>
              <w:bottom w:val="single" w:sz="8" w:space="0" w:color="000000"/>
              <w:right w:val="single" w:sz="8" w:space="0" w:color="000000"/>
            </w:tcBorders>
          </w:tcPr>
          <w:p w14:paraId="4D2CA4A5" w14:textId="3C601002" w:rsidR="005F2AC9" w:rsidRPr="00A166D4" w:rsidRDefault="00B84A02"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145 (year 2022)</w:t>
            </w:r>
            <w:r w:rsidR="00B56839" w:rsidRPr="00A166D4">
              <w:rPr>
                <w:rFonts w:ascii="Times New Roman" w:eastAsia="Times New Roman" w:hAnsi="Times New Roman" w:cs="Times New Roman"/>
                <w:color w:val="000000" w:themeColor="text1"/>
                <w:sz w:val="24"/>
                <w:szCs w:val="24"/>
                <w:lang w:val="it-IT"/>
              </w:rPr>
              <w:t xml:space="preserve"> </w:t>
            </w:r>
          </w:p>
          <w:p w14:paraId="44B53BC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F3AE8A5" w14:textId="323D4323" w:rsidR="005F2AC9" w:rsidRPr="00A166D4" w:rsidRDefault="005F2AC9" w:rsidP="00A166D4">
            <w:pPr>
              <w:spacing w:before="0" w:after="0"/>
              <w:jc w:val="both"/>
              <w:rPr>
                <w:rFonts w:ascii="Times New Roman" w:hAnsi="Times New Roman" w:cs="Times New Roman"/>
                <w:color w:val="000000" w:themeColor="text1"/>
                <w:sz w:val="24"/>
                <w:szCs w:val="24"/>
              </w:rPr>
            </w:pPr>
          </w:p>
          <w:p w14:paraId="21FBE08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6E0712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tc>
        <w:tc>
          <w:tcPr>
            <w:tcW w:w="1058" w:type="dxa"/>
            <w:tcBorders>
              <w:top w:val="single" w:sz="8" w:space="0" w:color="000000"/>
              <w:left w:val="single" w:sz="8" w:space="0" w:color="000000"/>
              <w:bottom w:val="single" w:sz="8" w:space="0" w:color="000000"/>
              <w:right w:val="single" w:sz="8" w:space="0" w:color="000000"/>
            </w:tcBorders>
          </w:tcPr>
          <w:p w14:paraId="7B62D40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163</w:t>
            </w:r>
          </w:p>
        </w:tc>
        <w:tc>
          <w:tcPr>
            <w:tcW w:w="1058" w:type="dxa"/>
            <w:tcBorders>
              <w:top w:val="single" w:sz="8" w:space="0" w:color="000000"/>
              <w:left w:val="single" w:sz="8" w:space="0" w:color="000000"/>
              <w:bottom w:val="single" w:sz="8" w:space="0" w:color="000000"/>
              <w:right w:val="single" w:sz="8" w:space="0" w:color="000000"/>
            </w:tcBorders>
          </w:tcPr>
          <w:p w14:paraId="196C834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265</w:t>
            </w:r>
          </w:p>
        </w:tc>
        <w:tc>
          <w:tcPr>
            <w:tcW w:w="1416" w:type="dxa"/>
            <w:tcBorders>
              <w:top w:val="single" w:sz="8" w:space="0" w:color="000000"/>
              <w:left w:val="single" w:sz="8" w:space="0" w:color="000000"/>
              <w:bottom w:val="single" w:sz="8" w:space="0" w:color="000000"/>
              <w:right w:val="single" w:sz="8" w:space="0" w:color="000000"/>
            </w:tcBorders>
          </w:tcPr>
          <w:p w14:paraId="6747B28C" w14:textId="5C686DB0" w:rsidR="005F2AC9" w:rsidRPr="00A166D4" w:rsidRDefault="00B84A02" w:rsidP="00A166D4">
            <w:pPr>
              <w:spacing w:before="0" w:after="0"/>
              <w:jc w:val="both"/>
              <w:rPr>
                <w:rFonts w:ascii="Times New Roman" w:hAnsi="Times New Roman" w:cs="Times New Roman"/>
                <w:color w:val="000000" w:themeColor="text1"/>
                <w:sz w:val="24"/>
                <w:szCs w:val="24"/>
              </w:rPr>
            </w:pPr>
            <w:r w:rsidRPr="00A166D4">
              <w:rPr>
                <w:rFonts w:ascii="Times New Roman" w:hAnsi="Times New Roman" w:cs="Times New Roman"/>
                <w:sz w:val="24"/>
                <w:szCs w:val="24"/>
              </w:rPr>
              <w:t>Directorate for the Inspection of Social Services / NSPS monitoring report</w:t>
            </w:r>
            <w:r w:rsidR="00B56839" w:rsidRPr="00A166D4">
              <w:rPr>
                <w:rFonts w:ascii="Times New Roman" w:eastAsia="Times New Roman" w:hAnsi="Times New Roman" w:cs="Times New Roman"/>
                <w:color w:val="000000" w:themeColor="text1"/>
                <w:sz w:val="24"/>
                <w:szCs w:val="24"/>
                <w:lang w:val="it-CH"/>
              </w:rPr>
              <w:t xml:space="preserve"> </w:t>
            </w:r>
          </w:p>
          <w:p w14:paraId="44998AE9" w14:textId="60143670" w:rsidR="005F2AC9" w:rsidRPr="00A166D4" w:rsidRDefault="005F2AC9" w:rsidP="00A166D4">
            <w:pPr>
              <w:spacing w:before="0" w:after="0"/>
              <w:jc w:val="both"/>
              <w:rPr>
                <w:rFonts w:ascii="Times New Roman" w:hAnsi="Times New Roman" w:cs="Times New Roman"/>
                <w:color w:val="000000" w:themeColor="text1"/>
                <w:sz w:val="24"/>
                <w:szCs w:val="24"/>
              </w:rPr>
            </w:pPr>
          </w:p>
        </w:tc>
      </w:tr>
    </w:tbl>
    <w:p w14:paraId="70FA0F5B" w14:textId="77777777" w:rsidR="00E8759D" w:rsidRDefault="00E8759D" w:rsidP="00A166D4">
      <w:pPr>
        <w:pStyle w:val="NormalWeb"/>
        <w:spacing w:before="280" w:after="280" w:line="276" w:lineRule="auto"/>
        <w:jc w:val="both"/>
        <w:rPr>
          <w:rFonts w:cs="Times New Roman"/>
          <w:b/>
          <w:bCs/>
          <w:color w:val="000000" w:themeColor="text1"/>
          <w:lang w:val="it-IT" w:eastAsia="en-US"/>
        </w:rPr>
      </w:pPr>
    </w:p>
    <w:p w14:paraId="54AF4A11" w14:textId="16F5DBB3" w:rsidR="007B7441" w:rsidRPr="00A166D4" w:rsidRDefault="007B7441" w:rsidP="00A166D4">
      <w:pPr>
        <w:pStyle w:val="NormalWeb"/>
        <w:spacing w:before="280" w:after="280" w:line="276" w:lineRule="auto"/>
        <w:jc w:val="both"/>
        <w:rPr>
          <w:rFonts w:cs="Times New Roman"/>
          <w:b/>
          <w:bCs/>
          <w:color w:val="000000" w:themeColor="text1"/>
          <w:lang w:val="it-IT" w:eastAsia="en-US"/>
        </w:rPr>
      </w:pPr>
      <w:r w:rsidRPr="00A166D4">
        <w:rPr>
          <w:rFonts w:cs="Times New Roman"/>
          <w:b/>
          <w:bCs/>
          <w:color w:val="000000" w:themeColor="text1"/>
          <w:lang w:val="it-IT" w:eastAsia="en-US"/>
        </w:rPr>
        <w:t>Description of the objective and monitoring results</w:t>
      </w:r>
    </w:p>
    <w:p w14:paraId="08ECAD0A" w14:textId="77777777" w:rsidR="007B7441" w:rsidRPr="00A166D4" w:rsidRDefault="007B7441" w:rsidP="00A166D4">
      <w:pPr>
        <w:pStyle w:val="font-claude-response-body"/>
        <w:spacing w:line="276" w:lineRule="auto"/>
        <w:jc w:val="both"/>
      </w:pPr>
      <w:r w:rsidRPr="00A166D4">
        <w:t>This objective aims to guarantee a higher level of quality in the delivery of social services, both existing and new, through the implementation of clear and measurable standards, continuous monitoring and their systematic inspection. At the centre of this process lies the principle of gender responsiveness, ensuring that services are sensitive to the different needs of women, men, girls and boys, and contribute to the reduction of gender inequalities. This approach aims not only at improving institutional performance, but also at increasing citizens' trust in the social protection system, making it fairer, more inclusive and more effective.</w:t>
      </w:r>
    </w:p>
    <w:p w14:paraId="7AB717F2" w14:textId="77777777" w:rsidR="007B7441" w:rsidRPr="00A166D4" w:rsidRDefault="007B7441" w:rsidP="00A166D4">
      <w:pPr>
        <w:pStyle w:val="font-claude-response-body"/>
        <w:spacing w:line="276" w:lineRule="auto"/>
        <w:jc w:val="both"/>
      </w:pPr>
      <w:r w:rsidRPr="00A166D4">
        <w:t>Within the framework of the implementation of Law No. 121/2016 "On Social Care Services in the Republic of Albania" and the social protection reform, a structured process has been undertaken for the development of a sustainable methodology for monitoring social care services. This process has aimed at guaranteeing quality, compliance with legal standards and increasing the effectiveness of services for individuals and families in need.</w:t>
      </w:r>
    </w:p>
    <w:p w14:paraId="5D1E8B69" w14:textId="77777777" w:rsidR="007B7441" w:rsidRPr="00A166D4" w:rsidRDefault="007B7441" w:rsidP="00A166D4">
      <w:pPr>
        <w:pStyle w:val="font-claude-response-body"/>
        <w:spacing w:line="276" w:lineRule="auto"/>
        <w:jc w:val="both"/>
      </w:pPr>
      <w:r w:rsidRPr="00A166D4">
        <w:t>In the conditions of the decentralisation of competences towards local government and the increase in the diversity of service providers (public, non-public and mixed), the need for a unified instrument has been identified that enables the assessment of the performance of institutions, their technical capacities and compliance with existing standards.</w:t>
      </w:r>
    </w:p>
    <w:p w14:paraId="77D71594" w14:textId="77777777" w:rsidR="007B7441" w:rsidRPr="00A166D4" w:rsidRDefault="007B7441" w:rsidP="00A166D4">
      <w:pPr>
        <w:pStyle w:val="font-claude-response-body"/>
        <w:spacing w:line="276" w:lineRule="auto"/>
        <w:jc w:val="both"/>
      </w:pPr>
      <w:r w:rsidRPr="00A166D4">
        <w:t>In this context, the State Social Service, with the support of the UNDP "Leave No One Behind" programme, has drafted a new methodology for monitoring services, which aims to assess not only the quality of services provided, but also the institutional capacities of providers and local units to expand the range of services in accordance with the needs of vulnerable groups. This instrument serves as a basis for improving deinstitutionalisation, decentralisation and service integration policies at the community level. It includes a range of methods and techniques for identifying critical issues, advising local government on improving and expanding services, as well as guiding the development of social policies at the national level. Continuous and periodic monitoring, built upon a well-defined plan and unified standards, enables the collection of statistical data, the assessment of changes over time and the preparation of analytical reports for the responsible institutions.</w:t>
      </w:r>
    </w:p>
    <w:p w14:paraId="1163D830" w14:textId="77777777" w:rsidR="007B7441" w:rsidRPr="00A166D4" w:rsidRDefault="007B7441" w:rsidP="00A166D4">
      <w:pPr>
        <w:pStyle w:val="font-claude-response-body"/>
        <w:spacing w:line="276" w:lineRule="auto"/>
        <w:jc w:val="both"/>
      </w:pPr>
      <w:r w:rsidRPr="00A166D4">
        <w:t>The social care services monitoring methodology is an instrument that will be used by the SSS at the central and regional level to assess the performance of services provided by public and non-public actors, as well as by local structures such as Social Care Service Structures and Needs Assessment and Referral Units.</w:t>
      </w:r>
    </w:p>
    <w:p w14:paraId="2744F152" w14:textId="4512691D" w:rsidR="005F2AC9" w:rsidRPr="00A166D4" w:rsidRDefault="007B7441" w:rsidP="00A166D4">
      <w:pPr>
        <w:pStyle w:val="font-claude-response-body"/>
        <w:spacing w:line="276" w:lineRule="auto"/>
        <w:jc w:val="both"/>
      </w:pPr>
      <w:r w:rsidRPr="00E8759D">
        <w:rPr>
          <w:b/>
          <w:bCs/>
        </w:rPr>
        <w:t>For 2025, a total of 134 inspections of social care Centres/Services were carried out</w:t>
      </w:r>
      <w:r w:rsidRPr="00A166D4">
        <w:t>, maintaining an annual average trend of 128 inspections per year (see the table below).</w:t>
      </w:r>
    </w:p>
    <w:p w14:paraId="1AEA9FB2" w14:textId="77777777" w:rsidR="005F2AC9" w:rsidRPr="00A166D4" w:rsidRDefault="005F2AC9" w:rsidP="00A166D4">
      <w:pPr>
        <w:pStyle w:val="ListParagraph"/>
        <w:spacing w:after="0"/>
        <w:ind w:left="0"/>
        <w:jc w:val="both"/>
        <w:rPr>
          <w:rFonts w:ascii="Times New Roman" w:hAnsi="Times New Roman" w:cs="Times New Roman"/>
          <w:color w:val="000000" w:themeColor="text1"/>
          <w:sz w:val="24"/>
          <w:szCs w:val="24"/>
          <w:lang w:val="it-IT"/>
        </w:rPr>
      </w:pPr>
    </w:p>
    <w:tbl>
      <w:tblPr>
        <w:tblW w:w="8019" w:type="dxa"/>
        <w:jc w:val="center"/>
        <w:tblLayout w:type="fixed"/>
        <w:tblLook w:val="04A0" w:firstRow="1" w:lastRow="0" w:firstColumn="1" w:lastColumn="0" w:noHBand="0" w:noVBand="1"/>
      </w:tblPr>
      <w:tblGrid>
        <w:gridCol w:w="4120"/>
        <w:gridCol w:w="960"/>
        <w:gridCol w:w="959"/>
        <w:gridCol w:w="960"/>
        <w:gridCol w:w="1020"/>
      </w:tblGrid>
      <w:tr w:rsidR="005F2AC9" w:rsidRPr="00A166D4" w14:paraId="6E14A8EB" w14:textId="77777777">
        <w:trPr>
          <w:trHeight w:val="288"/>
          <w:jc w:val="center"/>
        </w:trPr>
        <w:tc>
          <w:tcPr>
            <w:tcW w:w="4120" w:type="dxa"/>
            <w:vMerge w:val="restart"/>
            <w:tcBorders>
              <w:top w:val="single" w:sz="4" w:space="0" w:color="000000"/>
              <w:left w:val="single" w:sz="4" w:space="0" w:color="000000"/>
              <w:bottom w:val="single" w:sz="4" w:space="0" w:color="000000"/>
              <w:right w:val="single" w:sz="4" w:space="0" w:color="000000"/>
            </w:tcBorders>
            <w:shd w:val="clear" w:color="auto" w:fill="C6BFAB" w:themeFill="accent5" w:themeFillTint="99"/>
            <w:vAlign w:val="center"/>
          </w:tcPr>
          <w:p w14:paraId="35FD3F64" w14:textId="67FFA6B3" w:rsidR="005F2AC9" w:rsidRPr="00A166D4" w:rsidRDefault="00B84A02" w:rsidP="00E8759D">
            <w:pPr>
              <w:spacing w:after="0"/>
              <w:jc w:val="center"/>
              <w:rPr>
                <w:rFonts w:ascii="Times New Roman" w:eastAsia="Times New Roman" w:hAnsi="Times New Roman" w:cs="Times New Roman"/>
                <w:color w:val="000000" w:themeColor="text1"/>
                <w:sz w:val="24"/>
                <w:szCs w:val="24"/>
                <w:highlight w:val="yellow"/>
              </w:rPr>
            </w:pPr>
            <w:r w:rsidRPr="00A166D4">
              <w:rPr>
                <w:rFonts w:ascii="Times New Roman" w:hAnsi="Times New Roman" w:cs="Times New Roman"/>
                <w:sz w:val="24"/>
                <w:szCs w:val="24"/>
              </w:rPr>
              <w:t>Indicator</w:t>
            </w:r>
          </w:p>
        </w:tc>
        <w:tc>
          <w:tcPr>
            <w:tcW w:w="3899" w:type="dxa"/>
            <w:gridSpan w:val="4"/>
            <w:tcBorders>
              <w:top w:val="single" w:sz="4" w:space="0" w:color="000000"/>
              <w:bottom w:val="single" w:sz="4" w:space="0" w:color="000000"/>
              <w:right w:val="single" w:sz="4" w:space="0" w:color="000000"/>
            </w:tcBorders>
            <w:shd w:val="clear" w:color="auto" w:fill="C6BFAB" w:themeFill="accent5" w:themeFillTint="99"/>
            <w:vAlign w:val="center"/>
          </w:tcPr>
          <w:p w14:paraId="4F759CFE" w14:textId="40D47198" w:rsidR="005F2AC9" w:rsidRPr="00A166D4" w:rsidRDefault="00B84A02" w:rsidP="00E8759D">
            <w:pPr>
              <w:spacing w:after="0"/>
              <w:jc w:val="center"/>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Year</w:t>
            </w:r>
          </w:p>
        </w:tc>
      </w:tr>
      <w:tr w:rsidR="005F2AC9" w:rsidRPr="00A166D4" w14:paraId="72D77F36" w14:textId="77777777">
        <w:trPr>
          <w:trHeight w:val="288"/>
          <w:jc w:val="center"/>
        </w:trPr>
        <w:tc>
          <w:tcPr>
            <w:tcW w:w="4120" w:type="dxa"/>
            <w:vMerge/>
            <w:tcBorders>
              <w:top w:val="single" w:sz="4" w:space="0" w:color="000000"/>
              <w:left w:val="single" w:sz="4" w:space="0" w:color="000000"/>
              <w:bottom w:val="single" w:sz="4" w:space="0" w:color="000000"/>
              <w:right w:val="single" w:sz="4" w:space="0" w:color="000000"/>
            </w:tcBorders>
            <w:shd w:val="clear" w:color="auto" w:fill="C6BFAB" w:themeFill="accent5" w:themeFillTint="99"/>
            <w:vAlign w:val="center"/>
          </w:tcPr>
          <w:p w14:paraId="29A127BF" w14:textId="77777777" w:rsidR="005F2AC9" w:rsidRPr="00A166D4" w:rsidRDefault="005F2AC9" w:rsidP="00A166D4">
            <w:pPr>
              <w:spacing w:after="0"/>
              <w:jc w:val="both"/>
              <w:rPr>
                <w:rFonts w:ascii="Times New Roman" w:eastAsia="Times New Roman" w:hAnsi="Times New Roman" w:cs="Times New Roman"/>
                <w:color w:val="000000" w:themeColor="text1"/>
                <w:sz w:val="24"/>
                <w:szCs w:val="24"/>
              </w:rPr>
            </w:pPr>
          </w:p>
        </w:tc>
        <w:tc>
          <w:tcPr>
            <w:tcW w:w="960" w:type="dxa"/>
            <w:tcBorders>
              <w:bottom w:val="single" w:sz="4" w:space="0" w:color="000000"/>
              <w:right w:val="single" w:sz="4" w:space="0" w:color="000000"/>
            </w:tcBorders>
            <w:shd w:val="clear" w:color="auto" w:fill="C6BFAB" w:themeFill="accent5" w:themeFillTint="99"/>
            <w:vAlign w:val="center"/>
          </w:tcPr>
          <w:p w14:paraId="267EA547" w14:textId="77777777" w:rsidR="005F2AC9" w:rsidRPr="00A166D4" w:rsidRDefault="00B56839" w:rsidP="00A166D4">
            <w:pPr>
              <w:spacing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2022</w:t>
            </w:r>
          </w:p>
        </w:tc>
        <w:tc>
          <w:tcPr>
            <w:tcW w:w="959" w:type="dxa"/>
            <w:tcBorders>
              <w:bottom w:val="single" w:sz="4" w:space="0" w:color="000000"/>
              <w:right w:val="single" w:sz="4" w:space="0" w:color="000000"/>
            </w:tcBorders>
            <w:shd w:val="clear" w:color="auto" w:fill="C6BFAB" w:themeFill="accent5" w:themeFillTint="99"/>
            <w:vAlign w:val="center"/>
          </w:tcPr>
          <w:p w14:paraId="639754EE" w14:textId="77777777" w:rsidR="005F2AC9" w:rsidRPr="00A166D4" w:rsidRDefault="00B56839" w:rsidP="00A166D4">
            <w:pPr>
              <w:spacing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2023</w:t>
            </w:r>
          </w:p>
        </w:tc>
        <w:tc>
          <w:tcPr>
            <w:tcW w:w="960" w:type="dxa"/>
            <w:tcBorders>
              <w:bottom w:val="single" w:sz="4" w:space="0" w:color="000000"/>
              <w:right w:val="single" w:sz="4" w:space="0" w:color="000000"/>
            </w:tcBorders>
            <w:shd w:val="clear" w:color="auto" w:fill="C6BFAB" w:themeFill="accent5" w:themeFillTint="99"/>
            <w:vAlign w:val="center"/>
          </w:tcPr>
          <w:p w14:paraId="3FA21AE2" w14:textId="77777777" w:rsidR="005F2AC9" w:rsidRPr="00A166D4" w:rsidRDefault="00B56839" w:rsidP="00A166D4">
            <w:pPr>
              <w:spacing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2024</w:t>
            </w:r>
          </w:p>
        </w:tc>
        <w:tc>
          <w:tcPr>
            <w:tcW w:w="1020" w:type="dxa"/>
            <w:tcBorders>
              <w:bottom w:val="single" w:sz="4" w:space="0" w:color="000000"/>
              <w:right w:val="single" w:sz="4" w:space="0" w:color="000000"/>
            </w:tcBorders>
            <w:shd w:val="clear" w:color="auto" w:fill="C6BFAB" w:themeFill="accent5" w:themeFillTint="99"/>
          </w:tcPr>
          <w:p w14:paraId="48EE2392" w14:textId="77777777" w:rsidR="005F2AC9" w:rsidRPr="00A166D4" w:rsidRDefault="00B56839" w:rsidP="00A166D4">
            <w:pPr>
              <w:spacing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2025</w:t>
            </w:r>
          </w:p>
        </w:tc>
      </w:tr>
      <w:tr w:rsidR="005F2AC9" w:rsidRPr="00A166D4" w14:paraId="023373FC" w14:textId="77777777" w:rsidTr="00E8759D">
        <w:trPr>
          <w:trHeight w:val="288"/>
          <w:jc w:val="center"/>
        </w:trPr>
        <w:tc>
          <w:tcPr>
            <w:tcW w:w="4120" w:type="dxa"/>
            <w:tcBorders>
              <w:left w:val="single" w:sz="4" w:space="0" w:color="000000"/>
              <w:bottom w:val="single" w:sz="4" w:space="0" w:color="000000"/>
              <w:right w:val="single" w:sz="4" w:space="0" w:color="000000"/>
            </w:tcBorders>
            <w:vAlign w:val="center"/>
          </w:tcPr>
          <w:p w14:paraId="18DD0117" w14:textId="20B3B36F" w:rsidR="005F2AC9" w:rsidRPr="00A166D4" w:rsidRDefault="00B84A02" w:rsidP="00A166D4">
            <w:pPr>
              <w:spacing w:after="0"/>
              <w:jc w:val="both"/>
              <w:rPr>
                <w:rFonts w:ascii="Times New Roman" w:eastAsia="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Number of annual inspections carried out</w:t>
            </w:r>
          </w:p>
        </w:tc>
        <w:tc>
          <w:tcPr>
            <w:tcW w:w="960" w:type="dxa"/>
            <w:tcBorders>
              <w:bottom w:val="single" w:sz="4" w:space="0" w:color="000000"/>
              <w:right w:val="single" w:sz="4" w:space="0" w:color="000000"/>
            </w:tcBorders>
            <w:vAlign w:val="center"/>
          </w:tcPr>
          <w:p w14:paraId="717F8E11" w14:textId="77777777" w:rsidR="005F2AC9" w:rsidRPr="00A166D4" w:rsidRDefault="00B56839" w:rsidP="00A166D4">
            <w:pPr>
              <w:spacing w:after="0"/>
              <w:jc w:val="both"/>
              <w:rPr>
                <w:rFonts w:ascii="Times New Roman" w:eastAsia="Times New Roman" w:hAnsi="Times New Roman" w:cs="Times New Roman"/>
                <w:b/>
                <w:color w:val="000000" w:themeColor="text1"/>
                <w:sz w:val="24"/>
                <w:szCs w:val="24"/>
              </w:rPr>
            </w:pPr>
            <w:r w:rsidRPr="00A166D4">
              <w:rPr>
                <w:rFonts w:ascii="Times New Roman" w:eastAsia="Times New Roman" w:hAnsi="Times New Roman" w:cs="Times New Roman"/>
                <w:b/>
                <w:color w:val="000000" w:themeColor="text1"/>
                <w:sz w:val="24"/>
                <w:szCs w:val="24"/>
              </w:rPr>
              <w:t>145</w:t>
            </w:r>
          </w:p>
        </w:tc>
        <w:tc>
          <w:tcPr>
            <w:tcW w:w="959" w:type="dxa"/>
            <w:tcBorders>
              <w:bottom w:val="single" w:sz="4" w:space="0" w:color="000000"/>
              <w:right w:val="single" w:sz="4" w:space="0" w:color="000000"/>
            </w:tcBorders>
            <w:vAlign w:val="center"/>
          </w:tcPr>
          <w:p w14:paraId="457A23A7" w14:textId="77777777" w:rsidR="005F2AC9" w:rsidRPr="00A166D4" w:rsidRDefault="00B56839" w:rsidP="00A166D4">
            <w:pPr>
              <w:spacing w:after="0"/>
              <w:jc w:val="both"/>
              <w:rPr>
                <w:rFonts w:ascii="Times New Roman" w:eastAsia="Times New Roman" w:hAnsi="Times New Roman" w:cs="Times New Roman"/>
                <w:b/>
                <w:color w:val="000000" w:themeColor="text1"/>
                <w:sz w:val="24"/>
                <w:szCs w:val="24"/>
              </w:rPr>
            </w:pPr>
            <w:r w:rsidRPr="00A166D4">
              <w:rPr>
                <w:rFonts w:ascii="Times New Roman" w:eastAsia="Times New Roman" w:hAnsi="Times New Roman" w:cs="Times New Roman"/>
                <w:b/>
                <w:color w:val="000000" w:themeColor="text1"/>
                <w:sz w:val="24"/>
                <w:szCs w:val="24"/>
              </w:rPr>
              <w:t>108</w:t>
            </w:r>
          </w:p>
        </w:tc>
        <w:tc>
          <w:tcPr>
            <w:tcW w:w="960" w:type="dxa"/>
            <w:tcBorders>
              <w:bottom w:val="single" w:sz="4" w:space="0" w:color="000000"/>
              <w:right w:val="single" w:sz="4" w:space="0" w:color="000000"/>
            </w:tcBorders>
            <w:vAlign w:val="center"/>
          </w:tcPr>
          <w:p w14:paraId="79B692B5" w14:textId="77777777" w:rsidR="005F2AC9" w:rsidRPr="00A166D4" w:rsidRDefault="00B56839" w:rsidP="00A166D4">
            <w:pPr>
              <w:spacing w:after="0"/>
              <w:jc w:val="both"/>
              <w:rPr>
                <w:rFonts w:ascii="Times New Roman" w:eastAsia="Times New Roman" w:hAnsi="Times New Roman" w:cs="Times New Roman"/>
                <w:b/>
                <w:color w:val="000000" w:themeColor="text1"/>
                <w:sz w:val="24"/>
                <w:szCs w:val="24"/>
              </w:rPr>
            </w:pPr>
            <w:r w:rsidRPr="00A166D4">
              <w:rPr>
                <w:rFonts w:ascii="Times New Roman" w:eastAsia="Times New Roman" w:hAnsi="Times New Roman" w:cs="Times New Roman"/>
                <w:b/>
                <w:color w:val="000000" w:themeColor="text1"/>
                <w:sz w:val="24"/>
                <w:szCs w:val="24"/>
              </w:rPr>
              <w:t>126</w:t>
            </w:r>
          </w:p>
        </w:tc>
        <w:tc>
          <w:tcPr>
            <w:tcW w:w="1020" w:type="dxa"/>
            <w:tcBorders>
              <w:bottom w:val="single" w:sz="4" w:space="0" w:color="000000"/>
              <w:right w:val="single" w:sz="4" w:space="0" w:color="000000"/>
            </w:tcBorders>
            <w:vAlign w:val="center"/>
          </w:tcPr>
          <w:p w14:paraId="36700318" w14:textId="77777777" w:rsidR="005F2AC9" w:rsidRPr="00A166D4" w:rsidRDefault="00B56839" w:rsidP="00E8759D">
            <w:pPr>
              <w:spacing w:after="0"/>
              <w:jc w:val="center"/>
              <w:rPr>
                <w:rFonts w:ascii="Times New Roman" w:eastAsia="Times New Roman" w:hAnsi="Times New Roman" w:cs="Times New Roman"/>
                <w:b/>
                <w:color w:val="000000" w:themeColor="text1"/>
                <w:sz w:val="24"/>
                <w:szCs w:val="24"/>
              </w:rPr>
            </w:pPr>
            <w:r w:rsidRPr="00A166D4">
              <w:rPr>
                <w:rFonts w:ascii="Times New Roman" w:eastAsia="Times New Roman" w:hAnsi="Times New Roman" w:cs="Times New Roman"/>
                <w:b/>
                <w:color w:val="000000" w:themeColor="text1"/>
                <w:sz w:val="24"/>
                <w:szCs w:val="24"/>
              </w:rPr>
              <w:t>134</w:t>
            </w:r>
          </w:p>
        </w:tc>
      </w:tr>
    </w:tbl>
    <w:p w14:paraId="03A97FFE" w14:textId="30C58728" w:rsidR="005F2AC9" w:rsidRPr="00A166D4" w:rsidRDefault="00E8759D" w:rsidP="00A166D4">
      <w:pPr>
        <w:pStyle w:val="ListParagraph"/>
        <w:spacing w:after="0"/>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1F992122" w14:textId="556D3C91" w:rsidR="005F2AC9" w:rsidRPr="00E8759D" w:rsidRDefault="007B7441" w:rsidP="00A166D4">
      <w:pPr>
        <w:pStyle w:val="ListParagraph"/>
        <w:spacing w:after="0"/>
        <w:ind w:left="0"/>
        <w:jc w:val="both"/>
        <w:rPr>
          <w:rFonts w:ascii="Times New Roman" w:hAnsi="Times New Roman" w:cs="Times New Roman"/>
          <w:b/>
          <w:bCs/>
          <w:color w:val="000000" w:themeColor="text1"/>
          <w:sz w:val="24"/>
          <w:szCs w:val="24"/>
        </w:rPr>
      </w:pPr>
      <w:r w:rsidRPr="00A166D4">
        <w:rPr>
          <w:rFonts w:ascii="Times New Roman" w:hAnsi="Times New Roman" w:cs="Times New Roman"/>
          <w:color w:val="000000" w:themeColor="text1"/>
          <w:sz w:val="24"/>
          <w:szCs w:val="24"/>
        </w:rPr>
        <w:t xml:space="preserve">The inspections carried out during 2025, grouped </w:t>
      </w:r>
      <w:r w:rsidRPr="00E8759D">
        <w:rPr>
          <w:rFonts w:ascii="Times New Roman" w:hAnsi="Times New Roman" w:cs="Times New Roman"/>
          <w:b/>
          <w:bCs/>
          <w:color w:val="000000" w:themeColor="text1"/>
          <w:sz w:val="24"/>
          <w:szCs w:val="24"/>
        </w:rPr>
        <w:t>by Planning objectives and indicators, are as follows:</w:t>
      </w:r>
    </w:p>
    <w:p w14:paraId="59A2CD8B" w14:textId="77777777" w:rsidR="007B7441" w:rsidRPr="00A166D4" w:rsidRDefault="007B7441" w:rsidP="00A166D4">
      <w:pPr>
        <w:pStyle w:val="ListParagraph"/>
        <w:spacing w:after="0"/>
        <w:ind w:left="0"/>
        <w:jc w:val="both"/>
        <w:rPr>
          <w:rFonts w:ascii="Times New Roman" w:hAnsi="Times New Roman" w:cs="Times New Roman"/>
          <w:color w:val="000000" w:themeColor="text1"/>
          <w:sz w:val="24"/>
          <w:szCs w:val="24"/>
        </w:rPr>
      </w:pPr>
    </w:p>
    <w:tbl>
      <w:tblPr>
        <w:tblStyle w:val="TableGrid"/>
        <w:tblW w:w="9360" w:type="dxa"/>
        <w:tblInd w:w="108" w:type="dxa"/>
        <w:tblLayout w:type="fixed"/>
        <w:tblLook w:val="04A0" w:firstRow="1" w:lastRow="0" w:firstColumn="1" w:lastColumn="0" w:noHBand="0" w:noVBand="1"/>
      </w:tblPr>
      <w:tblGrid>
        <w:gridCol w:w="607"/>
        <w:gridCol w:w="473"/>
        <w:gridCol w:w="6390"/>
        <w:gridCol w:w="720"/>
        <w:gridCol w:w="1170"/>
      </w:tblGrid>
      <w:tr w:rsidR="005F2AC9" w:rsidRPr="00A166D4" w14:paraId="12D4B399" w14:textId="77777777" w:rsidTr="00E8759D">
        <w:tc>
          <w:tcPr>
            <w:tcW w:w="607" w:type="dxa"/>
            <w:shd w:val="clear" w:color="auto" w:fill="C6BFAB" w:themeFill="accent5" w:themeFillTint="99"/>
            <w:vAlign w:val="center"/>
          </w:tcPr>
          <w:p w14:paraId="5098EAC5" w14:textId="79947B0D" w:rsidR="005F2AC9" w:rsidRPr="00A166D4" w:rsidRDefault="00B84A02" w:rsidP="00A166D4">
            <w:pPr>
              <w:spacing w:before="0" w:after="0"/>
              <w:jc w:val="both"/>
              <w:rPr>
                <w:rFonts w:ascii="Times New Roman" w:hAnsi="Times New Roman" w:cs="Times New Roman"/>
                <w:b/>
                <w:bCs/>
                <w:color w:val="000000" w:themeColor="text1"/>
                <w:sz w:val="24"/>
                <w:szCs w:val="24"/>
              </w:rPr>
            </w:pPr>
            <w:r w:rsidRPr="00A166D4">
              <w:rPr>
                <w:rFonts w:ascii="Times New Roman" w:hAnsi="Times New Roman" w:cs="Times New Roman"/>
                <w:sz w:val="24"/>
                <w:szCs w:val="24"/>
              </w:rPr>
              <w:t>N</w:t>
            </w:r>
            <w:r w:rsidR="00E8759D">
              <w:rPr>
                <w:rFonts w:ascii="Times New Roman" w:hAnsi="Times New Roman" w:cs="Times New Roman"/>
                <w:sz w:val="24"/>
                <w:szCs w:val="24"/>
              </w:rPr>
              <w:t>o</w:t>
            </w:r>
            <w:r w:rsidRPr="00A166D4">
              <w:rPr>
                <w:rFonts w:ascii="Times New Roman" w:hAnsi="Times New Roman" w:cs="Times New Roman"/>
                <w:sz w:val="24"/>
                <w:szCs w:val="24"/>
              </w:rPr>
              <w:t>.</w:t>
            </w:r>
          </w:p>
        </w:tc>
        <w:tc>
          <w:tcPr>
            <w:tcW w:w="7583" w:type="dxa"/>
            <w:gridSpan w:val="3"/>
            <w:shd w:val="clear" w:color="auto" w:fill="C6BFAB" w:themeFill="accent5" w:themeFillTint="99"/>
          </w:tcPr>
          <w:p w14:paraId="1573641B" w14:textId="4E0DCA97" w:rsidR="005F2AC9" w:rsidRPr="00A166D4" w:rsidRDefault="00B84A02" w:rsidP="00A166D4">
            <w:pPr>
              <w:spacing w:before="0" w:after="0"/>
              <w:jc w:val="both"/>
              <w:rPr>
                <w:rFonts w:ascii="Times New Roman" w:hAnsi="Times New Roman" w:cs="Times New Roman"/>
                <w:b/>
                <w:bCs/>
                <w:color w:val="000000" w:themeColor="text1"/>
                <w:sz w:val="24"/>
                <w:szCs w:val="24"/>
                <w:highlight w:val="yellow"/>
              </w:rPr>
            </w:pPr>
            <w:r w:rsidRPr="00A166D4">
              <w:rPr>
                <w:rFonts w:ascii="Times New Roman" w:eastAsia="MS PMincho" w:hAnsi="Times New Roman" w:cs="Times New Roman"/>
                <w:b/>
                <w:bCs/>
                <w:color w:val="000000" w:themeColor="text1"/>
                <w:sz w:val="24"/>
                <w:szCs w:val="24"/>
              </w:rPr>
              <w:t>Indicator</w:t>
            </w:r>
          </w:p>
        </w:tc>
        <w:tc>
          <w:tcPr>
            <w:tcW w:w="1170" w:type="dxa"/>
            <w:shd w:val="clear" w:color="auto" w:fill="C6BFAB" w:themeFill="accent5" w:themeFillTint="99"/>
            <w:vAlign w:val="center"/>
          </w:tcPr>
          <w:p w14:paraId="06D41FCD" w14:textId="0676B3CC" w:rsidR="005F2AC9" w:rsidRPr="00A166D4" w:rsidRDefault="00B84A02" w:rsidP="00A166D4">
            <w:pPr>
              <w:spacing w:before="0" w:after="0"/>
              <w:jc w:val="both"/>
              <w:rPr>
                <w:rFonts w:ascii="Times New Roman" w:hAnsi="Times New Roman" w:cs="Times New Roman"/>
                <w:b/>
                <w:bCs/>
                <w:color w:val="000000" w:themeColor="text1"/>
                <w:sz w:val="24"/>
                <w:szCs w:val="24"/>
              </w:rPr>
            </w:pPr>
            <w:r w:rsidRPr="00A166D4">
              <w:rPr>
                <w:rFonts w:ascii="Times New Roman" w:eastAsia="MS PMincho" w:hAnsi="Times New Roman" w:cs="Times New Roman"/>
                <w:b/>
                <w:bCs/>
                <w:color w:val="000000" w:themeColor="text1"/>
                <w:sz w:val="24"/>
                <w:szCs w:val="24"/>
              </w:rPr>
              <w:t>Realised</w:t>
            </w:r>
          </w:p>
        </w:tc>
      </w:tr>
      <w:tr w:rsidR="005F2AC9" w:rsidRPr="00A166D4" w14:paraId="4D2F10F6" w14:textId="77777777" w:rsidTr="00E8759D">
        <w:tc>
          <w:tcPr>
            <w:tcW w:w="607" w:type="dxa"/>
            <w:vAlign w:val="center"/>
          </w:tcPr>
          <w:p w14:paraId="04FAA9EF" w14:textId="77777777" w:rsidR="005F2AC9" w:rsidRPr="00A166D4" w:rsidRDefault="00B56839" w:rsidP="00A166D4">
            <w:pPr>
              <w:spacing w:before="0" w:after="0"/>
              <w:jc w:val="both"/>
              <w:rPr>
                <w:rFonts w:ascii="Times New Roman" w:hAnsi="Times New Roman" w:cs="Times New Roman"/>
                <w:b/>
                <w:bCs/>
                <w:color w:val="000000" w:themeColor="text1"/>
                <w:sz w:val="24"/>
                <w:szCs w:val="24"/>
              </w:rPr>
            </w:pPr>
            <w:r w:rsidRPr="00A166D4">
              <w:rPr>
                <w:rFonts w:ascii="Times New Roman" w:eastAsia="MS PMincho" w:hAnsi="Times New Roman" w:cs="Times New Roman"/>
                <w:b/>
                <w:bCs/>
                <w:color w:val="000000" w:themeColor="text1"/>
                <w:sz w:val="24"/>
                <w:szCs w:val="24"/>
              </w:rPr>
              <w:t>1</w:t>
            </w:r>
          </w:p>
        </w:tc>
        <w:tc>
          <w:tcPr>
            <w:tcW w:w="7583" w:type="dxa"/>
            <w:gridSpan w:val="3"/>
          </w:tcPr>
          <w:p w14:paraId="1F55F5E4" w14:textId="04A47B16" w:rsidR="005F2AC9" w:rsidRPr="00A166D4" w:rsidRDefault="00B84A02" w:rsidP="00A166D4">
            <w:pPr>
              <w:spacing w:before="0" w:after="0"/>
              <w:jc w:val="both"/>
              <w:rPr>
                <w:rFonts w:ascii="Times New Roman" w:hAnsi="Times New Roman" w:cs="Times New Roman"/>
                <w:b/>
                <w:bCs/>
                <w:color w:val="000000" w:themeColor="text1"/>
                <w:sz w:val="24"/>
                <w:szCs w:val="24"/>
              </w:rPr>
            </w:pPr>
            <w:r w:rsidRPr="00A166D4">
              <w:rPr>
                <w:rFonts w:ascii="Times New Roman" w:eastAsia="MS PMincho" w:hAnsi="Times New Roman" w:cs="Times New Roman"/>
                <w:b/>
                <w:bCs/>
                <w:color w:val="000000" w:themeColor="text1"/>
                <w:sz w:val="24"/>
                <w:szCs w:val="24"/>
              </w:rPr>
              <w:t>Planned inspections of social care Centres/Services</w:t>
            </w:r>
          </w:p>
        </w:tc>
        <w:tc>
          <w:tcPr>
            <w:tcW w:w="1170" w:type="dxa"/>
            <w:vAlign w:val="center"/>
          </w:tcPr>
          <w:p w14:paraId="3FC6EAE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color w:val="000000" w:themeColor="text1"/>
                <w:sz w:val="24"/>
                <w:szCs w:val="24"/>
              </w:rPr>
              <w:t>119</w:t>
            </w:r>
          </w:p>
        </w:tc>
      </w:tr>
      <w:tr w:rsidR="005F2AC9" w:rsidRPr="00A166D4" w14:paraId="0BA743E4" w14:textId="77777777" w:rsidTr="00E8759D">
        <w:tc>
          <w:tcPr>
            <w:tcW w:w="607" w:type="dxa"/>
            <w:vAlign w:val="center"/>
          </w:tcPr>
          <w:p w14:paraId="21AA942C" w14:textId="77777777" w:rsidR="005F2AC9" w:rsidRPr="00A166D4" w:rsidRDefault="005F2AC9" w:rsidP="00A166D4">
            <w:pPr>
              <w:spacing w:before="0" w:after="0"/>
              <w:jc w:val="both"/>
              <w:rPr>
                <w:rFonts w:ascii="Times New Roman" w:hAnsi="Times New Roman" w:cs="Times New Roman"/>
                <w:color w:val="000000" w:themeColor="text1"/>
                <w:sz w:val="24"/>
                <w:szCs w:val="24"/>
              </w:rPr>
            </w:pPr>
          </w:p>
        </w:tc>
        <w:tc>
          <w:tcPr>
            <w:tcW w:w="473" w:type="dxa"/>
          </w:tcPr>
          <w:p w14:paraId="2803178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color w:val="000000" w:themeColor="text1"/>
                <w:sz w:val="24"/>
                <w:szCs w:val="24"/>
              </w:rPr>
              <w:t>1.1</w:t>
            </w:r>
          </w:p>
        </w:tc>
        <w:tc>
          <w:tcPr>
            <w:tcW w:w="6390" w:type="dxa"/>
          </w:tcPr>
          <w:p w14:paraId="19AB6593" w14:textId="2D950AB6" w:rsidR="005F2AC9" w:rsidRPr="00A166D4" w:rsidRDefault="00B84A02" w:rsidP="00A166D4">
            <w:pPr>
              <w:spacing w:before="0" w:after="0"/>
              <w:jc w:val="both"/>
              <w:rPr>
                <w:rFonts w:ascii="Times New Roman" w:hAnsi="Times New Roman" w:cs="Times New Roman"/>
                <w:b/>
                <w:bCs/>
                <w:color w:val="000000" w:themeColor="text1"/>
                <w:sz w:val="24"/>
                <w:szCs w:val="24"/>
              </w:rPr>
            </w:pPr>
            <w:r w:rsidRPr="00A166D4">
              <w:rPr>
                <w:rFonts w:ascii="Times New Roman" w:eastAsia="MS PMincho" w:hAnsi="Times New Roman" w:cs="Times New Roman"/>
                <w:i/>
                <w:iCs/>
                <w:color w:val="000000" w:themeColor="text1"/>
                <w:sz w:val="24"/>
                <w:szCs w:val="24"/>
              </w:rPr>
              <w:t>Care centres (public and non-public), planned on the basis of historical record</w:t>
            </w:r>
          </w:p>
        </w:tc>
        <w:tc>
          <w:tcPr>
            <w:tcW w:w="720" w:type="dxa"/>
          </w:tcPr>
          <w:p w14:paraId="5F647AB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color w:val="000000" w:themeColor="text1"/>
                <w:sz w:val="24"/>
                <w:szCs w:val="24"/>
              </w:rPr>
              <w:t>34</w:t>
            </w:r>
          </w:p>
        </w:tc>
        <w:tc>
          <w:tcPr>
            <w:tcW w:w="1170" w:type="dxa"/>
            <w:vAlign w:val="center"/>
          </w:tcPr>
          <w:p w14:paraId="2CC48ECE" w14:textId="77777777" w:rsidR="005F2AC9" w:rsidRPr="00A166D4" w:rsidRDefault="005F2AC9" w:rsidP="00A166D4">
            <w:pPr>
              <w:spacing w:before="0" w:after="0"/>
              <w:jc w:val="both"/>
              <w:rPr>
                <w:rFonts w:ascii="Times New Roman" w:hAnsi="Times New Roman" w:cs="Times New Roman"/>
                <w:b/>
                <w:bCs/>
                <w:color w:val="000000" w:themeColor="text1"/>
                <w:sz w:val="24"/>
                <w:szCs w:val="24"/>
              </w:rPr>
            </w:pPr>
          </w:p>
        </w:tc>
      </w:tr>
      <w:tr w:rsidR="005F2AC9" w:rsidRPr="00A166D4" w14:paraId="3F4B30E6" w14:textId="77777777" w:rsidTr="00E8759D">
        <w:tc>
          <w:tcPr>
            <w:tcW w:w="607" w:type="dxa"/>
            <w:vAlign w:val="center"/>
          </w:tcPr>
          <w:p w14:paraId="2AE42725" w14:textId="77777777" w:rsidR="005F2AC9" w:rsidRPr="00A166D4" w:rsidRDefault="005F2AC9" w:rsidP="00A166D4">
            <w:pPr>
              <w:spacing w:before="0" w:after="0"/>
              <w:jc w:val="both"/>
              <w:rPr>
                <w:rFonts w:ascii="Times New Roman" w:hAnsi="Times New Roman" w:cs="Times New Roman"/>
                <w:color w:val="000000" w:themeColor="text1"/>
                <w:sz w:val="24"/>
                <w:szCs w:val="24"/>
              </w:rPr>
            </w:pPr>
          </w:p>
        </w:tc>
        <w:tc>
          <w:tcPr>
            <w:tcW w:w="473" w:type="dxa"/>
          </w:tcPr>
          <w:p w14:paraId="0DBE7B7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color w:val="000000" w:themeColor="text1"/>
                <w:sz w:val="24"/>
                <w:szCs w:val="24"/>
              </w:rPr>
              <w:t>1.2</w:t>
            </w:r>
          </w:p>
        </w:tc>
        <w:tc>
          <w:tcPr>
            <w:tcW w:w="6390" w:type="dxa"/>
          </w:tcPr>
          <w:p w14:paraId="5F92CFC7" w14:textId="0D01B0D4" w:rsidR="005F2AC9" w:rsidRPr="00A166D4" w:rsidRDefault="00B84A02" w:rsidP="00A166D4">
            <w:pPr>
              <w:spacing w:before="0" w:after="0"/>
              <w:jc w:val="both"/>
              <w:rPr>
                <w:rFonts w:ascii="Times New Roman" w:hAnsi="Times New Roman" w:cs="Times New Roman"/>
                <w:b/>
                <w:bCs/>
                <w:color w:val="000000" w:themeColor="text1"/>
                <w:sz w:val="24"/>
                <w:szCs w:val="24"/>
              </w:rPr>
            </w:pPr>
            <w:r w:rsidRPr="00A166D4">
              <w:rPr>
                <w:rFonts w:ascii="Times New Roman" w:eastAsia="MS PMincho" w:hAnsi="Times New Roman" w:cs="Times New Roman"/>
                <w:i/>
                <w:iCs/>
                <w:color w:val="000000" w:themeColor="text1"/>
                <w:sz w:val="24"/>
                <w:szCs w:val="24"/>
              </w:rPr>
              <w:t>Care centres supported by the Social Fund on a continuation basis</w:t>
            </w:r>
          </w:p>
        </w:tc>
        <w:tc>
          <w:tcPr>
            <w:tcW w:w="720" w:type="dxa"/>
          </w:tcPr>
          <w:p w14:paraId="1E39FFC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color w:val="000000" w:themeColor="text1"/>
                <w:sz w:val="24"/>
                <w:szCs w:val="24"/>
              </w:rPr>
              <w:t>45</w:t>
            </w:r>
          </w:p>
        </w:tc>
        <w:tc>
          <w:tcPr>
            <w:tcW w:w="1170" w:type="dxa"/>
            <w:vAlign w:val="center"/>
          </w:tcPr>
          <w:p w14:paraId="321734A3" w14:textId="77777777" w:rsidR="005F2AC9" w:rsidRPr="00A166D4" w:rsidRDefault="005F2AC9" w:rsidP="00A166D4">
            <w:pPr>
              <w:spacing w:before="0" w:after="0"/>
              <w:jc w:val="both"/>
              <w:rPr>
                <w:rFonts w:ascii="Times New Roman" w:hAnsi="Times New Roman" w:cs="Times New Roman"/>
                <w:b/>
                <w:bCs/>
                <w:color w:val="000000" w:themeColor="text1"/>
                <w:sz w:val="24"/>
                <w:szCs w:val="24"/>
              </w:rPr>
            </w:pPr>
          </w:p>
        </w:tc>
      </w:tr>
      <w:tr w:rsidR="005F2AC9" w:rsidRPr="00A166D4" w14:paraId="73C10887" w14:textId="77777777" w:rsidTr="00E8759D">
        <w:tc>
          <w:tcPr>
            <w:tcW w:w="607" w:type="dxa"/>
            <w:vAlign w:val="center"/>
          </w:tcPr>
          <w:p w14:paraId="429FBFAC" w14:textId="77777777" w:rsidR="005F2AC9" w:rsidRPr="00A166D4" w:rsidRDefault="005F2AC9" w:rsidP="00A166D4">
            <w:pPr>
              <w:spacing w:before="0" w:after="0"/>
              <w:jc w:val="both"/>
              <w:rPr>
                <w:rFonts w:ascii="Times New Roman" w:hAnsi="Times New Roman" w:cs="Times New Roman"/>
                <w:color w:val="000000" w:themeColor="text1"/>
                <w:sz w:val="24"/>
                <w:szCs w:val="24"/>
              </w:rPr>
            </w:pPr>
          </w:p>
        </w:tc>
        <w:tc>
          <w:tcPr>
            <w:tcW w:w="473" w:type="dxa"/>
          </w:tcPr>
          <w:p w14:paraId="0588F45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color w:val="000000" w:themeColor="text1"/>
                <w:sz w:val="24"/>
                <w:szCs w:val="24"/>
              </w:rPr>
              <w:t>1.3</w:t>
            </w:r>
          </w:p>
        </w:tc>
        <w:tc>
          <w:tcPr>
            <w:tcW w:w="6390" w:type="dxa"/>
          </w:tcPr>
          <w:p w14:paraId="721272B0" w14:textId="418CD378" w:rsidR="005F2AC9" w:rsidRPr="00A166D4" w:rsidRDefault="00B84A02" w:rsidP="00A166D4">
            <w:pPr>
              <w:spacing w:before="0" w:after="0"/>
              <w:jc w:val="both"/>
              <w:rPr>
                <w:rFonts w:ascii="Times New Roman" w:hAnsi="Times New Roman" w:cs="Times New Roman"/>
                <w:b/>
                <w:bCs/>
                <w:color w:val="000000" w:themeColor="text1"/>
                <w:sz w:val="24"/>
                <w:szCs w:val="24"/>
              </w:rPr>
            </w:pPr>
            <w:r w:rsidRPr="00A166D4">
              <w:rPr>
                <w:rFonts w:ascii="Times New Roman" w:eastAsia="MS PMincho" w:hAnsi="Times New Roman" w:cs="Times New Roman"/>
                <w:i/>
                <w:iCs/>
                <w:color w:val="000000" w:themeColor="text1"/>
                <w:sz w:val="24"/>
                <w:szCs w:val="24"/>
              </w:rPr>
              <w:t>Care centres supported by the Social Fund for the first time</w:t>
            </w:r>
          </w:p>
        </w:tc>
        <w:tc>
          <w:tcPr>
            <w:tcW w:w="720" w:type="dxa"/>
          </w:tcPr>
          <w:p w14:paraId="48C6B5E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color w:val="000000" w:themeColor="text1"/>
                <w:sz w:val="24"/>
                <w:szCs w:val="24"/>
              </w:rPr>
              <w:t>23</w:t>
            </w:r>
          </w:p>
        </w:tc>
        <w:tc>
          <w:tcPr>
            <w:tcW w:w="1170" w:type="dxa"/>
            <w:vAlign w:val="center"/>
          </w:tcPr>
          <w:p w14:paraId="0A3D7BBF" w14:textId="77777777" w:rsidR="005F2AC9" w:rsidRPr="00A166D4" w:rsidRDefault="005F2AC9" w:rsidP="00A166D4">
            <w:pPr>
              <w:spacing w:before="0" w:after="0"/>
              <w:jc w:val="both"/>
              <w:rPr>
                <w:rFonts w:ascii="Times New Roman" w:hAnsi="Times New Roman" w:cs="Times New Roman"/>
                <w:b/>
                <w:bCs/>
                <w:color w:val="000000" w:themeColor="text1"/>
                <w:sz w:val="24"/>
                <w:szCs w:val="24"/>
              </w:rPr>
            </w:pPr>
          </w:p>
        </w:tc>
      </w:tr>
      <w:tr w:rsidR="005F2AC9" w:rsidRPr="00A166D4" w14:paraId="2FDB4BD1" w14:textId="77777777" w:rsidTr="00E8759D">
        <w:tc>
          <w:tcPr>
            <w:tcW w:w="607" w:type="dxa"/>
            <w:vAlign w:val="center"/>
          </w:tcPr>
          <w:p w14:paraId="4F712172" w14:textId="77777777" w:rsidR="005F2AC9" w:rsidRPr="00A166D4" w:rsidRDefault="005F2AC9" w:rsidP="00A166D4">
            <w:pPr>
              <w:spacing w:before="0" w:after="0"/>
              <w:jc w:val="both"/>
              <w:rPr>
                <w:rFonts w:ascii="Times New Roman" w:hAnsi="Times New Roman" w:cs="Times New Roman"/>
                <w:color w:val="000000" w:themeColor="text1"/>
                <w:sz w:val="24"/>
                <w:szCs w:val="24"/>
              </w:rPr>
            </w:pPr>
          </w:p>
        </w:tc>
        <w:tc>
          <w:tcPr>
            <w:tcW w:w="473" w:type="dxa"/>
          </w:tcPr>
          <w:p w14:paraId="421CFCB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color w:val="000000" w:themeColor="text1"/>
                <w:sz w:val="24"/>
                <w:szCs w:val="24"/>
              </w:rPr>
              <w:t>1.4</w:t>
            </w:r>
          </w:p>
        </w:tc>
        <w:tc>
          <w:tcPr>
            <w:tcW w:w="6390" w:type="dxa"/>
          </w:tcPr>
          <w:p w14:paraId="6D18AED5" w14:textId="4AECC92C" w:rsidR="005F2AC9" w:rsidRPr="00A166D4" w:rsidRDefault="00B84A02" w:rsidP="00A166D4">
            <w:pPr>
              <w:spacing w:before="0" w:after="0"/>
              <w:jc w:val="both"/>
              <w:rPr>
                <w:rFonts w:ascii="Times New Roman" w:hAnsi="Times New Roman" w:cs="Times New Roman"/>
                <w:b/>
                <w:bCs/>
                <w:color w:val="000000" w:themeColor="text1"/>
                <w:sz w:val="24"/>
                <w:szCs w:val="24"/>
              </w:rPr>
            </w:pPr>
            <w:r w:rsidRPr="00A166D4">
              <w:rPr>
                <w:rFonts w:ascii="Times New Roman" w:eastAsia="MS PMincho" w:hAnsi="Times New Roman" w:cs="Times New Roman"/>
                <w:i/>
                <w:iCs/>
                <w:color w:val="000000" w:themeColor="text1"/>
                <w:sz w:val="24"/>
                <w:szCs w:val="24"/>
              </w:rPr>
              <w:t>Centres for children within the framework of cooperation with the Ministry of Education and the National Business Centre</w:t>
            </w:r>
          </w:p>
        </w:tc>
        <w:tc>
          <w:tcPr>
            <w:tcW w:w="720" w:type="dxa"/>
          </w:tcPr>
          <w:p w14:paraId="66F808D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color w:val="000000" w:themeColor="text1"/>
                <w:sz w:val="24"/>
                <w:szCs w:val="24"/>
              </w:rPr>
              <w:t>17</w:t>
            </w:r>
          </w:p>
        </w:tc>
        <w:tc>
          <w:tcPr>
            <w:tcW w:w="1170" w:type="dxa"/>
            <w:vAlign w:val="center"/>
          </w:tcPr>
          <w:p w14:paraId="54788D8D" w14:textId="77777777" w:rsidR="005F2AC9" w:rsidRPr="00A166D4" w:rsidRDefault="005F2AC9" w:rsidP="00A166D4">
            <w:pPr>
              <w:spacing w:before="0" w:after="0"/>
              <w:jc w:val="both"/>
              <w:rPr>
                <w:rFonts w:ascii="Times New Roman" w:hAnsi="Times New Roman" w:cs="Times New Roman"/>
                <w:b/>
                <w:bCs/>
                <w:color w:val="000000" w:themeColor="text1"/>
                <w:sz w:val="24"/>
                <w:szCs w:val="24"/>
              </w:rPr>
            </w:pPr>
          </w:p>
        </w:tc>
      </w:tr>
      <w:tr w:rsidR="005F2AC9" w:rsidRPr="00A166D4" w14:paraId="2366EFCF" w14:textId="77777777" w:rsidTr="00E8759D">
        <w:tc>
          <w:tcPr>
            <w:tcW w:w="607" w:type="dxa"/>
            <w:vAlign w:val="center"/>
          </w:tcPr>
          <w:p w14:paraId="0AF8527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color w:val="000000" w:themeColor="text1"/>
                <w:sz w:val="24"/>
                <w:szCs w:val="24"/>
              </w:rPr>
              <w:t>2</w:t>
            </w:r>
          </w:p>
        </w:tc>
        <w:tc>
          <w:tcPr>
            <w:tcW w:w="7583" w:type="dxa"/>
            <w:gridSpan w:val="3"/>
          </w:tcPr>
          <w:p w14:paraId="73815CC6" w14:textId="43ED51BB" w:rsidR="005F2AC9" w:rsidRPr="00A166D4" w:rsidRDefault="00B84A02" w:rsidP="00A166D4">
            <w:pPr>
              <w:spacing w:before="0" w:after="0"/>
              <w:jc w:val="both"/>
              <w:rPr>
                <w:rFonts w:ascii="Times New Roman" w:hAnsi="Times New Roman" w:cs="Times New Roman"/>
                <w:b/>
                <w:bCs/>
                <w:color w:val="000000" w:themeColor="text1"/>
                <w:sz w:val="24"/>
                <w:szCs w:val="24"/>
              </w:rPr>
            </w:pPr>
            <w:r w:rsidRPr="00A166D4">
              <w:rPr>
                <w:rFonts w:ascii="Times New Roman" w:eastAsia="MS PMincho" w:hAnsi="Times New Roman" w:cs="Times New Roman"/>
                <w:b/>
                <w:bCs/>
                <w:color w:val="000000" w:themeColor="text1"/>
                <w:sz w:val="24"/>
                <w:szCs w:val="24"/>
              </w:rPr>
              <w:t>Unplanned inspections (complaints and licensing)</w:t>
            </w:r>
          </w:p>
        </w:tc>
        <w:tc>
          <w:tcPr>
            <w:tcW w:w="1170" w:type="dxa"/>
            <w:vAlign w:val="center"/>
          </w:tcPr>
          <w:p w14:paraId="44D1103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b/>
                <w:bCs/>
                <w:color w:val="000000" w:themeColor="text1"/>
                <w:sz w:val="24"/>
                <w:szCs w:val="24"/>
              </w:rPr>
              <w:t xml:space="preserve">  </w:t>
            </w:r>
            <w:r w:rsidRPr="00A166D4">
              <w:rPr>
                <w:rFonts w:ascii="Times New Roman" w:eastAsia="MS PMincho" w:hAnsi="Times New Roman" w:cs="Times New Roman"/>
                <w:color w:val="000000" w:themeColor="text1"/>
                <w:sz w:val="24"/>
                <w:szCs w:val="24"/>
              </w:rPr>
              <w:t>15</w:t>
            </w:r>
          </w:p>
        </w:tc>
      </w:tr>
      <w:tr w:rsidR="005F2AC9" w:rsidRPr="00A166D4" w14:paraId="360D67C5" w14:textId="77777777" w:rsidTr="00E8759D">
        <w:tc>
          <w:tcPr>
            <w:tcW w:w="607" w:type="dxa"/>
            <w:vAlign w:val="center"/>
          </w:tcPr>
          <w:p w14:paraId="3F0AA10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color w:val="000000" w:themeColor="text1"/>
                <w:sz w:val="24"/>
                <w:szCs w:val="24"/>
              </w:rPr>
              <w:t>3</w:t>
            </w:r>
          </w:p>
        </w:tc>
        <w:tc>
          <w:tcPr>
            <w:tcW w:w="7583" w:type="dxa"/>
            <w:gridSpan w:val="3"/>
            <w:shd w:val="clear" w:color="auto" w:fill="F0E7E5" w:themeFill="accent3" w:themeFillTint="33"/>
          </w:tcPr>
          <w:p w14:paraId="15D078AA" w14:textId="69CA4D90" w:rsidR="005F2AC9" w:rsidRPr="00A166D4" w:rsidRDefault="007D435C" w:rsidP="00A166D4">
            <w:pPr>
              <w:spacing w:before="0" w:after="0"/>
              <w:jc w:val="both"/>
              <w:rPr>
                <w:rFonts w:ascii="Times New Roman" w:hAnsi="Times New Roman" w:cs="Times New Roman"/>
                <w:b/>
                <w:bCs/>
                <w:color w:val="000000" w:themeColor="text1"/>
                <w:sz w:val="24"/>
                <w:szCs w:val="24"/>
              </w:rPr>
            </w:pPr>
            <w:r w:rsidRPr="00A166D4">
              <w:rPr>
                <w:rFonts w:ascii="Times New Roman" w:eastAsia="MS PMincho" w:hAnsi="Times New Roman" w:cs="Times New Roman"/>
                <w:b/>
                <w:bCs/>
                <w:color w:val="000000" w:themeColor="text1"/>
                <w:sz w:val="24"/>
                <w:szCs w:val="24"/>
              </w:rPr>
              <w:t>Total inspections</w:t>
            </w:r>
          </w:p>
        </w:tc>
        <w:tc>
          <w:tcPr>
            <w:tcW w:w="1170" w:type="dxa"/>
            <w:shd w:val="clear" w:color="auto" w:fill="F0E7E5" w:themeFill="accent3" w:themeFillTint="33"/>
            <w:vAlign w:val="center"/>
          </w:tcPr>
          <w:p w14:paraId="79B1D38B" w14:textId="77777777" w:rsidR="005F2AC9" w:rsidRPr="00A166D4" w:rsidRDefault="00B56839" w:rsidP="00A166D4">
            <w:pPr>
              <w:spacing w:before="0" w:after="0"/>
              <w:jc w:val="both"/>
              <w:rPr>
                <w:rFonts w:ascii="Times New Roman" w:hAnsi="Times New Roman" w:cs="Times New Roman"/>
                <w:b/>
                <w:bCs/>
                <w:color w:val="000000" w:themeColor="text1"/>
                <w:sz w:val="24"/>
                <w:szCs w:val="24"/>
              </w:rPr>
            </w:pPr>
            <w:r w:rsidRPr="00A166D4">
              <w:rPr>
                <w:rFonts w:ascii="Times New Roman" w:eastAsia="MS PMincho" w:hAnsi="Times New Roman" w:cs="Times New Roman"/>
                <w:b/>
                <w:bCs/>
                <w:color w:val="000000" w:themeColor="text1"/>
                <w:sz w:val="24"/>
                <w:szCs w:val="24"/>
              </w:rPr>
              <w:t>134</w:t>
            </w:r>
          </w:p>
        </w:tc>
      </w:tr>
    </w:tbl>
    <w:p w14:paraId="098887C6" w14:textId="77777777" w:rsidR="007B7441" w:rsidRPr="00A166D4" w:rsidRDefault="007B7441" w:rsidP="00A166D4">
      <w:pPr>
        <w:pStyle w:val="font-claude-response-body"/>
        <w:spacing w:line="276" w:lineRule="auto"/>
        <w:jc w:val="both"/>
      </w:pPr>
      <w:r w:rsidRPr="00A166D4">
        <w:t>Centres/Services supported by the Social Fund are the main indicator of the development of social care services in Albania. Centres/Services supported by the Social Fund are the main indicator of the development of social care services in Albania. Consequently, their inspection is also one of the priority requirements of MHSW towards the Directorate for the Inspection of Social Services Standards.</w:t>
      </w:r>
    </w:p>
    <w:p w14:paraId="55CD60BD" w14:textId="77777777" w:rsidR="007B7441" w:rsidRPr="00A166D4" w:rsidRDefault="007B7441" w:rsidP="00A166D4">
      <w:pPr>
        <w:pStyle w:val="font-claude-response-body"/>
        <w:spacing w:line="276" w:lineRule="auto"/>
        <w:jc w:val="both"/>
      </w:pPr>
      <w:r w:rsidRPr="00A166D4">
        <w:t>If we refer to the Centres/Services supported by the Social Fund for 2024, which were the subject of the Directorate's work for the year under analysis (2025), it is noted that there are 23 new services compared to one year earlier. Furthermore, of these new services, it is noted that 12 were created precisely as a result of Social Fund financing. For the first time in 7 municipalities, a social care Centre or Service was created, thus expanding the territorial map.</w:t>
      </w:r>
    </w:p>
    <w:p w14:paraId="43051A23" w14:textId="77777777" w:rsidR="007B7441" w:rsidRPr="00A166D4" w:rsidRDefault="007B7441" w:rsidP="00A166D4">
      <w:pPr>
        <w:pStyle w:val="font-claude-response-body"/>
        <w:spacing w:line="276" w:lineRule="auto"/>
        <w:jc w:val="both"/>
      </w:pPr>
      <w:r w:rsidRPr="00A166D4">
        <w:t>For illustration, the chart below presents the trend in number and types of care of Centres/Services supported by the Social Fund.</w:t>
      </w:r>
    </w:p>
    <w:p w14:paraId="6627D8F5" w14:textId="4A6B181A" w:rsidR="005F2AC9" w:rsidRPr="00A166D4" w:rsidRDefault="005F2AC9" w:rsidP="00A166D4">
      <w:pPr>
        <w:spacing w:after="0"/>
        <w:jc w:val="both"/>
        <w:rPr>
          <w:rFonts w:ascii="Times New Roman" w:hAnsi="Times New Roman" w:cs="Times New Roman"/>
          <w:color w:val="000000" w:themeColor="text1"/>
          <w:sz w:val="24"/>
          <w:szCs w:val="24"/>
        </w:rPr>
      </w:pPr>
    </w:p>
    <w:p w14:paraId="21BB1FD9" w14:textId="77777777" w:rsidR="005F2AC9" w:rsidRPr="00A166D4" w:rsidRDefault="00B56839" w:rsidP="00A166D4">
      <w:pPr>
        <w:spacing w:after="0"/>
        <w:jc w:val="both"/>
        <w:rPr>
          <w:rFonts w:ascii="Times New Roman" w:hAnsi="Times New Roman" w:cs="Times New Roman"/>
          <w:color w:val="000000" w:themeColor="text1"/>
          <w:sz w:val="24"/>
          <w:szCs w:val="24"/>
        </w:rPr>
      </w:pPr>
      <w:r w:rsidRPr="00A166D4">
        <w:rPr>
          <w:rFonts w:ascii="Times New Roman" w:hAnsi="Times New Roman" w:cs="Times New Roman"/>
          <w:noProof/>
          <w:sz w:val="24"/>
          <w:szCs w:val="24"/>
        </w:rPr>
        <w:drawing>
          <wp:inline distT="0" distB="0" distL="0" distR="0" wp14:anchorId="73D3A709" wp14:editId="57B49B54">
            <wp:extent cx="4254500" cy="2514600"/>
            <wp:effectExtent l="0" t="0" r="0" b="0"/>
            <wp:docPr id="10"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9BFE24D" w14:textId="77777777" w:rsidR="007B7441" w:rsidRPr="00A166D4" w:rsidRDefault="007B7441" w:rsidP="00A166D4">
      <w:pPr>
        <w:pStyle w:val="font-claude-response-body"/>
        <w:spacing w:line="276" w:lineRule="auto"/>
        <w:jc w:val="both"/>
      </w:pPr>
      <w:r w:rsidRPr="00A166D4">
        <w:t>Also for 2025, the number of public entities inspected is higher than the number of non-public entities (70 public versus 58 non-public services), but compared to the 2 preceding years, the difference has decreased. This has occurred due to the same factor, the Social Fund, because the number of Centres/Services classified as public services is increasing and consequently the number of public entities inspected in these 4 years under analysis.</w:t>
      </w:r>
    </w:p>
    <w:p w14:paraId="76CEF2E6" w14:textId="77777777" w:rsidR="005F2AC9" w:rsidRPr="00A166D4" w:rsidRDefault="00B56839" w:rsidP="00A166D4">
      <w:pPr>
        <w:spacing w:after="0"/>
        <w:jc w:val="both"/>
        <w:rPr>
          <w:rFonts w:ascii="Times New Roman" w:hAnsi="Times New Roman" w:cs="Times New Roman"/>
          <w:color w:val="000000" w:themeColor="text1"/>
          <w:sz w:val="24"/>
          <w:szCs w:val="24"/>
        </w:rPr>
      </w:pPr>
      <w:r w:rsidRPr="00A166D4">
        <w:rPr>
          <w:rFonts w:ascii="Times New Roman" w:hAnsi="Times New Roman" w:cs="Times New Roman"/>
          <w:noProof/>
          <w:sz w:val="24"/>
          <w:szCs w:val="24"/>
        </w:rPr>
        <w:drawing>
          <wp:inline distT="0" distB="0" distL="0" distR="0" wp14:anchorId="5DCD9EA6" wp14:editId="3BDA64FB">
            <wp:extent cx="4572000" cy="2209800"/>
            <wp:effectExtent l="0" t="0" r="0" b="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30806A4"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Regarding the typology of care, for 2025 community Centres/Services are the most inspected services; specifically, they account for 77% of all inspections. The following table presents the percentage of inspections carried out by service typology.</w:t>
      </w:r>
    </w:p>
    <w:p w14:paraId="35F380E5"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increase in the number of community service inspections has been directly influenced by the increase in community services supported/created through the Social Fund (89%, or for 2025, 60 out of 68 Centres/Services supported by the Social Fund were inspected).</w:t>
      </w:r>
    </w:p>
    <w:p w14:paraId="59A49753"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From the Annual Analysis of the SSS, it is reported that for 2025, the children's services sector carried out 5 monitoring visits in child care institutions; 6 monitoring visits in public residential social care institutions for the elderly in Fier, Poliçan, Tirana, Gjirokastër and Shkodër; 3 monitoring visits in development centres in Vlorë, Korçë and the Pëllumbat Development Centre.</w:t>
      </w:r>
    </w:p>
    <w:p w14:paraId="1A4E2598"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 fulfilment of the responsibility defined in the regulatory framework and the methodology for calculating funds for the financing of social care services, the Directorate of Social Services carried out the assessment of social care services in 15 social care centres/projects that were supported by the Social Fund for 2024, for the first year of financing. Specifically:</w:t>
      </w:r>
    </w:p>
    <w:p w14:paraId="4304F4E9"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From these services, 458 beneficiaries with disabilities, 651 elderly beneficiaries and 366 beneficiaries in multifunctional centres benefited directly; 9 services are for PwD, 5 services are for the elderly, 3 services are multifunctional, which also include 2 emergency centres (2 municipalities provide services for both PwD and the elderly).</w:t>
      </w:r>
    </w:p>
    <w:p w14:paraId="30346D6E"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assessment was carried out in:</w:t>
      </w:r>
    </w:p>
    <w:p w14:paraId="6656E62E" w14:textId="77777777" w:rsidR="007B7441" w:rsidRPr="00A166D4" w:rsidRDefault="007B7441" w:rsidP="00320C75">
      <w:pPr>
        <w:numPr>
          <w:ilvl w:val="0"/>
          <w:numId w:val="2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14 public centres/services, where the provider and administrator is the Municipality;</w:t>
      </w:r>
    </w:p>
    <w:p w14:paraId="2EC96F05" w14:textId="77777777" w:rsidR="007B7441" w:rsidRPr="00A166D4" w:rsidRDefault="007B7441" w:rsidP="00320C75">
      <w:pPr>
        <w:numPr>
          <w:ilvl w:val="0"/>
          <w:numId w:val="2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1 public centre, where the provider and administrator is the District Council institution;</w:t>
      </w:r>
    </w:p>
    <w:p w14:paraId="00B4D369" w14:textId="77777777" w:rsidR="007B7441" w:rsidRPr="00A166D4" w:rsidRDefault="007B7441" w:rsidP="00320C75">
      <w:pPr>
        <w:numPr>
          <w:ilvl w:val="0"/>
          <w:numId w:val="2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By type of care, the 15 assessed centres/services are classified as follows:</w:t>
      </w:r>
    </w:p>
    <w:p w14:paraId="341F0649" w14:textId="77777777" w:rsidR="007B7441" w:rsidRPr="00A166D4" w:rsidRDefault="007B7441" w:rsidP="00320C75">
      <w:pPr>
        <w:numPr>
          <w:ilvl w:val="0"/>
          <w:numId w:val="2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emergency shelter services;</w:t>
      </w:r>
    </w:p>
    <w:p w14:paraId="2540FFA1" w14:textId="77777777" w:rsidR="007B7441" w:rsidRPr="00A166D4" w:rsidRDefault="007B7441" w:rsidP="00320C75">
      <w:pPr>
        <w:numPr>
          <w:ilvl w:val="0"/>
          <w:numId w:val="2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day care and half-day care services at the centre;</w:t>
      </w:r>
    </w:p>
    <w:p w14:paraId="499B920D" w14:textId="77777777" w:rsidR="007B7441" w:rsidRPr="00A166D4" w:rsidRDefault="007B7441" w:rsidP="00320C75">
      <w:pPr>
        <w:numPr>
          <w:ilvl w:val="0"/>
          <w:numId w:val="2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9 home-based care services;</w:t>
      </w:r>
    </w:p>
    <w:p w14:paraId="703ED4A6" w14:textId="77777777" w:rsidR="007B7441" w:rsidRPr="00A166D4" w:rsidRDefault="007B7441" w:rsidP="00320C75">
      <w:pPr>
        <w:numPr>
          <w:ilvl w:val="0"/>
          <w:numId w:val="26"/>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community/multifunctional services.</w:t>
      </w:r>
    </w:p>
    <w:tbl>
      <w:tblPr>
        <w:tblStyle w:val="TableGrid"/>
        <w:tblW w:w="8820" w:type="dxa"/>
        <w:tblInd w:w="108" w:type="dxa"/>
        <w:tblLayout w:type="fixed"/>
        <w:tblLook w:val="04A0" w:firstRow="1" w:lastRow="0" w:firstColumn="1" w:lastColumn="0" w:noHBand="0" w:noVBand="1"/>
      </w:tblPr>
      <w:tblGrid>
        <w:gridCol w:w="539"/>
        <w:gridCol w:w="6390"/>
        <w:gridCol w:w="720"/>
        <w:gridCol w:w="1171"/>
      </w:tblGrid>
      <w:tr w:rsidR="005F2AC9" w:rsidRPr="00A166D4" w14:paraId="337B85AE" w14:textId="77777777">
        <w:trPr>
          <w:trHeight w:val="300"/>
        </w:trPr>
        <w:tc>
          <w:tcPr>
            <w:tcW w:w="7649" w:type="dxa"/>
            <w:gridSpan w:val="3"/>
            <w:shd w:val="clear" w:color="auto" w:fill="C6BFAB" w:themeFill="accent5" w:themeFillTint="99"/>
          </w:tcPr>
          <w:p w14:paraId="65C45B73" w14:textId="4DECB204" w:rsidR="005F2AC9" w:rsidRPr="00A166D4" w:rsidRDefault="007D435C" w:rsidP="00E8759D">
            <w:pPr>
              <w:spacing w:before="0" w:after="0"/>
              <w:jc w:val="center"/>
              <w:rPr>
                <w:rFonts w:ascii="Times New Roman" w:hAnsi="Times New Roman" w:cs="Times New Roman"/>
                <w:b/>
                <w:bCs/>
                <w:color w:val="000000" w:themeColor="text1"/>
                <w:sz w:val="24"/>
                <w:szCs w:val="24"/>
              </w:rPr>
            </w:pPr>
            <w:r w:rsidRPr="00A166D4">
              <w:rPr>
                <w:rFonts w:ascii="Times New Roman" w:eastAsia="MS PMincho" w:hAnsi="Times New Roman" w:cs="Times New Roman"/>
                <w:b/>
                <w:bCs/>
                <w:color w:val="000000" w:themeColor="text1"/>
                <w:sz w:val="24"/>
                <w:szCs w:val="24"/>
              </w:rPr>
              <w:t>Indicator</w:t>
            </w:r>
          </w:p>
        </w:tc>
        <w:tc>
          <w:tcPr>
            <w:tcW w:w="1171" w:type="dxa"/>
            <w:shd w:val="clear" w:color="auto" w:fill="C6BFAB" w:themeFill="accent5" w:themeFillTint="99"/>
            <w:vAlign w:val="center"/>
          </w:tcPr>
          <w:p w14:paraId="38F53EEB" w14:textId="7A74EF87" w:rsidR="005F2AC9" w:rsidRPr="00A166D4" w:rsidRDefault="007D435C" w:rsidP="00A166D4">
            <w:pPr>
              <w:spacing w:before="0" w:after="0"/>
              <w:jc w:val="both"/>
              <w:rPr>
                <w:rFonts w:ascii="Times New Roman" w:hAnsi="Times New Roman" w:cs="Times New Roman"/>
                <w:b/>
                <w:bCs/>
                <w:color w:val="000000" w:themeColor="text1"/>
                <w:sz w:val="24"/>
                <w:szCs w:val="24"/>
              </w:rPr>
            </w:pPr>
            <w:r w:rsidRPr="00A166D4">
              <w:rPr>
                <w:rFonts w:ascii="Times New Roman" w:eastAsia="MS PMincho" w:hAnsi="Times New Roman" w:cs="Times New Roman"/>
                <w:b/>
                <w:bCs/>
                <w:color w:val="000000" w:themeColor="text1"/>
                <w:sz w:val="24"/>
                <w:szCs w:val="24"/>
              </w:rPr>
              <w:t>Realised</w:t>
            </w:r>
          </w:p>
        </w:tc>
      </w:tr>
      <w:tr w:rsidR="005F2AC9" w:rsidRPr="00A166D4" w14:paraId="136E59DC" w14:textId="77777777">
        <w:trPr>
          <w:trHeight w:val="360"/>
        </w:trPr>
        <w:tc>
          <w:tcPr>
            <w:tcW w:w="8820" w:type="dxa"/>
            <w:gridSpan w:val="4"/>
          </w:tcPr>
          <w:p w14:paraId="24C4228E" w14:textId="70311A27" w:rsidR="005F2AC9" w:rsidRPr="00A166D4" w:rsidRDefault="007D435C" w:rsidP="00A166D4">
            <w:pPr>
              <w:spacing w:before="0" w:after="0"/>
              <w:jc w:val="both"/>
              <w:rPr>
                <w:rFonts w:ascii="Times New Roman" w:hAnsi="Times New Roman" w:cs="Times New Roman"/>
                <w:b/>
                <w:bCs/>
                <w:color w:val="000000" w:themeColor="text1"/>
                <w:sz w:val="24"/>
                <w:szCs w:val="24"/>
              </w:rPr>
            </w:pPr>
            <w:r w:rsidRPr="00A166D4">
              <w:rPr>
                <w:rFonts w:ascii="Times New Roman" w:eastAsia="MS PMincho" w:hAnsi="Times New Roman" w:cs="Times New Roman"/>
                <w:b/>
                <w:bCs/>
                <w:color w:val="000000" w:themeColor="text1"/>
                <w:sz w:val="24"/>
                <w:szCs w:val="24"/>
              </w:rPr>
              <w:t>Monitoring of public social care Centres/Services</w:t>
            </w:r>
          </w:p>
        </w:tc>
      </w:tr>
      <w:tr w:rsidR="005F2AC9" w:rsidRPr="00A166D4" w14:paraId="5B692ED4" w14:textId="77777777">
        <w:trPr>
          <w:trHeight w:val="300"/>
        </w:trPr>
        <w:tc>
          <w:tcPr>
            <w:tcW w:w="539" w:type="dxa"/>
          </w:tcPr>
          <w:p w14:paraId="0B7A103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color w:val="000000" w:themeColor="text1"/>
                <w:sz w:val="24"/>
                <w:szCs w:val="24"/>
              </w:rPr>
              <w:t>1.1</w:t>
            </w:r>
          </w:p>
        </w:tc>
        <w:tc>
          <w:tcPr>
            <w:tcW w:w="6390" w:type="dxa"/>
          </w:tcPr>
          <w:p w14:paraId="64CC9F70" w14:textId="6CF83071" w:rsidR="005F2AC9" w:rsidRPr="00A166D4" w:rsidRDefault="007D435C" w:rsidP="00A166D4">
            <w:pPr>
              <w:spacing w:before="0" w:after="0"/>
              <w:jc w:val="both"/>
              <w:rPr>
                <w:rFonts w:ascii="Times New Roman" w:hAnsi="Times New Roman" w:cs="Times New Roman"/>
                <w:i/>
                <w:iCs/>
                <w:color w:val="000000" w:themeColor="text1"/>
                <w:sz w:val="24"/>
                <w:szCs w:val="24"/>
              </w:rPr>
            </w:pPr>
            <w:r w:rsidRPr="00A166D4">
              <w:rPr>
                <w:rFonts w:ascii="Times New Roman" w:eastAsia="MS PMincho" w:hAnsi="Times New Roman" w:cs="Times New Roman"/>
                <w:i/>
                <w:iCs/>
                <w:color w:val="000000" w:themeColor="text1"/>
                <w:sz w:val="24"/>
                <w:szCs w:val="24"/>
              </w:rPr>
              <w:t>Public care centres (public PRIs)</w:t>
            </w:r>
          </w:p>
        </w:tc>
        <w:tc>
          <w:tcPr>
            <w:tcW w:w="1891" w:type="dxa"/>
            <w:gridSpan w:val="2"/>
            <w:vMerge w:val="restart"/>
          </w:tcPr>
          <w:p w14:paraId="190D71E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color w:val="000000" w:themeColor="text1"/>
                <w:sz w:val="24"/>
                <w:szCs w:val="24"/>
              </w:rPr>
              <w:t>14</w:t>
            </w:r>
          </w:p>
          <w:p w14:paraId="33D7086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color w:val="000000" w:themeColor="text1"/>
                <w:sz w:val="24"/>
                <w:szCs w:val="24"/>
              </w:rPr>
              <w:t>15</w:t>
            </w:r>
          </w:p>
        </w:tc>
      </w:tr>
      <w:tr w:rsidR="005F2AC9" w:rsidRPr="00A166D4" w14:paraId="28227BEB" w14:textId="77777777">
        <w:trPr>
          <w:trHeight w:val="300"/>
        </w:trPr>
        <w:tc>
          <w:tcPr>
            <w:tcW w:w="539" w:type="dxa"/>
          </w:tcPr>
          <w:p w14:paraId="6D3660B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MS PMincho" w:hAnsi="Times New Roman" w:cs="Times New Roman"/>
                <w:color w:val="000000" w:themeColor="text1"/>
                <w:sz w:val="24"/>
                <w:szCs w:val="24"/>
              </w:rPr>
              <w:t>1.2</w:t>
            </w:r>
          </w:p>
        </w:tc>
        <w:tc>
          <w:tcPr>
            <w:tcW w:w="6390" w:type="dxa"/>
          </w:tcPr>
          <w:p w14:paraId="5A2852CC" w14:textId="500DDA25" w:rsidR="005F2AC9" w:rsidRPr="00A166D4" w:rsidRDefault="007D435C" w:rsidP="00A166D4">
            <w:pPr>
              <w:spacing w:before="0" w:after="0"/>
              <w:jc w:val="both"/>
              <w:rPr>
                <w:rFonts w:ascii="Times New Roman" w:hAnsi="Times New Roman" w:cs="Times New Roman"/>
                <w:b/>
                <w:bCs/>
                <w:color w:val="000000" w:themeColor="text1"/>
                <w:sz w:val="24"/>
                <w:szCs w:val="24"/>
              </w:rPr>
            </w:pPr>
            <w:r w:rsidRPr="00A166D4">
              <w:rPr>
                <w:rFonts w:ascii="Times New Roman" w:eastAsia="MS PMincho" w:hAnsi="Times New Roman" w:cs="Times New Roman"/>
                <w:i/>
                <w:iCs/>
                <w:color w:val="000000" w:themeColor="text1"/>
                <w:sz w:val="24"/>
                <w:szCs w:val="24"/>
              </w:rPr>
              <w:t>Care centres supported by the Social Fund on a continuation basis</w:t>
            </w:r>
          </w:p>
        </w:tc>
        <w:tc>
          <w:tcPr>
            <w:tcW w:w="1891" w:type="dxa"/>
            <w:gridSpan w:val="2"/>
            <w:vMerge/>
          </w:tcPr>
          <w:p w14:paraId="57FD368C" w14:textId="77777777" w:rsidR="005F2AC9" w:rsidRPr="00A166D4" w:rsidRDefault="005F2AC9" w:rsidP="00A166D4">
            <w:pPr>
              <w:spacing w:before="0" w:after="0"/>
              <w:jc w:val="both"/>
              <w:rPr>
                <w:rFonts w:ascii="Times New Roman" w:hAnsi="Times New Roman" w:cs="Times New Roman"/>
                <w:color w:val="000000" w:themeColor="text1"/>
                <w:sz w:val="24"/>
                <w:szCs w:val="24"/>
              </w:rPr>
            </w:pPr>
          </w:p>
        </w:tc>
      </w:tr>
      <w:tr w:rsidR="005F2AC9" w:rsidRPr="00A166D4" w14:paraId="0BA8DA0A" w14:textId="77777777">
        <w:trPr>
          <w:trHeight w:val="300"/>
        </w:trPr>
        <w:tc>
          <w:tcPr>
            <w:tcW w:w="8820" w:type="dxa"/>
            <w:gridSpan w:val="4"/>
            <w:shd w:val="clear" w:color="auto" w:fill="F0E7E5" w:themeFill="accent3" w:themeFillTint="33"/>
          </w:tcPr>
          <w:p w14:paraId="55F0A2F8" w14:textId="213F4FC7" w:rsidR="005F2AC9" w:rsidRPr="00A166D4" w:rsidRDefault="007D435C" w:rsidP="00A166D4">
            <w:pPr>
              <w:spacing w:before="0" w:after="0"/>
              <w:jc w:val="both"/>
              <w:rPr>
                <w:rFonts w:ascii="Times New Roman" w:hAnsi="Times New Roman" w:cs="Times New Roman"/>
                <w:b/>
                <w:bCs/>
                <w:color w:val="000000" w:themeColor="text1"/>
                <w:sz w:val="24"/>
                <w:szCs w:val="24"/>
              </w:rPr>
            </w:pPr>
            <w:r w:rsidRPr="00A166D4">
              <w:rPr>
                <w:rFonts w:ascii="Times New Roman" w:eastAsia="MS PMincho" w:hAnsi="Times New Roman" w:cs="Times New Roman"/>
                <w:b/>
                <w:bCs/>
                <w:color w:val="000000" w:themeColor="text1"/>
                <w:sz w:val="24"/>
                <w:szCs w:val="24"/>
              </w:rPr>
              <w:t>Total monitoring</w:t>
            </w:r>
            <w:r w:rsidR="00B56839" w:rsidRPr="00A166D4">
              <w:rPr>
                <w:rFonts w:ascii="Times New Roman" w:eastAsia="MS PMincho" w:hAnsi="Times New Roman" w:cs="Times New Roman"/>
                <w:b/>
                <w:bCs/>
                <w:color w:val="000000" w:themeColor="text1"/>
                <w:sz w:val="24"/>
                <w:szCs w:val="24"/>
              </w:rPr>
              <w:t xml:space="preserve">                                                                                                                                          29</w:t>
            </w:r>
          </w:p>
        </w:tc>
      </w:tr>
    </w:tbl>
    <w:p w14:paraId="6DA61D0D"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monitoring of services financed by the Social Fund has identified a number of positive developments, including the increase in mobile and home-based services for the elderly and persons with disabilities. In seven municipalities, Social Fund-supported social services were established for the first time, while the financial realisation of the fund during 2024 reached 90.8%, reflecting an improvement compared to 2023.</w:t>
      </w:r>
    </w:p>
    <w:p w14:paraId="18B57D6D"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However, inspections have also identified several problems. Three of the 68 monitored centres were found to be not fully functional, due to the lack of licensing, staff reduction, non-realisation of planned services and difficulties in fund procurement. In some cases, beneficiary documentation was incomplete, complaint procedures did not function properly and there were deficiencies in meeting safety standards and required staffing, as well as non-use of the electronic register. The lack of licensing remains a continuing challenge for public centres, particularly new ones under municipal administration, while service managers report difficulties in preparing documentation and applying online.</w:t>
      </w:r>
    </w:p>
    <w:p w14:paraId="05998243"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Regarding compliance with standards, it is noted that in the majority of centres, procedural requirements were respected, but in 58 of them there are deficiencies in meeting specific indicators. The recommendations left one year earlier were partially implemented, while those requiring the engagement of other municipal structures, such as licensing, investment in mobile equipment and filling of job positions, remain unrealised. Fully implemented recommendations mainly relate to routine staff duties, while the lack of documentation and non-functioning of the complaint procedure have increased significantly compared to the previous year.</w:t>
      </w:r>
    </w:p>
    <w:p w14:paraId="6D26F8A3"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Going forward, it has been proposed that the situation of services with low fund utilisation and non-achievement of objectives for 2025 be reassessed, in cooperation between MHSW and SSS. Likewise, the strengthening of IT capacities in regional directorates is required to assist municipalities in using the electronic system, as well as the preparation of a detailed report on the progress of services financed by the Social Fund, which will serve as a key document for the Evaluation Commission. The SSS will regularly follow up on fund utilisation and will inform MHSW on progress and challenges encountered.</w:t>
      </w:r>
    </w:p>
    <w:p w14:paraId="0B1D7D2E" w14:textId="77777777" w:rsidR="007B7441" w:rsidRPr="00E8759D" w:rsidRDefault="007B7441" w:rsidP="00A166D4">
      <w:pPr>
        <w:suppressAutoHyphens w:val="0"/>
        <w:spacing w:beforeAutospacing="1" w:after="100" w:afterAutospacing="1"/>
        <w:jc w:val="both"/>
        <w:rPr>
          <w:rFonts w:ascii="Times New Roman" w:eastAsia="Times New Roman" w:hAnsi="Times New Roman" w:cs="Times New Roman"/>
          <w:sz w:val="24"/>
          <w:szCs w:val="24"/>
          <w:u w:val="single"/>
        </w:rPr>
      </w:pPr>
      <w:r w:rsidRPr="00E8759D">
        <w:rPr>
          <w:rFonts w:ascii="Times New Roman" w:eastAsia="Times New Roman" w:hAnsi="Times New Roman" w:cs="Times New Roman"/>
          <w:sz w:val="24"/>
          <w:szCs w:val="24"/>
          <w:u w:val="single"/>
        </w:rPr>
        <w:t>B.2.2 Strengthening the capacities and status of social care services personnel to ensure quality, effective and gender-responsive services.</w:t>
      </w:r>
    </w:p>
    <w:p w14:paraId="0557F9D9" w14:textId="77777777" w:rsidR="007B7441" w:rsidRPr="00E8759D" w:rsidRDefault="007B7441" w:rsidP="00A166D4">
      <w:pPr>
        <w:suppressAutoHyphens w:val="0"/>
        <w:spacing w:beforeAutospacing="1" w:after="100" w:afterAutospacing="1"/>
        <w:jc w:val="both"/>
        <w:rPr>
          <w:rFonts w:ascii="Times New Roman" w:eastAsia="Times New Roman" w:hAnsi="Times New Roman" w:cs="Times New Roman"/>
          <w:b/>
          <w:bCs/>
          <w:sz w:val="24"/>
          <w:szCs w:val="24"/>
        </w:rPr>
      </w:pPr>
      <w:r w:rsidRPr="00E8759D">
        <w:rPr>
          <w:rFonts w:ascii="Times New Roman" w:eastAsia="Times New Roman" w:hAnsi="Times New Roman" w:cs="Times New Roman"/>
          <w:b/>
          <w:bCs/>
          <w:sz w:val="24"/>
          <w:szCs w:val="24"/>
        </w:rPr>
        <w:t>Priority activities for the reporting period:</w:t>
      </w:r>
    </w:p>
    <w:p w14:paraId="1B18ACC9" w14:textId="77777777" w:rsidR="007B7441" w:rsidRPr="00A166D4" w:rsidRDefault="007B7441" w:rsidP="00320C75">
      <w:pPr>
        <w:numPr>
          <w:ilvl w:val="0"/>
          <w:numId w:val="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Review and integration of duties related to emergency response into the job descriptions of employees so as not to compromise the quality of social services; Drafting and implementation of a targeted training package on emergency response for social care services for public and non-public employees;</w:t>
      </w:r>
    </w:p>
    <w:p w14:paraId="1CA96247" w14:textId="77777777" w:rsidR="007B7441" w:rsidRPr="00A166D4" w:rsidRDefault="007B7441" w:rsidP="00320C75">
      <w:pPr>
        <w:numPr>
          <w:ilvl w:val="0"/>
          <w:numId w:val="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Analysis of the situation of human resources in the field of social care services and workforce education; Drafting, costing and implementation of the plan for workforce development and continuing education, with the long-term aim of responding to the development and expansion of new services;</w:t>
      </w:r>
    </w:p>
    <w:p w14:paraId="292C0DAB" w14:textId="77777777" w:rsidR="007B7441" w:rsidRPr="00A166D4" w:rsidRDefault="007B7441" w:rsidP="00320C75">
      <w:pPr>
        <w:numPr>
          <w:ilvl w:val="0"/>
          <w:numId w:val="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Accreditation of providers of training and continuing education programmes for social workers in social services;</w:t>
      </w:r>
    </w:p>
    <w:p w14:paraId="1A1524BA" w14:textId="77777777" w:rsidR="007B7441" w:rsidRPr="00A166D4" w:rsidRDefault="007B7441" w:rsidP="00320C75">
      <w:pPr>
        <w:numPr>
          <w:ilvl w:val="0"/>
          <w:numId w:val="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Monitoring of the delivery of training and continuing education programmes in accordance with the principles of gender equality and human rights;</w:t>
      </w:r>
    </w:p>
    <w:p w14:paraId="5A10F2A4" w14:textId="098CE4FF" w:rsidR="005F2AC9" w:rsidRPr="00A166D4" w:rsidRDefault="007B7441" w:rsidP="00320C75">
      <w:pPr>
        <w:numPr>
          <w:ilvl w:val="0"/>
          <w:numId w:val="3"/>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Cooperation with the Order of Psychologists and Social Workers for advancing the licensing process and strengthening the status of professionals.</w:t>
      </w:r>
      <w:r w:rsidR="00B56839" w:rsidRPr="00A166D4">
        <w:rPr>
          <w:rFonts w:ascii="Times New Roman" w:hAnsi="Times New Roman" w:cs="Times New Roman"/>
          <w:color w:val="000000" w:themeColor="text1"/>
          <w:sz w:val="24"/>
          <w:szCs w:val="24"/>
          <w:lang w:val="sq-AL"/>
        </w:rPr>
        <w:t xml:space="preserve">  </w:t>
      </w:r>
    </w:p>
    <w:p w14:paraId="4FE97DE0" w14:textId="27121626" w:rsidR="005F2AC9" w:rsidRPr="00A166D4" w:rsidRDefault="007D435C" w:rsidP="00A166D4">
      <w:pPr>
        <w:spacing w:after="0"/>
        <w:jc w:val="both"/>
        <w:rPr>
          <w:rFonts w:ascii="Times New Roman" w:eastAsia="Times New Roman" w:hAnsi="Times New Roman" w:cs="Times New Roman"/>
          <w:b/>
          <w:bCs/>
          <w:color w:val="000000" w:themeColor="text1"/>
          <w:sz w:val="24"/>
          <w:szCs w:val="24"/>
          <w:lang w:val="it-IT"/>
        </w:rPr>
      </w:pPr>
      <w:r w:rsidRPr="00A166D4">
        <w:rPr>
          <w:rFonts w:ascii="Times New Roman" w:eastAsia="Times New Roman" w:hAnsi="Times New Roman" w:cs="Times New Roman"/>
          <w:b/>
          <w:bCs/>
          <w:color w:val="000000" w:themeColor="text1"/>
          <w:sz w:val="24"/>
          <w:szCs w:val="24"/>
          <w:lang w:val="it-IT"/>
        </w:rPr>
        <w:t>Table: Passport Indicators for Specific Objective B.2.2</w:t>
      </w:r>
    </w:p>
    <w:p w14:paraId="1DBF8C9F" w14:textId="77777777" w:rsidR="007D435C" w:rsidRPr="00A166D4" w:rsidRDefault="007D435C" w:rsidP="00A166D4">
      <w:pPr>
        <w:spacing w:after="0"/>
        <w:jc w:val="both"/>
        <w:rPr>
          <w:rFonts w:ascii="Times New Roman" w:eastAsia="Times New Roman" w:hAnsi="Times New Roman" w:cs="Times New Roman"/>
          <w:b/>
          <w:bCs/>
          <w:color w:val="000000" w:themeColor="text1"/>
          <w:sz w:val="24"/>
          <w:szCs w:val="24"/>
          <w:lang w:val="pt-BR"/>
        </w:rPr>
      </w:pPr>
    </w:p>
    <w:tbl>
      <w:tblPr>
        <w:tblStyle w:val="TableGrid"/>
        <w:tblW w:w="9250" w:type="dxa"/>
        <w:tblLayout w:type="fixed"/>
        <w:tblLook w:val="04A0" w:firstRow="1" w:lastRow="0" w:firstColumn="1" w:lastColumn="0" w:noHBand="0" w:noVBand="1"/>
      </w:tblPr>
      <w:tblGrid>
        <w:gridCol w:w="2132"/>
        <w:gridCol w:w="2322"/>
        <w:gridCol w:w="1264"/>
        <w:gridCol w:w="1058"/>
        <w:gridCol w:w="1058"/>
        <w:gridCol w:w="1416"/>
      </w:tblGrid>
      <w:tr w:rsidR="005F2AC9" w:rsidRPr="00A166D4" w14:paraId="67A3D94B" w14:textId="77777777">
        <w:trPr>
          <w:trHeight w:val="300"/>
        </w:trPr>
        <w:tc>
          <w:tcPr>
            <w:tcW w:w="2131" w:type="dxa"/>
            <w:tcBorders>
              <w:top w:val="single" w:sz="8" w:space="0" w:color="000000"/>
              <w:left w:val="single" w:sz="8" w:space="0" w:color="000000"/>
              <w:bottom w:val="single" w:sz="8" w:space="0" w:color="000000"/>
              <w:right w:val="single" w:sz="8" w:space="0" w:color="000000"/>
            </w:tcBorders>
          </w:tcPr>
          <w:p w14:paraId="4B8EE0E0" w14:textId="336110C8" w:rsidR="005F2AC9" w:rsidRPr="00A166D4" w:rsidRDefault="007D435C" w:rsidP="00A166D4">
            <w:pPr>
              <w:spacing w:before="0" w:after="0"/>
              <w:jc w:val="both"/>
              <w:rPr>
                <w:rFonts w:ascii="Times New Roman" w:hAnsi="Times New Roman" w:cs="Times New Roman"/>
                <w:color w:val="000000" w:themeColor="text1"/>
                <w:sz w:val="24"/>
                <w:szCs w:val="24"/>
                <w:lang w:val="pt-BR"/>
              </w:rPr>
            </w:pPr>
            <w:r w:rsidRPr="00A166D4">
              <w:rPr>
                <w:rFonts w:ascii="Times New Roman" w:eastAsia="Times New Roman" w:hAnsi="Times New Roman" w:cs="Times New Roman"/>
                <w:color w:val="000000" w:themeColor="text1"/>
                <w:sz w:val="24"/>
                <w:szCs w:val="24"/>
                <w:lang w:val="it-IT"/>
              </w:rPr>
              <w:t>B2.2. Strengthening the capacities and status of social care services personnel to ensure quality, effective and gender-responsive services.</w:t>
            </w:r>
          </w:p>
        </w:tc>
        <w:tc>
          <w:tcPr>
            <w:tcW w:w="2322" w:type="dxa"/>
            <w:tcBorders>
              <w:top w:val="single" w:sz="8" w:space="0" w:color="000000"/>
              <w:left w:val="single" w:sz="8" w:space="0" w:color="000000"/>
              <w:bottom w:val="single" w:sz="8" w:space="0" w:color="000000"/>
              <w:right w:val="single" w:sz="8" w:space="0" w:color="000000"/>
            </w:tcBorders>
          </w:tcPr>
          <w:p w14:paraId="10784AF2" w14:textId="21E85A62" w:rsidR="005F2AC9" w:rsidRPr="00E8759D" w:rsidRDefault="00B56839" w:rsidP="00A166D4">
            <w:pPr>
              <w:spacing w:before="0" w:after="0"/>
              <w:jc w:val="both"/>
              <w:rPr>
                <w:rFonts w:ascii="Times New Roman" w:hAnsi="Times New Roman" w:cs="Times New Roman"/>
                <w:color w:val="000000" w:themeColor="text1"/>
                <w:sz w:val="24"/>
                <w:szCs w:val="24"/>
                <w:lang w:val="pt-BR"/>
              </w:rPr>
            </w:pPr>
            <w:r w:rsidRPr="00A166D4">
              <w:rPr>
                <w:rFonts w:ascii="Times New Roman" w:eastAsia="Times New Roman" w:hAnsi="Times New Roman" w:cs="Times New Roman"/>
                <w:color w:val="000000" w:themeColor="text1"/>
                <w:sz w:val="24"/>
                <w:szCs w:val="24"/>
                <w:lang w:val="it-IT"/>
              </w:rPr>
              <w:t xml:space="preserve"> </w:t>
            </w:r>
            <w:r w:rsidR="007D435C" w:rsidRPr="00A166D4">
              <w:rPr>
                <w:rFonts w:ascii="Times New Roman" w:eastAsia="Times New Roman" w:hAnsi="Times New Roman" w:cs="Times New Roman"/>
                <w:color w:val="000000" w:themeColor="text1"/>
                <w:sz w:val="24"/>
                <w:szCs w:val="24"/>
                <w:lang w:val="it-IT"/>
              </w:rPr>
              <w:t>Number of accredited continuing training programmes</w:t>
            </w:r>
            <w:r w:rsidRPr="00A166D4">
              <w:rPr>
                <w:rFonts w:ascii="Times New Roman" w:eastAsia="Times New Roman" w:hAnsi="Times New Roman" w:cs="Times New Roman"/>
                <w:color w:val="000000" w:themeColor="text1"/>
                <w:sz w:val="24"/>
                <w:szCs w:val="24"/>
                <w:lang w:val="it-IT"/>
              </w:rPr>
              <w:t xml:space="preserve"> </w:t>
            </w:r>
          </w:p>
          <w:p w14:paraId="71DFDDF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452FB1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E784BC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80096C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69A5C0E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0363F796" w14:textId="108803C8"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Number of social workers licensed by the Order of Social Workers</w:t>
            </w:r>
            <w:r w:rsidR="00B56839" w:rsidRPr="00A166D4">
              <w:rPr>
                <w:rFonts w:ascii="Times New Roman" w:eastAsia="Times New Roman" w:hAnsi="Times New Roman" w:cs="Times New Roman"/>
                <w:color w:val="000000" w:themeColor="text1"/>
                <w:sz w:val="24"/>
                <w:szCs w:val="24"/>
                <w:lang w:val="it-IT"/>
              </w:rPr>
              <w:t xml:space="preserve"> </w:t>
            </w:r>
          </w:p>
        </w:tc>
        <w:tc>
          <w:tcPr>
            <w:tcW w:w="1264" w:type="dxa"/>
            <w:tcBorders>
              <w:top w:val="single" w:sz="8" w:space="0" w:color="000000"/>
              <w:left w:val="single" w:sz="8" w:space="0" w:color="000000"/>
              <w:bottom w:val="single" w:sz="8" w:space="0" w:color="000000"/>
              <w:right w:val="single" w:sz="8" w:space="0" w:color="000000"/>
            </w:tcBorders>
          </w:tcPr>
          <w:p w14:paraId="717C0CDF" w14:textId="69E01F1E"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N/A</w:t>
            </w:r>
          </w:p>
          <w:p w14:paraId="3F06C63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01EFFC7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EB5F13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4F3D8D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29D1DB3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72D3882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81BECD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51CC521D" w14:textId="4FF04962"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482 (year 2023)</w:t>
            </w:r>
            <w:r w:rsidR="00B56839" w:rsidRPr="00A166D4">
              <w:rPr>
                <w:rFonts w:ascii="Times New Roman" w:eastAsia="Times New Roman" w:hAnsi="Times New Roman" w:cs="Times New Roman"/>
                <w:color w:val="000000" w:themeColor="text1"/>
                <w:sz w:val="24"/>
                <w:szCs w:val="24"/>
                <w:lang w:val="it-IT"/>
              </w:rPr>
              <w:t xml:space="preserve"> </w:t>
            </w:r>
          </w:p>
        </w:tc>
        <w:tc>
          <w:tcPr>
            <w:tcW w:w="1058" w:type="dxa"/>
            <w:tcBorders>
              <w:top w:val="single" w:sz="8" w:space="0" w:color="000000"/>
              <w:left w:val="single" w:sz="8" w:space="0" w:color="000000"/>
              <w:bottom w:val="single" w:sz="8" w:space="0" w:color="000000"/>
              <w:right w:val="single" w:sz="8" w:space="0" w:color="000000"/>
            </w:tcBorders>
          </w:tcPr>
          <w:p w14:paraId="3F9CD66A" w14:textId="5616A09B"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20</w:t>
            </w:r>
          </w:p>
          <w:p w14:paraId="7EDA743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DA8C49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E8B66B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74F076B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807044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03AE6E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7EB871E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1F6A31FE"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746</w:t>
            </w:r>
          </w:p>
        </w:tc>
        <w:tc>
          <w:tcPr>
            <w:tcW w:w="1058" w:type="dxa"/>
            <w:tcBorders>
              <w:top w:val="single" w:sz="8" w:space="0" w:color="000000"/>
              <w:left w:val="single" w:sz="8" w:space="0" w:color="000000"/>
              <w:bottom w:val="single" w:sz="8" w:space="0" w:color="000000"/>
              <w:right w:val="single" w:sz="8" w:space="0" w:color="000000"/>
            </w:tcBorders>
          </w:tcPr>
          <w:p w14:paraId="289D9EF2" w14:textId="3D1C4AED"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30</w:t>
            </w:r>
          </w:p>
          <w:p w14:paraId="41E76B6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6101ED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37B0DF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72D2C47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AC81B5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09CDBA3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46E83A3"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7D915CE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800</w:t>
            </w:r>
          </w:p>
        </w:tc>
        <w:tc>
          <w:tcPr>
            <w:tcW w:w="1416" w:type="dxa"/>
            <w:tcBorders>
              <w:top w:val="single" w:sz="8" w:space="0" w:color="000000"/>
              <w:left w:val="single" w:sz="8" w:space="0" w:color="000000"/>
              <w:bottom w:val="single" w:sz="8" w:space="0" w:color="000000"/>
              <w:right w:val="single" w:sz="8" w:space="0" w:color="000000"/>
            </w:tcBorders>
          </w:tcPr>
          <w:p w14:paraId="24DD0EE4" w14:textId="6764F1CE"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Accreditation Agency / administrative data / NSPS monitoring report</w:t>
            </w:r>
            <w:r w:rsidR="00B56839" w:rsidRPr="00A166D4">
              <w:rPr>
                <w:rFonts w:ascii="Times New Roman" w:eastAsia="Times New Roman" w:hAnsi="Times New Roman" w:cs="Times New Roman"/>
                <w:color w:val="000000" w:themeColor="text1"/>
                <w:sz w:val="24"/>
                <w:szCs w:val="24"/>
                <w:lang w:val="it-IT"/>
              </w:rPr>
              <w:t xml:space="preserve"> </w:t>
            </w:r>
          </w:p>
          <w:p w14:paraId="4F91055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2622D8EA" w14:textId="77777777" w:rsidR="00E8759D" w:rsidRDefault="00E8759D" w:rsidP="00A166D4">
            <w:pPr>
              <w:spacing w:before="0" w:after="0"/>
              <w:jc w:val="both"/>
              <w:rPr>
                <w:rFonts w:ascii="Times New Roman" w:eastAsia="Times New Roman" w:hAnsi="Times New Roman" w:cs="Times New Roman"/>
                <w:color w:val="000000" w:themeColor="text1"/>
                <w:sz w:val="24"/>
                <w:szCs w:val="24"/>
                <w:lang w:val="it-IT"/>
              </w:rPr>
            </w:pPr>
          </w:p>
          <w:p w14:paraId="0985A8A8" w14:textId="654BC073"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Order of Social Workers / NSPS monitoring report</w:t>
            </w:r>
          </w:p>
        </w:tc>
      </w:tr>
    </w:tbl>
    <w:p w14:paraId="13D40F28" w14:textId="77777777" w:rsidR="005F2AC9" w:rsidRPr="00A166D4" w:rsidRDefault="005F2AC9" w:rsidP="00A166D4">
      <w:pPr>
        <w:spacing w:after="0"/>
        <w:jc w:val="both"/>
        <w:rPr>
          <w:rFonts w:ascii="Times New Roman" w:hAnsi="Times New Roman" w:cs="Times New Roman"/>
          <w:b/>
          <w:bCs/>
          <w:color w:val="000000" w:themeColor="text1"/>
          <w:sz w:val="24"/>
          <w:szCs w:val="24"/>
          <w:lang w:val="sq-AL"/>
        </w:rPr>
      </w:pPr>
    </w:p>
    <w:p w14:paraId="3A58BBA5" w14:textId="77777777" w:rsidR="007B7441" w:rsidRPr="00E8759D" w:rsidRDefault="007B7441" w:rsidP="00A166D4">
      <w:pPr>
        <w:pStyle w:val="font-claude-response-body"/>
        <w:spacing w:line="276" w:lineRule="auto"/>
        <w:jc w:val="both"/>
        <w:rPr>
          <w:b/>
          <w:bCs/>
        </w:rPr>
      </w:pPr>
      <w:r w:rsidRPr="00E8759D">
        <w:rPr>
          <w:b/>
          <w:bCs/>
        </w:rPr>
        <w:t>Description of the objective and monitoring results</w:t>
      </w:r>
    </w:p>
    <w:p w14:paraId="79238686" w14:textId="77777777" w:rsidR="007B7441" w:rsidRPr="00A166D4" w:rsidRDefault="007B7441" w:rsidP="00A166D4">
      <w:pPr>
        <w:pStyle w:val="font-claude-response-body"/>
        <w:spacing w:line="276" w:lineRule="auto"/>
        <w:jc w:val="both"/>
      </w:pPr>
      <w:r w:rsidRPr="00A166D4">
        <w:t>The objective aims to strengthen the capacities and professional status of personnel providing social care services, with the aim of guaranteeing a service offer that is quality, effective and sensitive to the gender dimension. This includes investment in continuous professional development, improvement of working conditions, increasing the knowledge and skills of staff, as well as the promotion of gender equality in all aspects of service delivery. Through this objective, the aim is for personnel to be better prepared to address the different needs of individuals and groups in need, ensuring an inclusive and fair approach.</w:t>
      </w:r>
    </w:p>
    <w:p w14:paraId="62ECBDDC" w14:textId="77777777" w:rsidR="007B7441" w:rsidRPr="00A166D4" w:rsidRDefault="007B7441" w:rsidP="00A166D4">
      <w:pPr>
        <w:pStyle w:val="font-claude-response-body"/>
        <w:spacing w:line="276" w:lineRule="auto"/>
        <w:jc w:val="both"/>
      </w:pPr>
      <w:r w:rsidRPr="00A166D4">
        <w:t xml:space="preserve">To further improve professional standards, the Order of Social Workers, in partnership with the Ministry of Health and Social Welfare and the European Union, has developed a dedicated website for social workers: </w:t>
      </w:r>
      <w:hyperlink r:id="rId18" w:history="1">
        <w:r w:rsidRPr="00A166D4">
          <w:rPr>
            <w:rStyle w:val="Hyperlink"/>
          </w:rPr>
          <w:t>https://epunasociale.al</w:t>
        </w:r>
      </w:hyperlink>
      <w:r w:rsidRPr="00A166D4">
        <w:t>. This platform serves as a key source of information and offers a register for simplifying the licensing and re-accreditation process of professionals.</w:t>
      </w:r>
    </w:p>
    <w:p w14:paraId="2F3C9271" w14:textId="77777777" w:rsidR="007B7441" w:rsidRPr="00A166D4" w:rsidRDefault="007B7441" w:rsidP="00A166D4">
      <w:pPr>
        <w:pStyle w:val="font-claude-response-body"/>
        <w:spacing w:line="276" w:lineRule="auto"/>
        <w:jc w:val="both"/>
      </w:pPr>
      <w:r w:rsidRPr="00A166D4">
        <w:t>The Order of Social Workers in Albania is currently in its third year of operation. To date, 974 social workers have become members of the Order, and approximately 746 of them, who have met the criteria, have been licensed. The registration and licensing process is still ongoing. The Order is cooperating with the Ministry of Health and Social Welfare and the Ministry of Education for the establishment of the Practical Skills Assessment Commissions and the State Examination Commission.</w:t>
      </w:r>
    </w:p>
    <w:p w14:paraId="41CAB3A5" w14:textId="77777777" w:rsidR="007B7441" w:rsidRPr="00A166D4" w:rsidRDefault="007B7441" w:rsidP="00A166D4">
      <w:pPr>
        <w:pStyle w:val="font-claude-response-body"/>
        <w:spacing w:line="276" w:lineRule="auto"/>
        <w:jc w:val="both"/>
      </w:pPr>
      <w:r w:rsidRPr="00A166D4">
        <w:t>As regards Continuing Professional Development, this process will be managed by the Agency for Quality Assurance in Health and Social Care, which is responsible for the accreditation of service providers and the awarding of credits for social workers. The Order will oversee this process and will identify priority areas for the training of social workers.</w:t>
      </w:r>
    </w:p>
    <w:p w14:paraId="185A9C6E" w14:textId="77777777" w:rsidR="007B7441" w:rsidRPr="00A166D4" w:rsidRDefault="007B7441" w:rsidP="00A166D4">
      <w:pPr>
        <w:pStyle w:val="font-claude-response-body"/>
        <w:spacing w:line="276" w:lineRule="auto"/>
        <w:jc w:val="both"/>
      </w:pPr>
      <w:r w:rsidRPr="00A166D4">
        <w:t>Courses conducted in the context of continuing professional development will be accredited by the Agency for Quality Assurance in Higher Education and will be available through the electronic platform for social workers.</w:t>
      </w:r>
    </w:p>
    <w:p w14:paraId="672FF97B" w14:textId="77777777" w:rsidR="007B7441" w:rsidRPr="00A166D4" w:rsidRDefault="007B7441" w:rsidP="00A166D4">
      <w:pPr>
        <w:pStyle w:val="font-claude-response-body"/>
        <w:spacing w:line="276" w:lineRule="auto"/>
        <w:jc w:val="both"/>
      </w:pPr>
      <w:r w:rsidRPr="00A166D4">
        <w:t>Through these initiatives, the aim is to strengthen the role of social workers in the implementation of social policies, the promotion of human rights-based practices and the provision of inclusive care for individuals in need.</w:t>
      </w:r>
    </w:p>
    <w:p w14:paraId="3682D580" w14:textId="77777777" w:rsidR="007B7441" w:rsidRPr="00A166D4" w:rsidRDefault="007B7441" w:rsidP="00A166D4">
      <w:pPr>
        <w:pStyle w:val="font-claude-response-body"/>
        <w:spacing w:line="276" w:lineRule="auto"/>
        <w:jc w:val="both"/>
      </w:pPr>
      <w:r w:rsidRPr="00A166D4">
        <w:t>The Ministry of Health and Social Welfare has approved the framework of basic quality standards for social care services – approved by Minister's Instruction No. 281/2024. In this context, the standards framework will serve as a reference point for the process of defining, assuring, assessing, accrediting and licensing social care services.</w:t>
      </w:r>
    </w:p>
    <w:p w14:paraId="544565F7" w14:textId="77777777" w:rsidR="007B7441" w:rsidRPr="00E8759D" w:rsidRDefault="007B7441" w:rsidP="00A166D4">
      <w:pPr>
        <w:pStyle w:val="font-claude-response-body"/>
        <w:spacing w:line="276" w:lineRule="auto"/>
        <w:jc w:val="both"/>
        <w:rPr>
          <w:b/>
          <w:bCs/>
        </w:rPr>
      </w:pPr>
      <w:r w:rsidRPr="00E8759D">
        <w:rPr>
          <w:b/>
          <w:bCs/>
        </w:rPr>
        <w:t>Promotion and Empowerment of the Social Worker Profession</w:t>
      </w:r>
    </w:p>
    <w:p w14:paraId="0565A61A" w14:textId="77777777" w:rsidR="007B7441" w:rsidRPr="00A166D4" w:rsidRDefault="007B7441" w:rsidP="00320C75">
      <w:pPr>
        <w:numPr>
          <w:ilvl w:val="0"/>
          <w:numId w:val="17"/>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Another important component has been increasing the visibility and attractiveness of the social worker profession. Every year, on World Social Work Day, the Ministry organises activities to recognise the contribution of social workers to society, as well as produces promotional videos and campaigns that place them at the centre of the messages.</w:t>
      </w:r>
    </w:p>
    <w:p w14:paraId="5084A34C" w14:textId="77777777" w:rsidR="00E8759D" w:rsidRDefault="007B7441" w:rsidP="00320C75">
      <w:pPr>
        <w:numPr>
          <w:ilvl w:val="0"/>
          <w:numId w:val="18"/>
        </w:numPr>
        <w:suppressAutoHyphens w:val="0"/>
        <w:spacing w:beforeAutospacing="1" w:after="0"/>
        <w:jc w:val="both"/>
        <w:rPr>
          <w:rFonts w:ascii="Times New Roman" w:hAnsi="Times New Roman" w:cs="Times New Roman"/>
          <w:sz w:val="24"/>
          <w:szCs w:val="24"/>
        </w:rPr>
      </w:pPr>
      <w:r w:rsidRPr="00A166D4">
        <w:rPr>
          <w:rFonts w:ascii="Times New Roman" w:hAnsi="Times New Roman" w:cs="Times New Roman"/>
          <w:sz w:val="24"/>
          <w:szCs w:val="24"/>
        </w:rPr>
        <w:t>Development of the state examination for licensing new social workers (QSHA)</w:t>
      </w:r>
    </w:p>
    <w:p w14:paraId="081F292E" w14:textId="365E08CE" w:rsidR="007B7441" w:rsidRPr="00E8759D" w:rsidRDefault="007B7441" w:rsidP="00E8759D">
      <w:pPr>
        <w:suppressAutoHyphens w:val="0"/>
        <w:spacing w:beforeAutospacing="1" w:after="0"/>
        <w:ind w:left="720"/>
        <w:jc w:val="both"/>
        <w:rPr>
          <w:rFonts w:ascii="Times New Roman" w:hAnsi="Times New Roman" w:cs="Times New Roman"/>
          <w:sz w:val="24"/>
          <w:szCs w:val="24"/>
        </w:rPr>
      </w:pPr>
      <w:r w:rsidRPr="00E8759D">
        <w:rPr>
          <w:rFonts w:ascii="Times New Roman" w:hAnsi="Times New Roman" w:cs="Times New Roman"/>
          <w:sz w:val="24"/>
          <w:szCs w:val="24"/>
        </w:rPr>
        <w:t>One of the most important achievements of 2025 was the development of the State Examination for licensing new social workers, organised by the Centre for Educational Services (QSHA). This process constitutes the fundamental link in guaranteeing quality and professional standards in the practice of social work in Albania. Through this examination, it is ensured that only professionals who meet the criteria for theoretical knowledge, practical competences and ethical standards defined by the legislation and regulatory acts in force enter the system. The process was supported by a dedicated commission of experts for the drafting of the question bank and the structuring of the examination content, guaranteeing academic integrity, objectivity and transparency. This development consolidated the licensing system and strengthened public trust in the social worker profession.</w:t>
      </w:r>
    </w:p>
    <w:p w14:paraId="7DA349BA" w14:textId="77777777" w:rsidR="00E8759D" w:rsidRDefault="007B7441" w:rsidP="00320C75">
      <w:pPr>
        <w:numPr>
          <w:ilvl w:val="0"/>
          <w:numId w:val="19"/>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Development for the first time of the practical skills test</w:t>
      </w:r>
    </w:p>
    <w:p w14:paraId="51229BC2" w14:textId="1C68DAEC" w:rsidR="007B7441" w:rsidRPr="00E8759D" w:rsidRDefault="007B7441" w:rsidP="00E8759D">
      <w:pPr>
        <w:suppressAutoHyphens w:val="0"/>
        <w:spacing w:beforeAutospacing="1" w:after="100" w:afterAutospacing="1"/>
        <w:ind w:left="720"/>
        <w:jc w:val="both"/>
        <w:rPr>
          <w:rFonts w:ascii="Times New Roman" w:hAnsi="Times New Roman" w:cs="Times New Roman"/>
          <w:sz w:val="24"/>
          <w:szCs w:val="24"/>
        </w:rPr>
      </w:pPr>
      <w:r w:rsidRPr="00E8759D">
        <w:rPr>
          <w:rFonts w:ascii="Times New Roman" w:hAnsi="Times New Roman" w:cs="Times New Roman"/>
          <w:sz w:val="24"/>
          <w:szCs w:val="24"/>
        </w:rPr>
        <w:t>On 19 June 2025, the Order organised for the first time the Practical Skills Test for social workers undergoing professional practice. This step represents a historic moment in the standardisation of professional assessment mechanisms, transitioning from a primarily theoretical model towards a system that directly verifies the practical skills and functional competences of candidates. The test strengthened quality control mechanisms, increased professional accountability and set a new standard for entry into the profession, in accordance with ethical and legal requirements.</w:t>
      </w:r>
    </w:p>
    <w:p w14:paraId="0C7A6878" w14:textId="77777777" w:rsidR="00E8759D" w:rsidRDefault="007B7441" w:rsidP="00320C75">
      <w:pPr>
        <w:numPr>
          <w:ilvl w:val="0"/>
          <w:numId w:val="20"/>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Development of the second national assembly and election of new governing bodies</w:t>
      </w:r>
    </w:p>
    <w:p w14:paraId="17E24501" w14:textId="48B61618" w:rsidR="007B7441" w:rsidRPr="00E8759D" w:rsidRDefault="007B7441" w:rsidP="00E8759D">
      <w:pPr>
        <w:suppressAutoHyphens w:val="0"/>
        <w:spacing w:beforeAutospacing="1" w:after="100" w:afterAutospacing="1"/>
        <w:ind w:left="720"/>
        <w:jc w:val="both"/>
        <w:rPr>
          <w:rFonts w:ascii="Times New Roman" w:hAnsi="Times New Roman" w:cs="Times New Roman"/>
          <w:sz w:val="24"/>
          <w:szCs w:val="24"/>
        </w:rPr>
      </w:pPr>
      <w:r w:rsidRPr="00E8759D">
        <w:rPr>
          <w:rFonts w:ascii="Times New Roman" w:hAnsi="Times New Roman" w:cs="Times New Roman"/>
          <w:sz w:val="24"/>
          <w:szCs w:val="24"/>
        </w:rPr>
        <w:t>On 1 March 2025, the Second National Assembly of the Order of Social Workers was held, marking the conclusion of the first three-year cycle of institutional consolidation and the beginning of a new leadership phase. During this Assembly, the election of the Chairperson and members of the National Council was carried out, guaranteeing democratic continuity and strengthening the internal governance of the institution. The activity also served as a moment of reflection on achievements in licensing, regulation of the profession and advocacy for the improvement of working conditions, and consolidated relations with institutional and international partners.</w:t>
      </w:r>
    </w:p>
    <w:p w14:paraId="5E7E073C" w14:textId="77777777" w:rsidR="007B7441" w:rsidRPr="00E8759D" w:rsidRDefault="007B7441" w:rsidP="00A166D4">
      <w:pPr>
        <w:pStyle w:val="font-claude-response-body"/>
        <w:spacing w:line="276" w:lineRule="auto"/>
        <w:jc w:val="both"/>
        <w:rPr>
          <w:b/>
          <w:bCs/>
        </w:rPr>
      </w:pPr>
      <w:r w:rsidRPr="00E8759D">
        <w:rPr>
          <w:b/>
          <w:bCs/>
        </w:rPr>
        <w:t>Strengthening Local Institutional Capacities for the Delivery of Social Services</w:t>
      </w:r>
    </w:p>
    <w:p w14:paraId="23E87AC4" w14:textId="77777777" w:rsidR="007B7441" w:rsidRPr="00A166D4" w:rsidRDefault="007B7441" w:rsidP="00A166D4">
      <w:pPr>
        <w:pStyle w:val="font-claude-response-body"/>
        <w:spacing w:line="276" w:lineRule="auto"/>
        <w:jc w:val="both"/>
      </w:pPr>
      <w:r w:rsidRPr="00A166D4">
        <w:t>During the period January–March 2025, within the framework of the TA4SI technical assistance, three independent training modules were developed and implemented, which aim to strengthen the capacities of professionals at the local and central level involved in the delivery of social services. These modules were drafted on the basis of a systematic assessment of capacity building needs, taking into account the professional perspectives of different groups of experts and ensuring content adapted to needs.</w:t>
      </w:r>
    </w:p>
    <w:p w14:paraId="28BA6F3F" w14:textId="77777777" w:rsidR="007B7441" w:rsidRPr="00A166D4" w:rsidRDefault="007B7441" w:rsidP="00A166D4">
      <w:pPr>
        <w:pStyle w:val="font-claude-response-body"/>
        <w:spacing w:line="276" w:lineRule="auto"/>
        <w:jc w:val="both"/>
      </w:pPr>
      <w:r w:rsidRPr="00A166D4">
        <w:t>In total, 15 training sessions were organised in 27 municipalities of the country, in which 262 professionals from various institutions participated. The training sessions were conducted in person in five main regions: Shkodër, Tirana, Elbasan, Gjirokastër and Korçë, ensuring broad geographical coverage and the inclusion of 19 pilot municipalities that directly benefit from technical assistance.</w:t>
      </w:r>
    </w:p>
    <w:p w14:paraId="134A86A7" w14:textId="77777777" w:rsidR="007B7441" w:rsidRPr="00A166D4" w:rsidRDefault="007B7441" w:rsidP="00A166D4">
      <w:pPr>
        <w:pStyle w:val="font-claude-response-body"/>
        <w:spacing w:line="276" w:lineRule="auto"/>
        <w:jc w:val="both"/>
      </w:pPr>
      <w:r w:rsidRPr="00A166D4">
        <w:t>Training participants represented a wide range of institutions, including social services directorates, municipal staff, health care institutions, local educational institutions, employment offices and civil society organisations. This broad institutional representation enabled a comprehensive approach to capacity building for the delivery of social services.</w:t>
      </w:r>
    </w:p>
    <w:p w14:paraId="2D1C6213" w14:textId="77777777" w:rsidR="007B7441" w:rsidRPr="00A166D4" w:rsidRDefault="007B7441" w:rsidP="00A166D4">
      <w:pPr>
        <w:pStyle w:val="font-claude-response-body"/>
        <w:spacing w:line="276" w:lineRule="auto"/>
        <w:jc w:val="both"/>
      </w:pPr>
      <w:r w:rsidRPr="00A166D4">
        <w:t>The training sessions were structured in three main modules, which can be offered independently for different audiences. The general module aimed to provide fundamental knowledge on social services for professionals from various fields, promoting a common understanding and delivery of integrated services. The specific modules provided in-depth knowledge on topics directly related to the delivery of social services, emphasising the importance of quality standards, service design and costing, as well as the development of qualified staff. A separate module, focused on gaps, will be developed in the concluding phase of the training cycle, with the aim of addressing challenges that were not sufficiently covered in the previous modules.</w:t>
      </w:r>
    </w:p>
    <w:p w14:paraId="34EB4F97" w14:textId="77777777" w:rsidR="007B7441" w:rsidRPr="00A166D4" w:rsidRDefault="007B7441" w:rsidP="00A166D4">
      <w:pPr>
        <w:pStyle w:val="font-claude-response-body"/>
        <w:spacing w:line="276" w:lineRule="auto"/>
        <w:jc w:val="both"/>
      </w:pPr>
      <w:r w:rsidRPr="00A166D4">
        <w:t>The support of EU4SocialCare has contributed significantly to increasing institutional capacities at the local and central level, through the development of three key technical instruments: the Manual for local structures on the integration of the "shock-responsive" approach in planning and budgeting, the ministerial guidance document for the creation and functionalisation of Local Social Funds, as well as the user manual for the MIS system of social services. The drafting of these documents was accompanied by capacity building for their implementation.</w:t>
      </w:r>
    </w:p>
    <w:p w14:paraId="425921C8" w14:textId="77777777" w:rsidR="007B7441" w:rsidRPr="00A166D4" w:rsidRDefault="007B7441" w:rsidP="00A166D4">
      <w:pPr>
        <w:pStyle w:val="font-claude-response-body"/>
        <w:spacing w:line="276" w:lineRule="auto"/>
        <w:jc w:val="both"/>
      </w:pPr>
      <w:r w:rsidRPr="00A166D4">
        <w:t>61 municipalities were supported through on-the-job training, mentoring and direct guidance. During this period alone, a total of 489 municipal employees, service providers, directors of social services and partners from civil society organisations participated in these sessions, increasing their awareness and understanding of the role, functions, responsibilities and mandate of NARU. More than 70 professionals engaged in the planning, management and delivery of social services, as well as in the implementation of shock-responsive approaches. This process has strengthened the ability of municipalities to plan more sustainably, to better manage financial resources and to improve data quality and reporting.</w:t>
      </w:r>
    </w:p>
    <w:p w14:paraId="7071CBE5" w14:textId="77777777" w:rsidR="007B7441" w:rsidRPr="00A166D4" w:rsidRDefault="007B7441" w:rsidP="00A166D4">
      <w:pPr>
        <w:pStyle w:val="font-claude-response-body"/>
        <w:spacing w:line="276" w:lineRule="auto"/>
        <w:jc w:val="both"/>
      </w:pPr>
      <w:r w:rsidRPr="00A166D4">
        <w:t>Furthermore, five training cycles were provided, with technical assistance from UNICEF and implemented by ARSIS, with the following focus and scope:</w:t>
      </w:r>
    </w:p>
    <w:p w14:paraId="58A81304" w14:textId="77777777" w:rsidR="007B7441" w:rsidRPr="00A166D4" w:rsidRDefault="007B7441" w:rsidP="00320C75">
      <w:pPr>
        <w:numPr>
          <w:ilvl w:val="0"/>
          <w:numId w:val="21"/>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Introduction to the deinstitutionalisation process and familiarisation with Child and Family Empowerment Services (CFES) as well as child protection policies – conducted during 2022–2024 for the staff of 9 Public Residential Institutions (PRI) in Tirana, Durrës, Korçë, Vlorë and Shkodër.</w:t>
      </w:r>
    </w:p>
    <w:p w14:paraId="42EE5FD6" w14:textId="77777777" w:rsidR="007B7441" w:rsidRPr="00A166D4" w:rsidRDefault="007B7441" w:rsidP="00320C75">
      <w:pPr>
        <w:numPr>
          <w:ilvl w:val="0"/>
          <w:numId w:val="21"/>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Emergency services in the context of the transformation of PRIs – conducted in 2024 with the staff of Korçë and Vlorë PRIs.</w:t>
      </w:r>
    </w:p>
    <w:p w14:paraId="4DDF7759" w14:textId="77777777" w:rsidR="007B7441" w:rsidRPr="00A166D4" w:rsidRDefault="007B7441" w:rsidP="00320C75">
      <w:pPr>
        <w:numPr>
          <w:ilvl w:val="0"/>
          <w:numId w:val="21"/>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Case management in the family reunification process – conducted during 2024–2025 with the staff of Tirana, Durrës, Shkodër PRIs and the respective municipalities.</w:t>
      </w:r>
    </w:p>
    <w:p w14:paraId="10F26CAC" w14:textId="77777777" w:rsidR="007B7441" w:rsidRPr="00A166D4" w:rsidRDefault="007B7441" w:rsidP="00320C75">
      <w:pPr>
        <w:numPr>
          <w:ilvl w:val="0"/>
          <w:numId w:val="21"/>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Creating support services for children and families – conducted in 2025 with the staff of Durrës PRI and Durrës Municipality.</w:t>
      </w:r>
    </w:p>
    <w:p w14:paraId="05857FBF" w14:textId="77777777" w:rsidR="00E8759D" w:rsidRDefault="007B7441" w:rsidP="00A166D4">
      <w:pPr>
        <w:pStyle w:val="font-claude-response-body"/>
        <w:spacing w:line="276" w:lineRule="auto"/>
        <w:jc w:val="both"/>
      </w:pPr>
      <w:r w:rsidRPr="00A166D4">
        <w:t>These training cycles have contributed significantly to strengthening staff capacities at the national and local level, supporting the ongoing process of transforming residential institutions and the development of alternative care services.</w:t>
      </w:r>
    </w:p>
    <w:p w14:paraId="14FFABEA" w14:textId="77777777" w:rsidR="00E8759D" w:rsidRDefault="007B7441" w:rsidP="00A166D4">
      <w:pPr>
        <w:pStyle w:val="font-claude-response-body"/>
        <w:spacing w:line="276" w:lineRule="auto"/>
        <w:jc w:val="both"/>
      </w:pPr>
      <w:r w:rsidRPr="00E8759D">
        <w:rPr>
          <w:b/>
          <w:bCs/>
        </w:rPr>
        <w:t>Specific Objective B3: Deinstitutionalisation of residential care services and transformation towards family-based, community-based and day care services, respecting the principle of human rights and gender perspectives.</w:t>
      </w:r>
    </w:p>
    <w:p w14:paraId="3FF65C35" w14:textId="4808CF25" w:rsidR="00E8759D" w:rsidRPr="00E8759D" w:rsidRDefault="007B7441" w:rsidP="00A166D4">
      <w:pPr>
        <w:pStyle w:val="font-claude-response-body"/>
        <w:spacing w:line="276" w:lineRule="auto"/>
        <w:jc w:val="both"/>
      </w:pPr>
      <w:r w:rsidRPr="00E8759D">
        <w:rPr>
          <w:i/>
          <w:iCs/>
        </w:rPr>
        <w:t xml:space="preserve">Priority measures: </w:t>
      </w:r>
    </w:p>
    <w:p w14:paraId="35DDF784" w14:textId="6D826F57" w:rsidR="007B7441" w:rsidRPr="00E8759D" w:rsidRDefault="007B7441" w:rsidP="00A166D4">
      <w:pPr>
        <w:pStyle w:val="font-claude-response-body"/>
        <w:spacing w:line="276" w:lineRule="auto"/>
        <w:jc w:val="both"/>
        <w:rPr>
          <w:u w:val="single"/>
        </w:rPr>
      </w:pPr>
      <w:r w:rsidRPr="00E8759D">
        <w:rPr>
          <w:u w:val="single"/>
        </w:rPr>
        <w:t>B.3.1 Child care – Advancing the process of transforming the residential system for children and developing family-based, community-based and day care services in accordance with the best interest of beneficiaries and those of gender equality.</w:t>
      </w:r>
    </w:p>
    <w:p w14:paraId="1F6D5500" w14:textId="77777777" w:rsidR="007B7441" w:rsidRPr="00A166D4" w:rsidRDefault="007B7441" w:rsidP="00A166D4">
      <w:pPr>
        <w:pStyle w:val="font-claude-response-body"/>
        <w:spacing w:line="276" w:lineRule="auto"/>
        <w:jc w:val="both"/>
      </w:pPr>
      <w:r w:rsidRPr="00A166D4">
        <w:t>Priority activities for the reporting period:</w:t>
      </w:r>
    </w:p>
    <w:p w14:paraId="4062B6DE" w14:textId="77777777" w:rsidR="007B7441" w:rsidRPr="00A166D4" w:rsidRDefault="007B7441" w:rsidP="00320C75">
      <w:pPr>
        <w:numPr>
          <w:ilvl w:val="0"/>
          <w:numId w:val="22"/>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Review of the legal framework of social services, for the protection and care of children in the deinstitutionalisation process;</w:t>
      </w:r>
    </w:p>
    <w:p w14:paraId="260E42A2" w14:textId="77777777" w:rsidR="007B7441" w:rsidRPr="00A166D4" w:rsidRDefault="007B7441" w:rsidP="00320C75">
      <w:pPr>
        <w:numPr>
          <w:ilvl w:val="0"/>
          <w:numId w:val="22"/>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Harmonisation of the integrated legal, administrative and procedural system, ensuring the implementation of the best interest of the child;</w:t>
      </w:r>
    </w:p>
    <w:p w14:paraId="0C1F0E7B" w14:textId="77777777" w:rsidR="007B7441" w:rsidRPr="00A166D4" w:rsidRDefault="007B7441" w:rsidP="00320C75">
      <w:pPr>
        <w:numPr>
          <w:ilvl w:val="0"/>
          <w:numId w:val="22"/>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Review of the financial framework ensuring support for the deinstitutionalisation and institutional transformation process as well as professional alternative care or care in the biological family;</w:t>
      </w:r>
    </w:p>
    <w:p w14:paraId="1E7B3F0E" w14:textId="77777777" w:rsidR="007B7441" w:rsidRPr="00A166D4" w:rsidRDefault="007B7441" w:rsidP="00320C75">
      <w:pPr>
        <w:numPr>
          <w:ilvl w:val="0"/>
          <w:numId w:val="22"/>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Establishment of an inter-institutional coordination mechanism for the monitoring of the process: Steering Committee;</w:t>
      </w:r>
    </w:p>
    <w:p w14:paraId="792EC2AA" w14:textId="77777777" w:rsidR="007B7441" w:rsidRPr="00A166D4" w:rsidRDefault="007B7441" w:rsidP="00320C75">
      <w:pPr>
        <w:numPr>
          <w:ilvl w:val="0"/>
          <w:numId w:val="22"/>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Establishment and empowerment of social and integrated services for early intervention and prevention of the separation of the child from the family environment and reunification (including children with disabilities; including private residential services); Establishment and institutionalisation of the professional foster care service and expansion of models formalised by the inter-institutional mechanism;</w:t>
      </w:r>
    </w:p>
    <w:p w14:paraId="11EEF802" w14:textId="77777777" w:rsidR="007B7441" w:rsidRPr="00A166D4" w:rsidRDefault="007B7441" w:rsidP="00320C75">
      <w:pPr>
        <w:numPr>
          <w:ilvl w:val="0"/>
          <w:numId w:val="22"/>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Implementation of a moratorium for children aged 0–3 years in public and private PRIs; Monitoring of the implementation of alternative care for all children, with particular focus on children aged 0–6 years, as part of the PRIs to be transformed;</w:t>
      </w:r>
    </w:p>
    <w:p w14:paraId="17AD2F22" w14:textId="77777777" w:rsidR="007B7441" w:rsidRPr="00A166D4" w:rsidRDefault="007B7441" w:rsidP="00320C75">
      <w:pPr>
        <w:numPr>
          <w:ilvl w:val="0"/>
          <w:numId w:val="22"/>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Assessment and ensuring of the best interest of resident children in PRIs throughout the transformation process; Assessment of all three components – beneficiaries, infrastructure, human resources;</w:t>
      </w:r>
    </w:p>
    <w:p w14:paraId="69F5ECFD" w14:textId="77777777" w:rsidR="007B7441" w:rsidRPr="00A166D4" w:rsidRDefault="007B7441" w:rsidP="00320C75">
      <w:pPr>
        <w:numPr>
          <w:ilvl w:val="0"/>
          <w:numId w:val="22"/>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Gradual transformation of 9 Public Social Care Institutions (PRIs) into multidisciplinary and multifunctional services for the child and family, implementing the best interest of the child;</w:t>
      </w:r>
    </w:p>
    <w:p w14:paraId="1A91843F" w14:textId="77777777" w:rsidR="007B7441" w:rsidRPr="00A166D4" w:rsidRDefault="007B7441" w:rsidP="00320C75">
      <w:pPr>
        <w:numPr>
          <w:ilvl w:val="0"/>
          <w:numId w:val="22"/>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Continuous monitoring of every child transitioning from residential care to other alternative forms of care;</w:t>
      </w:r>
    </w:p>
    <w:p w14:paraId="18DD773D" w14:textId="77BB8B0E" w:rsidR="000346C2" w:rsidRPr="00A166D4" w:rsidRDefault="007B7441" w:rsidP="00320C75">
      <w:pPr>
        <w:numPr>
          <w:ilvl w:val="0"/>
          <w:numId w:val="22"/>
        </w:numPr>
        <w:suppressAutoHyphens w:val="0"/>
        <w:spacing w:beforeAutospacing="1" w:after="100" w:afterAutospacing="1"/>
        <w:jc w:val="both"/>
        <w:rPr>
          <w:rFonts w:ascii="Times New Roman" w:hAnsi="Times New Roman" w:cs="Times New Roman"/>
          <w:sz w:val="24"/>
          <w:szCs w:val="24"/>
        </w:rPr>
      </w:pPr>
      <w:r w:rsidRPr="00A166D4">
        <w:rPr>
          <w:rFonts w:ascii="Times New Roman" w:hAnsi="Times New Roman" w:cs="Times New Roman"/>
          <w:sz w:val="24"/>
          <w:szCs w:val="24"/>
        </w:rPr>
        <w:t>Continuous training for all personnel (social workers, foster carers, educators);</w:t>
      </w:r>
      <w:r w:rsidR="00B56839" w:rsidRPr="00A166D4">
        <w:rPr>
          <w:rFonts w:ascii="Times New Roman" w:hAnsi="Times New Roman" w:cs="Times New Roman"/>
          <w:color w:val="000000" w:themeColor="text1"/>
          <w:sz w:val="24"/>
          <w:szCs w:val="24"/>
          <w:lang w:val="sq-AL"/>
        </w:rPr>
        <w:t xml:space="preserve"> </w:t>
      </w:r>
    </w:p>
    <w:p w14:paraId="5357336A" w14:textId="77777777" w:rsidR="00E8759D" w:rsidRDefault="00E8759D" w:rsidP="00A166D4">
      <w:pPr>
        <w:spacing w:after="0"/>
        <w:jc w:val="both"/>
        <w:rPr>
          <w:rFonts w:ascii="Times New Roman" w:eastAsia="Times New Roman" w:hAnsi="Times New Roman" w:cs="Times New Roman"/>
          <w:b/>
          <w:bCs/>
          <w:color w:val="000000" w:themeColor="text1"/>
          <w:sz w:val="24"/>
          <w:szCs w:val="24"/>
          <w:lang w:val="it-IT"/>
        </w:rPr>
      </w:pPr>
    </w:p>
    <w:p w14:paraId="163177C4" w14:textId="77777777" w:rsidR="00E8759D" w:rsidRDefault="00E8759D" w:rsidP="00A166D4">
      <w:pPr>
        <w:spacing w:after="0"/>
        <w:jc w:val="both"/>
        <w:rPr>
          <w:rFonts w:ascii="Times New Roman" w:eastAsia="Times New Roman" w:hAnsi="Times New Roman" w:cs="Times New Roman"/>
          <w:b/>
          <w:bCs/>
          <w:color w:val="000000" w:themeColor="text1"/>
          <w:sz w:val="24"/>
          <w:szCs w:val="24"/>
          <w:lang w:val="it-IT"/>
        </w:rPr>
      </w:pPr>
    </w:p>
    <w:p w14:paraId="1B98540F" w14:textId="535C478B" w:rsidR="005F2AC9" w:rsidRPr="00A166D4" w:rsidRDefault="007D435C" w:rsidP="00E8759D">
      <w:pPr>
        <w:spacing w:after="0"/>
        <w:jc w:val="center"/>
        <w:rPr>
          <w:rFonts w:ascii="Times New Roman" w:eastAsia="Times New Roman" w:hAnsi="Times New Roman" w:cs="Times New Roman"/>
          <w:b/>
          <w:bCs/>
          <w:color w:val="000000" w:themeColor="text1"/>
          <w:sz w:val="24"/>
          <w:szCs w:val="24"/>
          <w:lang w:val="it-IT"/>
        </w:rPr>
      </w:pPr>
      <w:r w:rsidRPr="00A166D4">
        <w:rPr>
          <w:rFonts w:ascii="Times New Roman" w:eastAsia="Times New Roman" w:hAnsi="Times New Roman" w:cs="Times New Roman"/>
          <w:b/>
          <w:bCs/>
          <w:color w:val="000000" w:themeColor="text1"/>
          <w:sz w:val="24"/>
          <w:szCs w:val="24"/>
          <w:lang w:val="it-IT"/>
        </w:rPr>
        <w:t>Table: Passport Indicators for Specific Objective B.3.1</w:t>
      </w:r>
    </w:p>
    <w:p w14:paraId="3B482920" w14:textId="77777777" w:rsidR="007D435C" w:rsidRPr="00A166D4" w:rsidRDefault="007D435C" w:rsidP="00A166D4">
      <w:pPr>
        <w:spacing w:after="0"/>
        <w:jc w:val="both"/>
        <w:rPr>
          <w:rFonts w:ascii="Times New Roman" w:hAnsi="Times New Roman" w:cs="Times New Roman"/>
          <w:b/>
          <w:bCs/>
          <w:color w:val="000000" w:themeColor="text1"/>
          <w:sz w:val="24"/>
          <w:szCs w:val="24"/>
          <w:lang w:val="it-IT"/>
        </w:rPr>
      </w:pPr>
    </w:p>
    <w:tbl>
      <w:tblPr>
        <w:tblStyle w:val="TableGrid"/>
        <w:tblW w:w="8717" w:type="dxa"/>
        <w:tblLayout w:type="fixed"/>
        <w:tblLook w:val="04A0" w:firstRow="1" w:lastRow="0" w:firstColumn="1" w:lastColumn="0" w:noHBand="0" w:noVBand="1"/>
      </w:tblPr>
      <w:tblGrid>
        <w:gridCol w:w="1902"/>
        <w:gridCol w:w="2102"/>
        <w:gridCol w:w="1114"/>
        <w:gridCol w:w="1290"/>
        <w:gridCol w:w="599"/>
        <w:gridCol w:w="1710"/>
      </w:tblGrid>
      <w:tr w:rsidR="005F2AC9" w:rsidRPr="00A166D4" w14:paraId="6A57BCC1" w14:textId="77777777">
        <w:trPr>
          <w:trHeight w:val="225"/>
        </w:trPr>
        <w:tc>
          <w:tcPr>
            <w:tcW w:w="1901" w:type="dxa"/>
            <w:tcBorders>
              <w:top w:val="single" w:sz="8" w:space="0" w:color="000000"/>
              <w:left w:val="single" w:sz="8" w:space="0" w:color="000000"/>
              <w:bottom w:val="single" w:sz="8" w:space="0" w:color="000000"/>
              <w:right w:val="single" w:sz="8" w:space="0" w:color="000000"/>
            </w:tcBorders>
          </w:tcPr>
          <w:p w14:paraId="3DDD8F6D" w14:textId="68DD8F0C" w:rsidR="005F2AC9" w:rsidRPr="00A166D4" w:rsidRDefault="007D435C" w:rsidP="00A166D4">
            <w:pPr>
              <w:spacing w:before="0" w:after="0"/>
              <w:jc w:val="both"/>
              <w:rPr>
                <w:rFonts w:ascii="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B3.1. Child care – Advancing the process of transforming the residential system for children and developing family-based, community-based and day care services in accordance with the best interest of beneficiaries and those of gender equality.</w:t>
            </w:r>
          </w:p>
        </w:tc>
        <w:tc>
          <w:tcPr>
            <w:tcW w:w="2102" w:type="dxa"/>
            <w:tcBorders>
              <w:top w:val="single" w:sz="8" w:space="0" w:color="000000"/>
              <w:left w:val="single" w:sz="8" w:space="0" w:color="000000"/>
              <w:bottom w:val="single" w:sz="8" w:space="0" w:color="000000"/>
              <w:right w:val="single" w:sz="8" w:space="0" w:color="000000"/>
            </w:tcBorders>
          </w:tcPr>
          <w:p w14:paraId="21482834" w14:textId="150E8917"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Number of residential care service personnel trained in deinstitutionalisation processes</w:t>
            </w:r>
            <w:r w:rsidR="00B56839" w:rsidRPr="00A166D4">
              <w:rPr>
                <w:rFonts w:ascii="Times New Roman" w:eastAsia="Times New Roman" w:hAnsi="Times New Roman" w:cs="Times New Roman"/>
                <w:color w:val="000000" w:themeColor="text1"/>
                <w:sz w:val="24"/>
                <w:szCs w:val="24"/>
                <w:lang w:val="it-IT"/>
              </w:rPr>
              <w:t xml:space="preserve"> </w:t>
            </w:r>
          </w:p>
          <w:p w14:paraId="683B288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08EDAD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03B6A7E7" w14:textId="1AD0973F" w:rsidR="005F2AC9" w:rsidRPr="00A166D4" w:rsidRDefault="007D435C" w:rsidP="00A166D4">
            <w:pPr>
              <w:spacing w:before="0" w:after="0"/>
              <w:jc w:val="both"/>
              <w:rPr>
                <w:rFonts w:ascii="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Number of new services established for the prevention of the institutionalisation of children and for the transformation of the residential system (by service typology: temporary personal assistant, adoption, independent living, day care services, community services, family empowerment programme)</w:t>
            </w:r>
          </w:p>
        </w:tc>
        <w:tc>
          <w:tcPr>
            <w:tcW w:w="1114" w:type="dxa"/>
            <w:tcBorders>
              <w:top w:val="single" w:sz="8" w:space="0" w:color="000000"/>
              <w:left w:val="single" w:sz="8" w:space="0" w:color="000000"/>
              <w:bottom w:val="single" w:sz="8" w:space="0" w:color="000000"/>
              <w:right w:val="single" w:sz="8" w:space="0" w:color="000000"/>
            </w:tcBorders>
          </w:tcPr>
          <w:p w14:paraId="5CB90F5D" w14:textId="736A298D"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56 (year 2023)</w:t>
            </w:r>
            <w:r w:rsidR="00B56839" w:rsidRPr="00A166D4">
              <w:rPr>
                <w:rFonts w:ascii="Times New Roman" w:eastAsia="Times New Roman" w:hAnsi="Times New Roman" w:cs="Times New Roman"/>
                <w:color w:val="000000" w:themeColor="text1"/>
                <w:sz w:val="24"/>
                <w:szCs w:val="24"/>
                <w:lang w:val="en-GB"/>
              </w:rPr>
              <w:t xml:space="preserve"> </w:t>
            </w:r>
          </w:p>
          <w:p w14:paraId="428F4DD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0EAABA0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46B0695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78C6795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712AAC3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72A49FB1" w14:textId="77777777" w:rsidR="00E8759D" w:rsidRDefault="00E8759D" w:rsidP="00A166D4">
            <w:pPr>
              <w:spacing w:before="0" w:after="0"/>
              <w:jc w:val="both"/>
              <w:rPr>
                <w:rFonts w:ascii="Times New Roman" w:eastAsia="Times New Roman" w:hAnsi="Times New Roman" w:cs="Times New Roman"/>
                <w:color w:val="000000" w:themeColor="text1"/>
                <w:sz w:val="24"/>
                <w:szCs w:val="24"/>
                <w:lang w:val="en-GB"/>
              </w:rPr>
            </w:pPr>
          </w:p>
          <w:p w14:paraId="0D1CB1B0" w14:textId="02CC4CA2"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12 (year 2023)</w:t>
            </w:r>
          </w:p>
        </w:tc>
        <w:tc>
          <w:tcPr>
            <w:tcW w:w="1290" w:type="dxa"/>
            <w:tcBorders>
              <w:top w:val="single" w:sz="8" w:space="0" w:color="000000"/>
              <w:left w:val="single" w:sz="8" w:space="0" w:color="000000"/>
              <w:bottom w:val="single" w:sz="8" w:space="0" w:color="000000"/>
              <w:right w:val="single" w:sz="8" w:space="0" w:color="000000"/>
            </w:tcBorders>
          </w:tcPr>
          <w:p w14:paraId="20D97758" w14:textId="77777777" w:rsidR="005F2AC9" w:rsidRPr="00A166D4" w:rsidRDefault="00B56839" w:rsidP="00A166D4">
            <w:pPr>
              <w:spacing w:before="0" w:after="0"/>
              <w:jc w:val="both"/>
              <w:rPr>
                <w:rFonts w:ascii="Times New Roman" w:eastAsia="Times New Roman" w:hAnsi="Times New Roman" w:cs="Times New Roman"/>
                <w:color w:val="000000" w:themeColor="text1"/>
                <w:sz w:val="24"/>
                <w:szCs w:val="24"/>
                <w:lang w:val="en-GB"/>
              </w:rPr>
            </w:pPr>
            <w:r w:rsidRPr="00A166D4">
              <w:rPr>
                <w:rFonts w:ascii="Times New Roman" w:eastAsia="Times New Roman" w:hAnsi="Times New Roman" w:cs="Times New Roman"/>
                <w:color w:val="000000" w:themeColor="text1"/>
                <w:sz w:val="24"/>
                <w:szCs w:val="24"/>
                <w:lang w:val="en-GB"/>
              </w:rPr>
              <w:t>295</w:t>
            </w:r>
          </w:p>
          <w:p w14:paraId="51C42C9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6DF014A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2E54CBB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06181A4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65B5C83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09D015A5"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0EDB1EFB"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074033F7" w14:textId="3B1F3A59"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37 Community centres (3 CFES) and 22 mobile services</w:t>
            </w:r>
          </w:p>
        </w:tc>
        <w:tc>
          <w:tcPr>
            <w:tcW w:w="599" w:type="dxa"/>
            <w:tcBorders>
              <w:top w:val="single" w:sz="8" w:space="0" w:color="000000"/>
              <w:left w:val="single" w:sz="8" w:space="0" w:color="000000"/>
              <w:bottom w:val="single" w:sz="8" w:space="0" w:color="000000"/>
              <w:right w:val="single" w:sz="8" w:space="0" w:color="000000"/>
            </w:tcBorders>
          </w:tcPr>
          <w:p w14:paraId="451647B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176</w:t>
            </w:r>
          </w:p>
          <w:p w14:paraId="02CA588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27B20D9A"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74C0A46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1D6F59D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53D6218F"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58D25B5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en-GB"/>
              </w:rPr>
            </w:pPr>
          </w:p>
          <w:p w14:paraId="1907042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 xml:space="preserve"> </w:t>
            </w:r>
          </w:p>
          <w:p w14:paraId="3D36329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en-GB"/>
              </w:rPr>
              <w:t>32</w:t>
            </w:r>
          </w:p>
        </w:tc>
        <w:tc>
          <w:tcPr>
            <w:tcW w:w="1710" w:type="dxa"/>
            <w:tcBorders>
              <w:top w:val="single" w:sz="8" w:space="0" w:color="000000"/>
              <w:left w:val="single" w:sz="8" w:space="0" w:color="000000"/>
              <w:bottom w:val="single" w:sz="8" w:space="0" w:color="000000"/>
              <w:right w:val="single" w:sz="8" w:space="0" w:color="000000"/>
            </w:tcBorders>
          </w:tcPr>
          <w:p w14:paraId="633EB094"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p w14:paraId="7708F7A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p w14:paraId="3E1DBDE8" w14:textId="4258081D"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CH"/>
              </w:rPr>
              <w:t>SSS / administrative data / NSPS monitoring report</w:t>
            </w:r>
            <w:r w:rsidR="00B56839" w:rsidRPr="00A166D4">
              <w:rPr>
                <w:rFonts w:ascii="Times New Roman" w:eastAsia="Times New Roman" w:hAnsi="Times New Roman" w:cs="Times New Roman"/>
                <w:color w:val="000000" w:themeColor="text1"/>
                <w:sz w:val="24"/>
                <w:szCs w:val="24"/>
                <w:lang w:val="it-IT"/>
              </w:rPr>
              <w:t xml:space="preserve"> </w:t>
            </w:r>
          </w:p>
          <w:p w14:paraId="160B41F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8EDEADB"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tc>
      </w:tr>
    </w:tbl>
    <w:p w14:paraId="42F13937" w14:textId="77777777" w:rsidR="005F2AC9" w:rsidRPr="00A166D4" w:rsidRDefault="005F2AC9" w:rsidP="00A166D4">
      <w:pPr>
        <w:spacing w:after="0"/>
        <w:jc w:val="both"/>
        <w:rPr>
          <w:rFonts w:ascii="Times New Roman" w:hAnsi="Times New Roman" w:cs="Times New Roman"/>
          <w:b/>
          <w:bCs/>
          <w:color w:val="000000" w:themeColor="text1"/>
          <w:sz w:val="24"/>
          <w:szCs w:val="24"/>
          <w:lang w:val="it-IT"/>
        </w:rPr>
      </w:pPr>
    </w:p>
    <w:p w14:paraId="01E340CF" w14:textId="77777777" w:rsidR="007B7441" w:rsidRPr="00E8759D" w:rsidRDefault="007B7441" w:rsidP="00A166D4">
      <w:pPr>
        <w:suppressAutoHyphens w:val="0"/>
        <w:spacing w:beforeAutospacing="1" w:after="100" w:afterAutospacing="1"/>
        <w:jc w:val="both"/>
        <w:rPr>
          <w:rFonts w:ascii="Times New Roman" w:eastAsia="Times New Roman" w:hAnsi="Times New Roman" w:cs="Times New Roman"/>
          <w:b/>
          <w:bCs/>
          <w:sz w:val="24"/>
          <w:szCs w:val="24"/>
        </w:rPr>
      </w:pPr>
      <w:r w:rsidRPr="00E8759D">
        <w:rPr>
          <w:rFonts w:ascii="Times New Roman" w:eastAsia="Times New Roman" w:hAnsi="Times New Roman" w:cs="Times New Roman"/>
          <w:b/>
          <w:bCs/>
          <w:sz w:val="24"/>
          <w:szCs w:val="24"/>
        </w:rPr>
        <w:t>Description of the objective and monitoring results</w:t>
      </w:r>
    </w:p>
    <w:p w14:paraId="0639E366"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This objective aims to advance the process of transforming the residential system for children, shifting the focus from institutional care towards more personalised and inclusive forms of support, such as family-based, community-based and day centre services. The new approach aims to ensure that every child grows up in an environment as close as possible to family life, respecting their right to full emotional, social and educational development. This reform is based on the principle of the best interest of the child and on the need to provide services that are gender-sensitive, addressing equally the needs of girls and boys.</w:t>
      </w:r>
    </w:p>
    <w:p w14:paraId="75D57B3F"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development of alternative services requires a coordinated inter-institutional approach, investment in human and financial capacities, as well as the active involvement of the community and family. Through this approach, the aim is to create support structures that not only replace residential care, but offer a safe, loving and stable environment for children. Furthermore, the inclusion of the gender perspective in the planning, implementation and monitoring of services ensures that no child is excluded or discriminated against on the grounds of gender.</w:t>
      </w:r>
    </w:p>
    <w:p w14:paraId="19E623C2"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Ministry of Health and Social Welfare has taken concrete steps for the transformation of the residential system for children, orienting it towards community-based, family-based and day care services, in accordance with the best interest of the child and the principles of gender equality. The transformation of the centres in Vlorë and Korçë has been positively assessed by international partners, including the European Commission, and now serves as a model for the institutions in Durrës and Shkodër.</w:t>
      </w:r>
    </w:p>
    <w:p w14:paraId="2CF68FB0"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transformation process for these two institutions has been supported by detailed assessments of the current situation of the children, staff and infrastructure, as well as by the development of transition plans adapted to the local context. Preliminary assessments have identified the main factors hindering the return of children to the biological family or the transition to alternative forms of care, including unclear legal status, lack of inter-institutional coordination and the absence of support services at the local level.</w:t>
      </w:r>
    </w:p>
    <w:p w14:paraId="09F30DFC"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child deinstitutionalisation reform in Albania has recorded steady progress during the period 2021–2025, reflecting a gradual shift from traditional institutional care models towards family-based and community-based services. The data show a general downward trend in the total number of children in public residential centres, from 246 children in 2021 to 199 children in 2025, despite temporary fluctuations between years. This trend confirms the gradual impact of policies for preventing the separation of children from families and strengthening alternatives to institutionalisation.</w:t>
      </w:r>
    </w:p>
    <w:p w14:paraId="4C6C351E"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At the same time, the data on new admissions to residential institutions show that the pressure on the system remains considerable. The number of children entering residential centres was relatively stable during the years 2021–2024, with a notable increase in 2024 (60 children), before declining to 46 cases in 2025. This decrease in 2025 is directly linked to the strengthening of case management mechanisms at the local level, the more active role of Child Protection Units and Needs Assessment and Referral Units, as well as the expansion of community services supported through the Social Fund. However, the continued presence of children with disabilities among new admissions to institutions indicates that the challenges in providing specialised preventive services remain pronounced.</w:t>
      </w:r>
    </w:p>
    <w:p w14:paraId="6E3E9F0E"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Regarding exits from institutions, the period 2021–2023 marks considerable progress, with the peak in 2023 when 53 children were transitioned to family-based and community-based care. In 2024 and 2025, a decline in the number of children exiting institutions is observed (30 and 28 respectively), which is explained mainly by the higher complexity of the remaining cases, particularly children with disabilities and those without immediate possibilities for family reintegration. However, the fact that in 2025 no child with disabilities was transitioned out of institutions demonstrates the need for accelerating the development of professional alternative and support services for this group.</w:t>
      </w:r>
    </w:p>
    <w:p w14:paraId="7368D026"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At the systemic level, the deinstitutionalisation reform has advanced beyond individual cases, being accompanied by the structural transformation of the residential institutions themselves. The moratorium on the placement of children aged 0–2 years in the institutions in Durrës and Shkodër remains in force, reinforcing the principle that institutional care is not appropriate for very young children. In parallel, the transformation of the institutions in Korçë and Vlorë is progressing through the creation of multifunctional Child and Family Empowerment Service structures, which aim to replace the institutional model with integrated, preventive and community-based services.</w:t>
      </w:r>
    </w:p>
    <w:p w14:paraId="17062995"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 key step in the consolidation of the reform is the approval of the Transformation Plan for the seven remaining public residential institutions, approved by the Deinstitutionalisation Steering Committee and officially transmitted to the European Commission. The plan envisages the full transformation of these institutions by the end of 2026 and is fully costed, with over 85% of financing secured from the state budget, guaranteeing financial sustainability and service continuity during the transition.</w:t>
      </w:r>
    </w:p>
    <w:p w14:paraId="627602A2"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reform is also supported by a reinforced legal framework, through the adoption of Law 92/2025 on Alternative Care, adopted in December 2025, which lays the foundations for an integrated system of family-based and community-based care, including the introduction of professional alternative care as a regulated social service. Overall, the developments of the period 2021–2025 attest to a coherent and gradual approach towards deinstitutionalisation, shifting the focus from institutions towards prevention, family support and community-based services, in accordance with European and international standards for children's rights.</w:t>
      </w:r>
    </w:p>
    <w:p w14:paraId="644FE1F5"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Within the framework of strengthening local capacities, during the reporting period a total of 9 training activities were organised in the cities of Tirana, Durrës, Shkodër, Vlorë and Korçë, in which 235 professionals from local cross-sectoral structures participated, including psychologists, social workers, staff of social care institutions and specialists of community centres. The training sessions covered a range of topics directly related to the implementation of the strategy, contributing to increasing the knowledge and practical skills of participants.</w:t>
      </w:r>
    </w:p>
    <w:p w14:paraId="679C5D6D"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 this framework, case management in the process of reintegration of the child with the biological family was addressed in six sessions conducted in Tirana, Durrës and Shkodër, which offered 6–7 credits each. Furthermore, in July 2025 in Durrës, a training on social support services for the child and family was organised, with the participation of 30 specialists and the provision of 5 credits. Another important topic was the provision of emergency services for children and families in need, which was conducted in two separate sessions in Vlorë and Korçë, with 15 participants, 12 credits for each activity and with the involvement of the staff of care institutions for children aged 0–5 years.</w:t>
      </w:r>
    </w:p>
    <w:p w14:paraId="74B90E3D"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process of deinstitutionalisation of children from institutional residential care was addressed through a dedicated training conducted in Shkodër in October 2024, which focused on the legal framework, inter-institutional cooperation and best practices, offering 9 credits for the 15 participants.</w:t>
      </w:r>
    </w:p>
    <w:p w14:paraId="7A642CB9" w14:textId="77777777" w:rsidR="007B7441" w:rsidRPr="00E8759D" w:rsidRDefault="007B7441" w:rsidP="00A166D4">
      <w:pPr>
        <w:suppressAutoHyphens w:val="0"/>
        <w:spacing w:beforeAutospacing="1" w:after="100" w:afterAutospacing="1"/>
        <w:jc w:val="both"/>
        <w:rPr>
          <w:rFonts w:ascii="Times New Roman" w:eastAsia="Times New Roman" w:hAnsi="Times New Roman" w:cs="Times New Roman"/>
          <w:sz w:val="24"/>
          <w:szCs w:val="24"/>
          <w:u w:val="single"/>
        </w:rPr>
      </w:pPr>
      <w:r w:rsidRPr="00E8759D">
        <w:rPr>
          <w:rFonts w:ascii="Times New Roman" w:eastAsia="Times New Roman" w:hAnsi="Times New Roman" w:cs="Times New Roman"/>
          <w:sz w:val="24"/>
          <w:szCs w:val="24"/>
          <w:u w:val="single"/>
        </w:rPr>
        <w:t>B.3.2 Expansion of the network of social care services for persons with disabilities living in residential institutions, or at risk of institutionalisation.</w:t>
      </w:r>
    </w:p>
    <w:p w14:paraId="7014AB11" w14:textId="77777777" w:rsidR="007B7441" w:rsidRPr="00E8759D" w:rsidRDefault="007B7441" w:rsidP="00A166D4">
      <w:pPr>
        <w:suppressAutoHyphens w:val="0"/>
        <w:spacing w:beforeAutospacing="1" w:after="100" w:afterAutospacing="1"/>
        <w:jc w:val="both"/>
        <w:rPr>
          <w:rFonts w:ascii="Times New Roman" w:eastAsia="Times New Roman" w:hAnsi="Times New Roman" w:cs="Times New Roman"/>
          <w:b/>
          <w:bCs/>
          <w:sz w:val="24"/>
          <w:szCs w:val="24"/>
        </w:rPr>
      </w:pPr>
      <w:r w:rsidRPr="00E8759D">
        <w:rPr>
          <w:rFonts w:ascii="Times New Roman" w:eastAsia="Times New Roman" w:hAnsi="Times New Roman" w:cs="Times New Roman"/>
          <w:b/>
          <w:bCs/>
          <w:sz w:val="24"/>
          <w:szCs w:val="24"/>
        </w:rPr>
        <w:t>Priority activities for the reporting period:</w:t>
      </w:r>
    </w:p>
    <w:p w14:paraId="63F3A0BD" w14:textId="77777777" w:rsidR="007B7441" w:rsidRPr="00A166D4" w:rsidRDefault="007B7441" w:rsidP="00320C75">
      <w:pPr>
        <w:numPr>
          <w:ilvl w:val="0"/>
          <w:numId w:val="4"/>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Assessment of the situation of children and adults with disabilities for alternative services, including possible scenarios, individual plans and costing;</w:t>
      </w:r>
    </w:p>
    <w:p w14:paraId="146A4C5A" w14:textId="77777777" w:rsidR="007B7441" w:rsidRPr="00A166D4" w:rsidRDefault="007B7441" w:rsidP="00320C75">
      <w:pPr>
        <w:numPr>
          <w:ilvl w:val="0"/>
          <w:numId w:val="4"/>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Establishment of an inter-institutional coordination mechanism for the monitoring of the process: Steering Committee – central and local level / Technical Group – Local Coordination Teams;</w:t>
      </w:r>
    </w:p>
    <w:p w14:paraId="4CFFDC6E" w14:textId="77777777" w:rsidR="007B7441" w:rsidRPr="00A166D4" w:rsidRDefault="007B7441" w:rsidP="00320C75">
      <w:pPr>
        <w:numPr>
          <w:ilvl w:val="0"/>
          <w:numId w:val="4"/>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Support for the establishment of the temporary foster care model and the service for semi-independent and independent living (for PwD children over 14 years of age);</w:t>
      </w:r>
    </w:p>
    <w:p w14:paraId="0EB84999" w14:textId="77777777" w:rsidR="007B7441" w:rsidRPr="00A166D4" w:rsidRDefault="007B7441" w:rsidP="00320C75">
      <w:pPr>
        <w:numPr>
          <w:ilvl w:val="0"/>
          <w:numId w:val="4"/>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Support and expansion of specialised mobile services in remote areas without services, with professional assistants;</w:t>
      </w:r>
    </w:p>
    <w:p w14:paraId="4EEC19B2" w14:textId="77777777" w:rsidR="007B7441" w:rsidRPr="00A166D4" w:rsidRDefault="007B7441" w:rsidP="00320C75">
      <w:pPr>
        <w:numPr>
          <w:ilvl w:val="0"/>
          <w:numId w:val="4"/>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Provision of care/services for parents and families of persons with disabilities in the communities where they live;</w:t>
      </w:r>
    </w:p>
    <w:p w14:paraId="52A29476" w14:textId="77777777" w:rsidR="007B7441" w:rsidRPr="00A166D4" w:rsidRDefault="007B7441" w:rsidP="00320C75">
      <w:pPr>
        <w:numPr>
          <w:ilvl w:val="0"/>
          <w:numId w:val="4"/>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Support for the establishment of family home services in the community for adults with disabilities living alone;</w:t>
      </w:r>
    </w:p>
    <w:p w14:paraId="422641B1" w14:textId="77777777" w:rsidR="007B7441" w:rsidRPr="00A166D4" w:rsidRDefault="007B7441" w:rsidP="00320C75">
      <w:pPr>
        <w:numPr>
          <w:ilvl w:val="0"/>
          <w:numId w:val="4"/>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Review of the legal framework of social services/foster care in relation to children and adult persons with disabilities;</w:t>
      </w:r>
    </w:p>
    <w:p w14:paraId="50B30070" w14:textId="77777777" w:rsidR="007B7441" w:rsidRPr="00A166D4" w:rsidRDefault="007B7441" w:rsidP="00320C75">
      <w:pPr>
        <w:numPr>
          <w:ilvl w:val="0"/>
          <w:numId w:val="4"/>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Training of personnel for alternative services as well as for the prevention of institutionalisation;</w:t>
      </w:r>
    </w:p>
    <w:p w14:paraId="7E249A0E" w14:textId="77777777" w:rsidR="007B7441" w:rsidRPr="00A166D4" w:rsidRDefault="007B7441" w:rsidP="00320C75">
      <w:pPr>
        <w:numPr>
          <w:ilvl w:val="0"/>
          <w:numId w:val="4"/>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Drafting of a communication strategy; Organisation of awareness-raising campaigns; Initiatives for changing social norms and behaviour supporting the communication campaign for PwD (children and adults);</w:t>
      </w:r>
    </w:p>
    <w:p w14:paraId="5D371554" w14:textId="77777777" w:rsidR="007B7441" w:rsidRPr="00A166D4" w:rsidRDefault="007B7441" w:rsidP="00320C75">
      <w:pPr>
        <w:numPr>
          <w:ilvl w:val="0"/>
          <w:numId w:val="4"/>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Monitoring of the deinstitutionalisation process; Building the database and indicators, as well as clarification of responsibilities for the collection and updating of data on alternative care, including qualitative data (children and adults);</w:t>
      </w:r>
    </w:p>
    <w:p w14:paraId="5EE589CC" w14:textId="688D9E7D" w:rsidR="000346C2" w:rsidRPr="00A166D4" w:rsidRDefault="007B7441" w:rsidP="00320C75">
      <w:pPr>
        <w:numPr>
          <w:ilvl w:val="0"/>
          <w:numId w:val="4"/>
        </w:num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Carrying out complete periodic assessments of the needs, abilities and preferences of adults, including carers/family members, professionals and the beneficiaries themselves in the process.</w:t>
      </w:r>
    </w:p>
    <w:p w14:paraId="56663981" w14:textId="0630F0F0" w:rsidR="005F2AC9" w:rsidRPr="00A166D4" w:rsidRDefault="007D435C" w:rsidP="00A166D4">
      <w:pPr>
        <w:spacing w:after="0"/>
        <w:jc w:val="both"/>
        <w:rPr>
          <w:rFonts w:ascii="Times New Roman" w:eastAsia="Times New Roman" w:hAnsi="Times New Roman" w:cs="Times New Roman"/>
          <w:b/>
          <w:bCs/>
          <w:color w:val="000000" w:themeColor="text1"/>
          <w:sz w:val="24"/>
          <w:szCs w:val="24"/>
          <w:lang w:val="it-IT"/>
        </w:rPr>
      </w:pPr>
      <w:r w:rsidRPr="00A166D4">
        <w:rPr>
          <w:rFonts w:ascii="Times New Roman" w:eastAsia="Times New Roman" w:hAnsi="Times New Roman" w:cs="Times New Roman"/>
          <w:b/>
          <w:bCs/>
          <w:color w:val="000000" w:themeColor="text1"/>
          <w:sz w:val="24"/>
          <w:szCs w:val="24"/>
          <w:lang w:val="it-IT"/>
        </w:rPr>
        <w:t>Table: Passport Indicators for Specific Objective B.3.2</w:t>
      </w:r>
    </w:p>
    <w:p w14:paraId="458F3C31" w14:textId="77777777" w:rsidR="007D435C" w:rsidRPr="00A166D4" w:rsidRDefault="007D435C" w:rsidP="00A166D4">
      <w:pPr>
        <w:spacing w:after="0"/>
        <w:jc w:val="both"/>
        <w:rPr>
          <w:rFonts w:ascii="Times New Roman" w:eastAsia="Times New Roman" w:hAnsi="Times New Roman" w:cs="Times New Roman"/>
          <w:b/>
          <w:bCs/>
          <w:color w:val="000000" w:themeColor="text1"/>
          <w:sz w:val="24"/>
          <w:szCs w:val="24"/>
          <w:lang w:val="it-IT"/>
        </w:rPr>
      </w:pPr>
    </w:p>
    <w:tbl>
      <w:tblPr>
        <w:tblStyle w:val="TableGrid"/>
        <w:tblW w:w="9250" w:type="dxa"/>
        <w:tblLayout w:type="fixed"/>
        <w:tblLook w:val="04A0" w:firstRow="1" w:lastRow="0" w:firstColumn="1" w:lastColumn="0" w:noHBand="0" w:noVBand="1"/>
      </w:tblPr>
      <w:tblGrid>
        <w:gridCol w:w="2158"/>
        <w:gridCol w:w="2337"/>
        <w:gridCol w:w="1252"/>
        <w:gridCol w:w="1041"/>
        <w:gridCol w:w="1046"/>
        <w:gridCol w:w="1416"/>
      </w:tblGrid>
      <w:tr w:rsidR="005F2AC9" w:rsidRPr="00A166D4" w14:paraId="4600BC3F" w14:textId="77777777" w:rsidTr="007B7441">
        <w:trPr>
          <w:trHeight w:val="300"/>
        </w:trPr>
        <w:tc>
          <w:tcPr>
            <w:tcW w:w="2158" w:type="dxa"/>
            <w:tcBorders>
              <w:top w:val="single" w:sz="8" w:space="0" w:color="000000"/>
              <w:left w:val="single" w:sz="8" w:space="0" w:color="000000"/>
              <w:bottom w:val="single" w:sz="8" w:space="0" w:color="000000"/>
              <w:right w:val="single" w:sz="8" w:space="0" w:color="000000"/>
            </w:tcBorders>
          </w:tcPr>
          <w:p w14:paraId="1570FA9F" w14:textId="27103BF6" w:rsidR="005F2AC9" w:rsidRPr="00A166D4" w:rsidRDefault="007D435C" w:rsidP="00A166D4">
            <w:pPr>
              <w:spacing w:before="0" w:after="60"/>
              <w:ind w:left="360" w:hanging="360"/>
              <w:jc w:val="both"/>
              <w:rPr>
                <w:rFonts w:ascii="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B.3.2 Expansion of the network of social care services for persons with disabilities living in residential institutions, or at risk of institutionalisation</w:t>
            </w:r>
          </w:p>
        </w:tc>
        <w:tc>
          <w:tcPr>
            <w:tcW w:w="2337" w:type="dxa"/>
            <w:tcBorders>
              <w:top w:val="single" w:sz="8" w:space="0" w:color="000000"/>
              <w:left w:val="single" w:sz="8" w:space="0" w:color="000000"/>
              <w:bottom w:val="single" w:sz="8" w:space="0" w:color="000000"/>
              <w:right w:val="single" w:sz="8" w:space="0" w:color="000000"/>
            </w:tcBorders>
          </w:tcPr>
          <w:p w14:paraId="6E033BB3" w14:textId="77777777" w:rsidR="007D435C" w:rsidRPr="00A166D4" w:rsidRDefault="007D435C"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Number of children with Disabilities who should benefit from deinstitutionalisation plans</w:t>
            </w:r>
          </w:p>
          <w:p w14:paraId="28F5DBF6" w14:textId="032643CA" w:rsidR="005F2AC9" w:rsidRPr="00A166D4" w:rsidRDefault="00B56839" w:rsidP="00A166D4">
            <w:pPr>
              <w:spacing w:before="0" w:after="0"/>
              <w:jc w:val="both"/>
              <w:rPr>
                <w:rFonts w:ascii="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 xml:space="preserve"> </w:t>
            </w:r>
          </w:p>
          <w:p w14:paraId="71207401" w14:textId="2954A74C" w:rsidR="005F2AC9" w:rsidRPr="00A166D4" w:rsidRDefault="007D435C" w:rsidP="00A166D4">
            <w:pPr>
              <w:spacing w:before="0" w:after="0"/>
              <w:jc w:val="both"/>
              <w:rPr>
                <w:rFonts w:ascii="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Number of specialised services for children with Disabilities (0–18 years)</w:t>
            </w:r>
            <w:r w:rsidR="00B56839" w:rsidRPr="00A166D4">
              <w:rPr>
                <w:rFonts w:ascii="Times New Roman" w:eastAsia="Times New Roman" w:hAnsi="Times New Roman" w:cs="Times New Roman"/>
                <w:color w:val="000000" w:themeColor="text1"/>
                <w:sz w:val="24"/>
                <w:szCs w:val="24"/>
                <w:lang w:val="it-IT"/>
              </w:rPr>
              <w:t xml:space="preserve"> </w:t>
            </w:r>
          </w:p>
        </w:tc>
        <w:tc>
          <w:tcPr>
            <w:tcW w:w="1252" w:type="dxa"/>
            <w:tcBorders>
              <w:top w:val="single" w:sz="8" w:space="0" w:color="000000"/>
              <w:left w:val="single" w:sz="8" w:space="0" w:color="000000"/>
              <w:bottom w:val="single" w:sz="8" w:space="0" w:color="000000"/>
              <w:right w:val="single" w:sz="8" w:space="0" w:color="000000"/>
            </w:tcBorders>
          </w:tcPr>
          <w:p w14:paraId="36FCEACD" w14:textId="2D1A0AEB"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2 (year 2023)</w:t>
            </w:r>
            <w:r w:rsidR="00B56839" w:rsidRPr="00A166D4">
              <w:rPr>
                <w:rFonts w:ascii="Times New Roman" w:eastAsia="Times New Roman" w:hAnsi="Times New Roman" w:cs="Times New Roman"/>
                <w:color w:val="000000" w:themeColor="text1"/>
                <w:sz w:val="24"/>
                <w:szCs w:val="24"/>
                <w:lang w:val="it-IT"/>
              </w:rPr>
              <w:t xml:space="preserve"> </w:t>
            </w:r>
          </w:p>
          <w:p w14:paraId="1FC89A8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DDD27F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854649C"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38A4A1F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1EE767A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56D46B11" w14:textId="43817A16"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62 (year 2022)</w:t>
            </w:r>
            <w:r w:rsidR="00B56839" w:rsidRPr="00A166D4">
              <w:rPr>
                <w:rFonts w:ascii="Times New Roman" w:eastAsia="Times New Roman" w:hAnsi="Times New Roman" w:cs="Times New Roman"/>
                <w:color w:val="000000" w:themeColor="text1"/>
                <w:sz w:val="24"/>
                <w:szCs w:val="24"/>
                <w:lang w:val="it-IT"/>
              </w:rPr>
              <w:t xml:space="preserve"> </w:t>
            </w:r>
          </w:p>
        </w:tc>
        <w:tc>
          <w:tcPr>
            <w:tcW w:w="1041" w:type="dxa"/>
            <w:tcBorders>
              <w:top w:val="single" w:sz="8" w:space="0" w:color="000000"/>
              <w:left w:val="single" w:sz="8" w:space="0" w:color="000000"/>
              <w:bottom w:val="single" w:sz="8" w:space="0" w:color="000000"/>
              <w:right w:val="single" w:sz="8" w:space="0" w:color="000000"/>
            </w:tcBorders>
          </w:tcPr>
          <w:p w14:paraId="2E1C550D" w14:textId="7C2657C5" w:rsidR="005F2AC9" w:rsidRPr="00A166D4" w:rsidRDefault="0042453A" w:rsidP="00A166D4">
            <w:pPr>
              <w:spacing w:before="0" w:after="0"/>
              <w:jc w:val="both"/>
              <w:rPr>
                <w:rFonts w:ascii="Times New Roman" w:eastAsia="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39</w:t>
            </w:r>
          </w:p>
          <w:p w14:paraId="0FF7A07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29D3359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26BCC01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2214BE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426AB7B0"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1315A6B1"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0A8A04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69</w:t>
            </w:r>
          </w:p>
          <w:p w14:paraId="2019A4AD"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70ACCCB" w14:textId="426DCFA7" w:rsidR="005F2AC9" w:rsidRPr="00A166D4" w:rsidRDefault="005F2AC9" w:rsidP="00A166D4">
            <w:pPr>
              <w:spacing w:before="0" w:after="0"/>
              <w:jc w:val="both"/>
              <w:rPr>
                <w:rFonts w:ascii="Times New Roman" w:hAnsi="Times New Roman" w:cs="Times New Roman"/>
                <w:color w:val="000000" w:themeColor="text1"/>
                <w:sz w:val="24"/>
                <w:szCs w:val="24"/>
              </w:rPr>
            </w:pPr>
          </w:p>
          <w:p w14:paraId="345F52D3"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tc>
        <w:tc>
          <w:tcPr>
            <w:tcW w:w="1046" w:type="dxa"/>
            <w:tcBorders>
              <w:top w:val="single" w:sz="8" w:space="0" w:color="000000"/>
              <w:left w:val="single" w:sz="8" w:space="0" w:color="000000"/>
              <w:bottom w:val="single" w:sz="8" w:space="0" w:color="000000"/>
              <w:right w:val="single" w:sz="8" w:space="0" w:color="000000"/>
            </w:tcBorders>
          </w:tcPr>
          <w:p w14:paraId="47F942A4"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N/a</w:t>
            </w:r>
          </w:p>
          <w:p w14:paraId="407E6D30"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4D2F9B96"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6709878"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895F84E"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4C63917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p w14:paraId="22D066D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3006DD9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86</w:t>
            </w:r>
          </w:p>
        </w:tc>
        <w:tc>
          <w:tcPr>
            <w:tcW w:w="1416" w:type="dxa"/>
            <w:tcBorders>
              <w:top w:val="single" w:sz="8" w:space="0" w:color="000000"/>
              <w:left w:val="single" w:sz="8" w:space="0" w:color="000000"/>
              <w:bottom w:val="single" w:sz="8" w:space="0" w:color="000000"/>
              <w:right w:val="single" w:sz="8" w:space="0" w:color="000000"/>
            </w:tcBorders>
          </w:tcPr>
          <w:p w14:paraId="7BA00C31" w14:textId="27BB66CB"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CH"/>
              </w:rPr>
              <w:t>SSS / administrative data / NSPS monitoring report</w:t>
            </w:r>
          </w:p>
        </w:tc>
      </w:tr>
    </w:tbl>
    <w:p w14:paraId="2144EEF7" w14:textId="77777777" w:rsidR="007B7441" w:rsidRPr="00E8759D" w:rsidRDefault="007B7441" w:rsidP="00A166D4">
      <w:pPr>
        <w:suppressAutoHyphens w:val="0"/>
        <w:spacing w:beforeAutospacing="1" w:after="100" w:afterAutospacing="1"/>
        <w:jc w:val="both"/>
        <w:rPr>
          <w:rFonts w:ascii="Times New Roman" w:eastAsia="Times New Roman" w:hAnsi="Times New Roman" w:cs="Times New Roman"/>
          <w:b/>
          <w:bCs/>
          <w:sz w:val="24"/>
          <w:szCs w:val="24"/>
        </w:rPr>
      </w:pPr>
      <w:r w:rsidRPr="00E8759D">
        <w:rPr>
          <w:rFonts w:ascii="Times New Roman" w:eastAsia="Times New Roman" w:hAnsi="Times New Roman" w:cs="Times New Roman"/>
          <w:b/>
          <w:bCs/>
          <w:sz w:val="24"/>
          <w:szCs w:val="24"/>
        </w:rPr>
        <w:t>Description of the objective and monitoring results</w:t>
      </w:r>
    </w:p>
    <w:p w14:paraId="6C904661"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objective aims to expand and diversify the network of social care services for persons with disabilities, focusing particularly on those currently living in residential institutions or at risk of institutionalisation. The approach of the Ministry of Health and Social Welfare aims to promote care models that support independent living, social inclusion and respect for human rights, in accordance with the principles of the Convention on the Rights of Persons with Disabilities.</w:t>
      </w:r>
    </w:p>
    <w:p w14:paraId="75E8F078"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expansion of services includes the creation and strengthening of day centres, family-based services, personal assistance programmes, supported housing and support mechanisms for family carers. These services aim to provide personalised, coordinated and sustainable support, reducing dependence on institutional care and helping individuals to live independently and with dignity within their community.</w:t>
      </w:r>
    </w:p>
    <w:p w14:paraId="045E27C1"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For the implementation of this objective, an integrated inter-institutional approach, investment in professional capacities, as well as the active involvement of persons with disabilities themselves and the organisations that represent them is necessary. Furthermore, it is essential that services are sensitive to the gender dimension and accessible to all, without discrimination.</w:t>
      </w:r>
    </w:p>
    <w:p w14:paraId="2B27C9D7"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The National Transformation Plan for Residential Child Care Services envisages the full transformation of the remaining residential centres into community-based services and family support.</w:t>
      </w:r>
    </w:p>
    <w:p w14:paraId="307715D2"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From November 2024 to April 2025, a comprehensive assessment was carried out for 39 institutionalised children and their families, with the aim of assessing their well-being and potential for transition towards family-based and community-based care. The assessment identified barriers to reintegration into the family and community, drafted individual transition plans and proposed improvements in care models and relevant policies.</w:t>
      </w:r>
    </w:p>
    <w:p w14:paraId="638CF586"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 relation to adults with disabilities, the deinstitutionalisation process is at an earlier stage and presents greater complexity, due to more pronounced support needs. Structured individual assessments have been completed in four public Development Centres for adults with disabilities, while the process continues in the other centres. The assessments aim to identify capacities, support needs and possible transition pathways.</w:t>
      </w:r>
    </w:p>
    <w:p w14:paraId="31B40686"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Preliminary findings show that a considerable proportion of residents present severe and long-term conditions, combined with prolonged institutionalisation and limited or absent family support. Consequently, the approach followed is gradual and individualised.</w:t>
      </w:r>
    </w:p>
    <w:p w14:paraId="626B0B49"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On the basis of the assessment results, specialised service models are being prepared, on a smaller scale and community-oriented. In this framework, the process is underway for the establishment of a National Centre in Tirana for persons with Autism Spectrum Disorders, designed according to the family-based and community-based model, which will provide emergency, day care, outreach and respite services.</w:t>
      </w:r>
    </w:p>
    <w:p w14:paraId="3F9CC9BC"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At the policy level, the deinstitutionalisation approach is gradually being expanded also to services for adults, with a focus on reconceptualising service delivery models, strengthening quality standards and guaranteeing personalised, community-based solutions.</w:t>
      </w:r>
    </w:p>
    <w:p w14:paraId="7CF3FF72"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Services for children and young people with disabilities are being developed at several levels of social care and support. Currently, in the 8 public development centres, which include residential as well as day care services and are financially dependent on the State Social Service, 274 beneficiaries receive services. Of these, 206 are in residential centres and 68 are in day care centres for children with disabilities.</w:t>
      </w:r>
    </w:p>
    <w:p w14:paraId="379BA390"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Through the Social Fund mechanism, by 2025, a total of 39 social services have been established and made functional, from which approximately 11,000 persons with disabilities benefit at the national level, spread across 4 districts and 39 municipalities. This service network includes:</w:t>
      </w:r>
    </w:p>
    <w:p w14:paraId="68DE9B69" w14:textId="475A0D43" w:rsidR="007B7441" w:rsidRDefault="007B7441" w:rsidP="00320C75">
      <w:pPr>
        <w:pStyle w:val="ListParagraph"/>
        <w:numPr>
          <w:ilvl w:val="1"/>
          <w:numId w:val="19"/>
        </w:numPr>
        <w:suppressAutoHyphens w:val="0"/>
        <w:spacing w:beforeAutospacing="1" w:after="100" w:afterAutospacing="1"/>
        <w:jc w:val="both"/>
        <w:rPr>
          <w:rFonts w:ascii="Times New Roman" w:eastAsia="Times New Roman" w:hAnsi="Times New Roman" w:cs="Times New Roman"/>
          <w:sz w:val="24"/>
          <w:szCs w:val="24"/>
        </w:rPr>
      </w:pPr>
      <w:r w:rsidRPr="00E8759D">
        <w:rPr>
          <w:rFonts w:ascii="Times New Roman" w:eastAsia="Times New Roman" w:hAnsi="Times New Roman" w:cs="Times New Roman"/>
          <w:sz w:val="24"/>
          <w:szCs w:val="24"/>
        </w:rPr>
        <w:t>18 mobile services, which provide specialised care through teams of professionals comprising physiotherapists, psychologists, social workers, nurses and speech therapists, in the homes of families and communities, adapting to the specific needs of individuals, with 5,630 beneficiaries per year.</w:t>
      </w:r>
    </w:p>
    <w:p w14:paraId="42DEED2F" w14:textId="77777777" w:rsidR="00E8759D" w:rsidRPr="00E8759D" w:rsidRDefault="00E8759D" w:rsidP="00E8759D">
      <w:pPr>
        <w:pStyle w:val="ListParagraph"/>
        <w:suppressAutoHyphens w:val="0"/>
        <w:spacing w:beforeAutospacing="1" w:after="100" w:afterAutospacing="1"/>
        <w:ind w:left="360"/>
        <w:jc w:val="both"/>
        <w:rPr>
          <w:rFonts w:ascii="Times New Roman" w:eastAsia="Times New Roman" w:hAnsi="Times New Roman" w:cs="Times New Roman"/>
          <w:sz w:val="24"/>
          <w:szCs w:val="24"/>
        </w:rPr>
      </w:pPr>
    </w:p>
    <w:p w14:paraId="3EFCEBA7" w14:textId="18D76F43" w:rsidR="007B7441" w:rsidRDefault="007B7441" w:rsidP="00320C75">
      <w:pPr>
        <w:pStyle w:val="ListParagraph"/>
        <w:numPr>
          <w:ilvl w:val="1"/>
          <w:numId w:val="19"/>
        </w:numPr>
        <w:suppressAutoHyphens w:val="0"/>
        <w:spacing w:beforeAutospacing="1" w:after="100" w:afterAutospacing="1"/>
        <w:jc w:val="both"/>
        <w:rPr>
          <w:rFonts w:ascii="Times New Roman" w:eastAsia="Times New Roman" w:hAnsi="Times New Roman" w:cs="Times New Roman"/>
          <w:sz w:val="24"/>
          <w:szCs w:val="24"/>
        </w:rPr>
      </w:pPr>
      <w:r w:rsidRPr="00E8759D">
        <w:rPr>
          <w:rFonts w:ascii="Times New Roman" w:eastAsia="Times New Roman" w:hAnsi="Times New Roman" w:cs="Times New Roman"/>
          <w:sz w:val="24"/>
          <w:szCs w:val="24"/>
        </w:rPr>
        <w:t>20 day centres for children and adults with disabilities, where persons receive rehabilitative, social and educational support services, helping in the development of skills and increasing independence, with 4,435 beneficiaries per year.</w:t>
      </w:r>
    </w:p>
    <w:p w14:paraId="00FD428F" w14:textId="77777777" w:rsidR="00E8759D" w:rsidRPr="00E8759D" w:rsidRDefault="00E8759D" w:rsidP="00E8759D">
      <w:pPr>
        <w:pStyle w:val="ListParagraph"/>
        <w:suppressAutoHyphens w:val="0"/>
        <w:spacing w:beforeAutospacing="1" w:after="100" w:afterAutospacing="1"/>
        <w:ind w:left="360"/>
        <w:jc w:val="both"/>
        <w:rPr>
          <w:rFonts w:ascii="Times New Roman" w:eastAsia="Times New Roman" w:hAnsi="Times New Roman" w:cs="Times New Roman"/>
          <w:sz w:val="24"/>
          <w:szCs w:val="24"/>
        </w:rPr>
      </w:pPr>
    </w:p>
    <w:p w14:paraId="07E93DB6" w14:textId="73FD7DBD" w:rsidR="007B7441" w:rsidRPr="00E8759D" w:rsidRDefault="007B7441" w:rsidP="00320C75">
      <w:pPr>
        <w:pStyle w:val="ListParagraph"/>
        <w:numPr>
          <w:ilvl w:val="1"/>
          <w:numId w:val="19"/>
        </w:numPr>
        <w:suppressAutoHyphens w:val="0"/>
        <w:spacing w:beforeAutospacing="1" w:after="100" w:afterAutospacing="1"/>
        <w:jc w:val="both"/>
        <w:rPr>
          <w:rFonts w:ascii="Times New Roman" w:eastAsia="Times New Roman" w:hAnsi="Times New Roman" w:cs="Times New Roman"/>
          <w:sz w:val="24"/>
          <w:szCs w:val="24"/>
        </w:rPr>
      </w:pPr>
      <w:r w:rsidRPr="00E8759D">
        <w:rPr>
          <w:rFonts w:ascii="Times New Roman" w:eastAsia="Times New Roman" w:hAnsi="Times New Roman" w:cs="Times New Roman"/>
          <w:sz w:val="24"/>
          <w:szCs w:val="24"/>
        </w:rPr>
        <w:t>1 specialised service for the provision of wheelchairs and assistive devices (Tirana District), providing a total of 570 wheelchairs as well as 76 additional assistive devices (crutches, walkers, etc.) per year.</w:t>
      </w:r>
    </w:p>
    <w:p w14:paraId="19F13301"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Of these, for 2024, 12 services for persons with disabilities were also financed through the Social Fund, where the number of beneficiaries was 3,258. For 2025, 4 services for persons with disabilities were financed by the Social Fund, where the number of beneficiaries is 9,396.</w:t>
      </w:r>
    </w:p>
    <w:p w14:paraId="553E7691" w14:textId="77777777" w:rsidR="007B7441"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In cooperation with SOS Children's Villages Albania and UNICEF, a national communication campaign was organised for the promotion of professional family care, within the framework of the promotion of the new Law on Family Care and the deinstitutionalisation reform. The campaign included community information sessions, public awareness-raising activities, targeted communication in the pilot municipalities of Tirana, Korçë, Vlorë, Shkodër and Durrës, the development of simple and accessible information materials for the public, spots on national television, structured campaigns on social networks, as well as dedicated information channels providing guidance on selection criteria and application procedures. A particular moment was the activity organised on 15 May – International Day of Families – which brought together community members, parents, children and local actors to promote family-based care and services supported by the project. The activity also served as an advocacy platform, with the participation of representatives of the Delegation of the European Union in Albania, UNICEF and partners of the EU4SocialCare programme.</w:t>
      </w:r>
    </w:p>
    <w:p w14:paraId="58578446" w14:textId="77777777" w:rsidR="007B7441" w:rsidRPr="00E8759D" w:rsidRDefault="007B7441" w:rsidP="00A166D4">
      <w:pPr>
        <w:suppressAutoHyphens w:val="0"/>
        <w:spacing w:beforeAutospacing="1" w:after="100" w:afterAutospacing="1"/>
        <w:jc w:val="both"/>
        <w:rPr>
          <w:rFonts w:ascii="Times New Roman" w:eastAsia="Times New Roman" w:hAnsi="Times New Roman" w:cs="Times New Roman"/>
          <w:sz w:val="24"/>
          <w:szCs w:val="24"/>
          <w:u w:val="single"/>
        </w:rPr>
      </w:pPr>
      <w:r w:rsidRPr="00E8759D">
        <w:rPr>
          <w:rFonts w:ascii="Times New Roman" w:eastAsia="Times New Roman" w:hAnsi="Times New Roman" w:cs="Times New Roman"/>
          <w:sz w:val="24"/>
          <w:szCs w:val="24"/>
          <w:u w:val="single"/>
        </w:rPr>
        <w:t>B.3.3 Promotion and support of family-based services for the elderly.</w:t>
      </w:r>
    </w:p>
    <w:p w14:paraId="307A44FA" w14:textId="77777777" w:rsidR="007B7441" w:rsidRPr="00E8759D" w:rsidRDefault="007B7441" w:rsidP="00A166D4">
      <w:pPr>
        <w:suppressAutoHyphens w:val="0"/>
        <w:spacing w:beforeAutospacing="1" w:after="100" w:afterAutospacing="1"/>
        <w:jc w:val="both"/>
        <w:rPr>
          <w:rFonts w:ascii="Times New Roman" w:eastAsia="Times New Roman" w:hAnsi="Times New Roman" w:cs="Times New Roman"/>
          <w:b/>
          <w:bCs/>
          <w:sz w:val="24"/>
          <w:szCs w:val="24"/>
        </w:rPr>
      </w:pPr>
      <w:r w:rsidRPr="00E8759D">
        <w:rPr>
          <w:rFonts w:ascii="Times New Roman" w:eastAsia="Times New Roman" w:hAnsi="Times New Roman" w:cs="Times New Roman"/>
          <w:b/>
          <w:bCs/>
          <w:sz w:val="24"/>
          <w:szCs w:val="24"/>
        </w:rPr>
        <w:t>Priority activities for the reporting period:</w:t>
      </w:r>
    </w:p>
    <w:p w14:paraId="466C8CF2" w14:textId="0F0CD3F3" w:rsidR="005F2AC9" w:rsidRPr="00A166D4" w:rsidRDefault="007B7441" w:rsidP="00A166D4">
      <w:pPr>
        <w:suppressAutoHyphens w:val="0"/>
        <w:spacing w:beforeAutospacing="1" w:after="100" w:afterAutospacing="1"/>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Assessment of the situation of elderly individuals (by gender) for family-based/day care or community services; Drafting of recommendations and scenarios for new services, including their costing;</w:t>
      </w:r>
    </w:p>
    <w:p w14:paraId="2B85D486" w14:textId="3C75F55A" w:rsidR="005F2AC9" w:rsidRPr="00A166D4" w:rsidRDefault="007D435C" w:rsidP="00A166D4">
      <w:pPr>
        <w:spacing w:after="0"/>
        <w:jc w:val="both"/>
        <w:rPr>
          <w:rFonts w:ascii="Times New Roman" w:eastAsia="Times New Roman" w:hAnsi="Times New Roman" w:cs="Times New Roman"/>
          <w:b/>
          <w:bCs/>
          <w:color w:val="000000" w:themeColor="text1"/>
          <w:sz w:val="24"/>
          <w:szCs w:val="24"/>
          <w:lang w:val="it-IT"/>
        </w:rPr>
      </w:pPr>
      <w:r w:rsidRPr="00A166D4">
        <w:rPr>
          <w:rFonts w:ascii="Times New Roman" w:eastAsia="Times New Roman" w:hAnsi="Times New Roman" w:cs="Times New Roman"/>
          <w:b/>
          <w:bCs/>
          <w:color w:val="000000" w:themeColor="text1"/>
          <w:sz w:val="24"/>
          <w:szCs w:val="24"/>
          <w:lang w:val="it-IT"/>
        </w:rPr>
        <w:t>Table: Passport Indicators for Specific Objective B.3.3</w:t>
      </w:r>
    </w:p>
    <w:p w14:paraId="30DD08E5" w14:textId="77777777" w:rsidR="007D435C" w:rsidRPr="00A166D4" w:rsidRDefault="007D435C" w:rsidP="00A166D4">
      <w:pPr>
        <w:spacing w:after="0"/>
        <w:jc w:val="both"/>
        <w:rPr>
          <w:rFonts w:ascii="Times New Roman" w:hAnsi="Times New Roman" w:cs="Times New Roman"/>
          <w:b/>
          <w:bCs/>
          <w:color w:val="000000" w:themeColor="text1"/>
          <w:sz w:val="24"/>
          <w:szCs w:val="24"/>
          <w:lang w:val="it-IT"/>
        </w:rPr>
      </w:pPr>
    </w:p>
    <w:tbl>
      <w:tblPr>
        <w:tblStyle w:val="TableGrid"/>
        <w:tblW w:w="9250" w:type="dxa"/>
        <w:tblLayout w:type="fixed"/>
        <w:tblLook w:val="04A0" w:firstRow="1" w:lastRow="0" w:firstColumn="1" w:lastColumn="0" w:noHBand="0" w:noVBand="1"/>
      </w:tblPr>
      <w:tblGrid>
        <w:gridCol w:w="2122"/>
        <w:gridCol w:w="2336"/>
        <w:gridCol w:w="1265"/>
        <w:gridCol w:w="1073"/>
        <w:gridCol w:w="1038"/>
        <w:gridCol w:w="1416"/>
      </w:tblGrid>
      <w:tr w:rsidR="005F2AC9" w:rsidRPr="00A166D4" w14:paraId="21BE5FFD" w14:textId="77777777">
        <w:trPr>
          <w:trHeight w:val="300"/>
        </w:trPr>
        <w:tc>
          <w:tcPr>
            <w:tcW w:w="2121" w:type="dxa"/>
            <w:tcBorders>
              <w:top w:val="single" w:sz="8" w:space="0" w:color="000000"/>
              <w:left w:val="single" w:sz="8" w:space="0" w:color="000000"/>
              <w:bottom w:val="single" w:sz="8" w:space="0" w:color="000000"/>
              <w:right w:val="single" w:sz="8" w:space="0" w:color="000000"/>
            </w:tcBorders>
          </w:tcPr>
          <w:p w14:paraId="7E2833D0" w14:textId="1280397B" w:rsidR="005F2AC9" w:rsidRPr="00A166D4" w:rsidRDefault="007D435C" w:rsidP="00A166D4">
            <w:pPr>
              <w:spacing w:before="0" w:after="0"/>
              <w:jc w:val="both"/>
              <w:rPr>
                <w:rFonts w:ascii="Times New Roman" w:hAnsi="Times New Roman" w:cs="Times New Roman"/>
                <w:color w:val="000000" w:themeColor="text1"/>
                <w:sz w:val="24"/>
                <w:szCs w:val="24"/>
                <w:lang w:val="it-IT"/>
              </w:rPr>
            </w:pPr>
            <w:r w:rsidRPr="00A166D4">
              <w:rPr>
                <w:rFonts w:ascii="Times New Roman" w:eastAsia="Times New Roman" w:hAnsi="Times New Roman" w:cs="Times New Roman"/>
                <w:color w:val="000000" w:themeColor="text1"/>
                <w:sz w:val="24"/>
                <w:szCs w:val="24"/>
                <w:lang w:val="it-IT"/>
              </w:rPr>
              <w:t>B3.3. Promotion and support of family-based services for the elderly.</w:t>
            </w:r>
            <w:r w:rsidR="00B56839" w:rsidRPr="00A166D4">
              <w:rPr>
                <w:rFonts w:ascii="Times New Roman" w:eastAsia="Times New Roman" w:hAnsi="Times New Roman" w:cs="Times New Roman"/>
                <w:color w:val="000000" w:themeColor="text1"/>
                <w:sz w:val="24"/>
                <w:szCs w:val="24"/>
                <w:lang w:val="it-IT"/>
              </w:rPr>
              <w:t xml:space="preserve"> </w:t>
            </w:r>
          </w:p>
        </w:tc>
        <w:tc>
          <w:tcPr>
            <w:tcW w:w="2336" w:type="dxa"/>
            <w:tcBorders>
              <w:top w:val="single" w:sz="8" w:space="0" w:color="000000"/>
              <w:left w:val="single" w:sz="8" w:space="0" w:color="000000"/>
              <w:bottom w:val="single" w:sz="8" w:space="0" w:color="000000"/>
              <w:right w:val="single" w:sz="8" w:space="0" w:color="000000"/>
            </w:tcBorders>
          </w:tcPr>
          <w:p w14:paraId="1DA4B323" w14:textId="15186934"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Number of alternative services for the elderly</w:t>
            </w:r>
            <w:r w:rsidR="00B56839" w:rsidRPr="00A166D4">
              <w:rPr>
                <w:rFonts w:ascii="Times New Roman" w:eastAsia="Times New Roman" w:hAnsi="Times New Roman" w:cs="Times New Roman"/>
                <w:color w:val="000000" w:themeColor="text1"/>
                <w:sz w:val="24"/>
                <w:szCs w:val="24"/>
                <w:lang w:val="it-IT"/>
              </w:rPr>
              <w:t xml:space="preserve"> </w:t>
            </w:r>
          </w:p>
          <w:p w14:paraId="52790BB2"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08C29E88" w14:textId="23529468"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Number of service personnel providing services for the elderly trained in deinstitutionalisation processes.</w:t>
            </w:r>
          </w:p>
        </w:tc>
        <w:tc>
          <w:tcPr>
            <w:tcW w:w="1265" w:type="dxa"/>
            <w:tcBorders>
              <w:top w:val="single" w:sz="8" w:space="0" w:color="000000"/>
              <w:left w:val="single" w:sz="8" w:space="0" w:color="000000"/>
              <w:bottom w:val="single" w:sz="8" w:space="0" w:color="000000"/>
              <w:right w:val="single" w:sz="8" w:space="0" w:color="000000"/>
            </w:tcBorders>
          </w:tcPr>
          <w:p w14:paraId="39533142" w14:textId="7E77AD88"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7 new SF services (year 2023)</w:t>
            </w:r>
            <w:r w:rsidR="00B56839" w:rsidRPr="00A166D4">
              <w:rPr>
                <w:rFonts w:ascii="Times New Roman" w:eastAsia="Times New Roman" w:hAnsi="Times New Roman" w:cs="Times New Roman"/>
                <w:color w:val="000000" w:themeColor="text1"/>
                <w:sz w:val="24"/>
                <w:szCs w:val="24"/>
              </w:rPr>
              <w:t xml:space="preserve"> </w:t>
            </w:r>
          </w:p>
          <w:p w14:paraId="4795942E"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 xml:space="preserve"> </w:t>
            </w:r>
          </w:p>
          <w:p w14:paraId="5062956E" w14:textId="4C27672F"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N/</w:t>
            </w:r>
            <w:r w:rsidR="007D435C" w:rsidRPr="00A166D4">
              <w:rPr>
                <w:rFonts w:ascii="Times New Roman" w:eastAsia="Times New Roman" w:hAnsi="Times New Roman" w:cs="Times New Roman"/>
                <w:color w:val="000000" w:themeColor="text1"/>
                <w:sz w:val="24"/>
                <w:szCs w:val="24"/>
                <w:lang w:val="it-IT"/>
              </w:rPr>
              <w:t>A</w:t>
            </w:r>
          </w:p>
        </w:tc>
        <w:tc>
          <w:tcPr>
            <w:tcW w:w="1073" w:type="dxa"/>
            <w:tcBorders>
              <w:top w:val="single" w:sz="8" w:space="0" w:color="000000"/>
              <w:left w:val="single" w:sz="8" w:space="0" w:color="000000"/>
              <w:bottom w:val="single" w:sz="8" w:space="0" w:color="000000"/>
              <w:right w:val="single" w:sz="8" w:space="0" w:color="000000"/>
            </w:tcBorders>
          </w:tcPr>
          <w:p w14:paraId="5C34A3DA" w14:textId="32219840"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18 new services</w:t>
            </w:r>
            <w:r w:rsidR="00B56839" w:rsidRPr="00A166D4">
              <w:rPr>
                <w:rFonts w:ascii="Times New Roman" w:eastAsia="Times New Roman" w:hAnsi="Times New Roman" w:cs="Times New Roman"/>
                <w:color w:val="000000" w:themeColor="text1"/>
                <w:sz w:val="24"/>
                <w:szCs w:val="24"/>
              </w:rPr>
              <w:t xml:space="preserve"> </w:t>
            </w:r>
          </w:p>
          <w:p w14:paraId="6A7ECF24" w14:textId="3837DE2B"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rPr>
              <w:t>N/</w:t>
            </w:r>
            <w:r w:rsidR="00A35A63" w:rsidRPr="00A166D4">
              <w:rPr>
                <w:rFonts w:ascii="Times New Roman" w:eastAsia="Times New Roman" w:hAnsi="Times New Roman" w:cs="Times New Roman"/>
                <w:color w:val="000000" w:themeColor="text1"/>
                <w:sz w:val="24"/>
                <w:szCs w:val="24"/>
              </w:rPr>
              <w:t>a</w:t>
            </w:r>
          </w:p>
        </w:tc>
        <w:tc>
          <w:tcPr>
            <w:tcW w:w="1038" w:type="dxa"/>
            <w:tcBorders>
              <w:top w:val="single" w:sz="8" w:space="0" w:color="000000"/>
              <w:left w:val="single" w:sz="8" w:space="0" w:color="000000"/>
              <w:bottom w:val="single" w:sz="8" w:space="0" w:color="000000"/>
              <w:right w:val="single" w:sz="8" w:space="0" w:color="000000"/>
            </w:tcBorders>
          </w:tcPr>
          <w:p w14:paraId="1DDD75F7"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21</w:t>
            </w:r>
          </w:p>
          <w:p w14:paraId="54034F0F"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DFCD37C"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0749F825"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6C79A088" w14:textId="1F012488"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 xml:space="preserve"> </w:t>
            </w:r>
          </w:p>
          <w:p w14:paraId="11108489" w14:textId="77777777" w:rsidR="005F2AC9" w:rsidRPr="00A166D4" w:rsidRDefault="00B56839"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IT"/>
              </w:rPr>
              <w:t>57</w:t>
            </w:r>
          </w:p>
        </w:tc>
        <w:tc>
          <w:tcPr>
            <w:tcW w:w="1416" w:type="dxa"/>
            <w:tcBorders>
              <w:top w:val="single" w:sz="8" w:space="0" w:color="000000"/>
              <w:left w:val="single" w:sz="8" w:space="0" w:color="000000"/>
              <w:bottom w:val="single" w:sz="8" w:space="0" w:color="000000"/>
              <w:right w:val="single" w:sz="8" w:space="0" w:color="000000"/>
            </w:tcBorders>
          </w:tcPr>
          <w:p w14:paraId="41B935D7"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p w14:paraId="79534A2D"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CH"/>
              </w:rPr>
            </w:pPr>
          </w:p>
          <w:p w14:paraId="52DCF1C0" w14:textId="0C34875A" w:rsidR="005F2AC9" w:rsidRPr="00A166D4" w:rsidRDefault="007D435C" w:rsidP="00A166D4">
            <w:pPr>
              <w:spacing w:before="0" w:after="0"/>
              <w:jc w:val="both"/>
              <w:rPr>
                <w:rFonts w:ascii="Times New Roman" w:hAnsi="Times New Roman" w:cs="Times New Roman"/>
                <w:color w:val="000000" w:themeColor="text1"/>
                <w:sz w:val="24"/>
                <w:szCs w:val="24"/>
              </w:rPr>
            </w:pPr>
            <w:r w:rsidRPr="00A166D4">
              <w:rPr>
                <w:rFonts w:ascii="Times New Roman" w:eastAsia="Times New Roman" w:hAnsi="Times New Roman" w:cs="Times New Roman"/>
                <w:color w:val="000000" w:themeColor="text1"/>
                <w:sz w:val="24"/>
                <w:szCs w:val="24"/>
                <w:lang w:val="it-CH"/>
              </w:rPr>
              <w:t>SSS / administrative data / NSPS monitoring report</w:t>
            </w:r>
            <w:r w:rsidR="00B56839" w:rsidRPr="00A166D4">
              <w:rPr>
                <w:rFonts w:ascii="Times New Roman" w:eastAsia="Times New Roman" w:hAnsi="Times New Roman" w:cs="Times New Roman"/>
                <w:color w:val="000000" w:themeColor="text1"/>
                <w:sz w:val="24"/>
                <w:szCs w:val="24"/>
                <w:lang w:val="it-IT"/>
              </w:rPr>
              <w:t xml:space="preserve"> </w:t>
            </w:r>
          </w:p>
          <w:p w14:paraId="0133227A" w14:textId="77777777" w:rsidR="005F2AC9" w:rsidRPr="00A166D4" w:rsidRDefault="005F2AC9" w:rsidP="00A166D4">
            <w:pPr>
              <w:spacing w:before="0" w:after="0"/>
              <w:jc w:val="both"/>
              <w:rPr>
                <w:rFonts w:ascii="Times New Roman" w:eastAsia="Times New Roman" w:hAnsi="Times New Roman" w:cs="Times New Roman"/>
                <w:color w:val="000000" w:themeColor="text1"/>
                <w:sz w:val="24"/>
                <w:szCs w:val="24"/>
                <w:lang w:val="it-IT"/>
              </w:rPr>
            </w:pPr>
          </w:p>
        </w:tc>
      </w:tr>
    </w:tbl>
    <w:p w14:paraId="07391827" w14:textId="77777777" w:rsidR="008A0177" w:rsidRPr="00A166D4" w:rsidRDefault="008A0177" w:rsidP="00A166D4">
      <w:pPr>
        <w:spacing w:after="0"/>
        <w:jc w:val="both"/>
        <w:rPr>
          <w:rFonts w:ascii="Times New Roman" w:hAnsi="Times New Roman" w:cs="Times New Roman"/>
          <w:b/>
          <w:bCs/>
          <w:color w:val="000000" w:themeColor="text1"/>
          <w:sz w:val="24"/>
          <w:szCs w:val="24"/>
          <w:lang w:val="it-IT"/>
        </w:rPr>
      </w:pPr>
    </w:p>
    <w:p w14:paraId="03F6A5F6" w14:textId="77777777" w:rsidR="000A6B83" w:rsidRPr="00E8759D" w:rsidRDefault="000A6B83" w:rsidP="00A166D4">
      <w:pPr>
        <w:pStyle w:val="font-claude-response-body"/>
        <w:spacing w:line="276" w:lineRule="auto"/>
        <w:jc w:val="both"/>
        <w:rPr>
          <w:b/>
          <w:bCs/>
        </w:rPr>
      </w:pPr>
      <w:r w:rsidRPr="00E8759D">
        <w:rPr>
          <w:b/>
          <w:bCs/>
        </w:rPr>
        <w:t>Description of the objective and monitoring results</w:t>
      </w:r>
    </w:p>
    <w:p w14:paraId="284976D5" w14:textId="77777777" w:rsidR="000A6B83" w:rsidRPr="00A166D4" w:rsidRDefault="000A6B83" w:rsidP="00A166D4">
      <w:pPr>
        <w:pStyle w:val="font-claude-response-body"/>
        <w:spacing w:line="276" w:lineRule="auto"/>
        <w:jc w:val="both"/>
      </w:pPr>
      <w:r w:rsidRPr="00A166D4">
        <w:t>The objective aims to promote and support family-based services for the elderly, promoting care models that respect the dignity, autonomy and social inclusion of older persons. The approach of the Ministry of Health and Social Welfare aims to avoid unnecessary institutionalisation and to create sustainable alternatives for support in the family and community environment.</w:t>
      </w:r>
    </w:p>
    <w:p w14:paraId="25608027" w14:textId="77777777" w:rsidR="000A6B83" w:rsidRPr="00A166D4" w:rsidRDefault="000A6B83" w:rsidP="00A166D4">
      <w:pPr>
        <w:pStyle w:val="font-claude-response-body"/>
        <w:spacing w:line="276" w:lineRule="auto"/>
        <w:jc w:val="both"/>
      </w:pPr>
      <w:r w:rsidRPr="00A166D4">
        <w:t>This includes the development of home assistance services, support for family carers, day care services and integrated programmes that address the health, social and emotional needs of the elderly. Through these services, the aim is to improve the quality of life, maintain the connection with the community and strengthen the role of the family as a support structure.</w:t>
      </w:r>
    </w:p>
    <w:p w14:paraId="0221298B" w14:textId="77777777" w:rsidR="000A6B83" w:rsidRPr="00A166D4" w:rsidRDefault="000A6B83" w:rsidP="00A166D4">
      <w:pPr>
        <w:pStyle w:val="font-claude-response-body"/>
        <w:spacing w:line="276" w:lineRule="auto"/>
        <w:jc w:val="both"/>
      </w:pPr>
      <w:r w:rsidRPr="00A166D4">
        <w:t>The implementation of this objective requires sustainable investment in professional capacities, training of staff providing care for the elderly, as well as the creation of coordinated inter-institutional mechanisms for the early identification of needs and the provision of personalised services. Particular importance is attached to the fact that these services must be accessible, sensitive to the gender dimension and adapted to the local context, taking into account the social, cultural and economic diversity of communities.</w:t>
      </w:r>
    </w:p>
    <w:p w14:paraId="4D437703" w14:textId="77777777" w:rsidR="000A6B83" w:rsidRPr="00A166D4" w:rsidRDefault="000A6B83" w:rsidP="00A166D4">
      <w:pPr>
        <w:pStyle w:val="font-claude-response-body"/>
        <w:spacing w:line="276" w:lineRule="auto"/>
        <w:jc w:val="both"/>
      </w:pPr>
      <w:r w:rsidRPr="00A166D4">
        <w:t>Currently, a total of 297 social care services dedicated specifically to the elderly are provided, operating in 79 centres distributed across all municipalities of the country. The elderly represent the second largest category of social service beneficiaries, constituting approximately 18% of total beneficiaries. This demonstrates the growing need for comprehensive, quality and sustainable services for this age group.</w:t>
      </w:r>
    </w:p>
    <w:p w14:paraId="30398CCE" w14:textId="77777777" w:rsidR="000A6B83" w:rsidRPr="00A166D4" w:rsidRDefault="000A6B83" w:rsidP="00A166D4">
      <w:pPr>
        <w:pStyle w:val="font-claude-response-body"/>
        <w:spacing w:line="276" w:lineRule="auto"/>
        <w:jc w:val="both"/>
      </w:pPr>
      <w:r w:rsidRPr="00A166D4">
        <w:t>Within the framework of the Social Fund, 25 community and family-based services for the elderly have been established and are operating, from which 11,640 individuals in this category currently benefit. During 2024–2025 alone, 11 new services were established, significantly increasing access to long-term care and personalised support. These services aim to support not only the basic needs of the elderly, but also their active integration into community life, the prevention of social isolation and the improvement of quality of life.</w:t>
      </w:r>
    </w:p>
    <w:p w14:paraId="2ADB75BB" w14:textId="77777777" w:rsidR="000A6B83" w:rsidRPr="00A166D4" w:rsidRDefault="000A6B83" w:rsidP="00A166D4">
      <w:pPr>
        <w:pStyle w:val="font-claude-response-body"/>
        <w:spacing w:line="276" w:lineRule="auto"/>
        <w:jc w:val="both"/>
      </w:pPr>
      <w:r w:rsidRPr="00A166D4">
        <w:t>Going forward, the service network is expected to be further expanded through partnerships with civil society organisations and the private sector, promoting innovative models of community-based care, including day care services, family-based care and programmes for the active inclusion of the elderly in social and cultural activities. This expansion will enable not only broader geographical coverage, but also more diversified services adapted to the different needs of this growing category.</w:t>
      </w:r>
    </w:p>
    <w:p w14:paraId="08AA91A0" w14:textId="251A7B3D" w:rsidR="005F2AC9" w:rsidRPr="00A166D4" w:rsidRDefault="00B56839" w:rsidP="00A166D4">
      <w:pPr>
        <w:pStyle w:val="NormalWeb"/>
        <w:spacing w:before="280" w:after="280" w:line="276" w:lineRule="auto"/>
        <w:jc w:val="both"/>
        <w:rPr>
          <w:rFonts w:cs="Times New Roman"/>
          <w:color w:val="000000" w:themeColor="text1"/>
          <w:lang w:val="sq-AL"/>
        </w:rPr>
      </w:pPr>
      <w:r w:rsidRPr="00A166D4">
        <w:rPr>
          <w:rFonts w:cs="Times New Roman"/>
          <w:color w:val="000000" w:themeColor="text1"/>
          <w:lang w:val="it-IT"/>
        </w:rPr>
        <w:t>.</w:t>
      </w:r>
    </w:p>
    <w:p w14:paraId="126BF45D" w14:textId="77777777" w:rsidR="0005130C" w:rsidRPr="00A166D4" w:rsidRDefault="0005130C" w:rsidP="00A166D4">
      <w:pPr>
        <w:pStyle w:val="NormalWeb"/>
        <w:spacing w:before="280" w:after="280" w:line="276" w:lineRule="auto"/>
        <w:jc w:val="both"/>
        <w:rPr>
          <w:rFonts w:cs="Times New Roman"/>
          <w:color w:val="000000" w:themeColor="text1"/>
          <w:lang w:val="it-IT"/>
        </w:rPr>
      </w:pPr>
    </w:p>
    <w:p w14:paraId="408F59A3" w14:textId="77777777" w:rsidR="0005130C" w:rsidRPr="00A166D4" w:rsidRDefault="0005130C" w:rsidP="00A166D4">
      <w:pPr>
        <w:pStyle w:val="NormalWeb"/>
        <w:spacing w:before="280" w:after="280" w:line="276" w:lineRule="auto"/>
        <w:jc w:val="both"/>
        <w:rPr>
          <w:rFonts w:cs="Times New Roman"/>
          <w:color w:val="000000" w:themeColor="text1"/>
          <w:lang w:val="it-IT"/>
        </w:rPr>
      </w:pPr>
    </w:p>
    <w:p w14:paraId="4BA7C5DD" w14:textId="77777777" w:rsidR="00322182" w:rsidRPr="00A166D4" w:rsidRDefault="00322182" w:rsidP="00A166D4">
      <w:pPr>
        <w:pStyle w:val="NormalWeb"/>
        <w:spacing w:before="280" w:after="280" w:line="276" w:lineRule="auto"/>
        <w:jc w:val="both"/>
        <w:rPr>
          <w:rFonts w:cs="Times New Roman"/>
          <w:color w:val="000000" w:themeColor="text1"/>
          <w:lang w:val="it-IT"/>
        </w:rPr>
      </w:pPr>
    </w:p>
    <w:p w14:paraId="0A918FE1" w14:textId="77777777" w:rsidR="00322182" w:rsidRPr="00A166D4" w:rsidRDefault="00322182" w:rsidP="00A166D4">
      <w:pPr>
        <w:pStyle w:val="NormalWeb"/>
        <w:spacing w:before="280" w:after="280" w:line="276" w:lineRule="auto"/>
        <w:jc w:val="both"/>
        <w:rPr>
          <w:rFonts w:cs="Times New Roman"/>
          <w:color w:val="000000" w:themeColor="text1"/>
          <w:lang w:val="it-IT"/>
        </w:rPr>
      </w:pPr>
    </w:p>
    <w:p w14:paraId="543CE3CE" w14:textId="77777777" w:rsidR="00322182" w:rsidRPr="00A166D4" w:rsidRDefault="00322182" w:rsidP="00A166D4">
      <w:pPr>
        <w:pStyle w:val="NormalWeb"/>
        <w:spacing w:before="280" w:after="280" w:line="276" w:lineRule="auto"/>
        <w:jc w:val="both"/>
        <w:rPr>
          <w:rFonts w:cs="Times New Roman"/>
          <w:color w:val="000000" w:themeColor="text1"/>
          <w:lang w:val="it-IT"/>
        </w:rPr>
      </w:pPr>
    </w:p>
    <w:p w14:paraId="6CAF46A7" w14:textId="77777777" w:rsidR="00322182" w:rsidRPr="00A166D4" w:rsidRDefault="00322182" w:rsidP="00A166D4">
      <w:pPr>
        <w:pStyle w:val="NormalWeb"/>
        <w:spacing w:before="280" w:after="280" w:line="276" w:lineRule="auto"/>
        <w:jc w:val="both"/>
        <w:rPr>
          <w:rFonts w:cs="Times New Roman"/>
          <w:color w:val="000000" w:themeColor="text1"/>
          <w:lang w:val="it-IT"/>
        </w:rPr>
      </w:pPr>
    </w:p>
    <w:p w14:paraId="12FAA317" w14:textId="77777777" w:rsidR="00322182" w:rsidRPr="00A166D4" w:rsidRDefault="00322182" w:rsidP="00A166D4">
      <w:pPr>
        <w:pStyle w:val="NormalWeb"/>
        <w:spacing w:before="280" w:after="280" w:line="276" w:lineRule="auto"/>
        <w:jc w:val="both"/>
        <w:rPr>
          <w:rFonts w:cs="Times New Roman"/>
          <w:color w:val="000000" w:themeColor="text1"/>
          <w:lang w:val="it-IT"/>
        </w:rPr>
      </w:pPr>
    </w:p>
    <w:p w14:paraId="64418232" w14:textId="77777777" w:rsidR="00322182" w:rsidRPr="00A166D4" w:rsidRDefault="00322182" w:rsidP="00A166D4">
      <w:pPr>
        <w:pStyle w:val="NormalWeb"/>
        <w:spacing w:before="280" w:after="280" w:line="276" w:lineRule="auto"/>
        <w:jc w:val="both"/>
        <w:rPr>
          <w:rFonts w:cs="Times New Roman"/>
          <w:color w:val="000000" w:themeColor="text1"/>
          <w:lang w:val="it-IT"/>
        </w:rPr>
      </w:pPr>
    </w:p>
    <w:p w14:paraId="0A9C0E83" w14:textId="77777777" w:rsidR="00322182" w:rsidRPr="00A166D4" w:rsidRDefault="00322182" w:rsidP="00A166D4">
      <w:pPr>
        <w:pStyle w:val="NormalWeb"/>
        <w:spacing w:before="280" w:after="280" w:line="276" w:lineRule="auto"/>
        <w:jc w:val="both"/>
        <w:rPr>
          <w:rFonts w:cs="Times New Roman"/>
          <w:color w:val="000000" w:themeColor="text1"/>
          <w:lang w:val="it-IT"/>
        </w:rPr>
      </w:pPr>
    </w:p>
    <w:p w14:paraId="3DF32C3D" w14:textId="77777777" w:rsidR="00322182" w:rsidRPr="00A166D4" w:rsidRDefault="00322182" w:rsidP="00A166D4">
      <w:pPr>
        <w:pStyle w:val="NormalWeb"/>
        <w:spacing w:before="280" w:after="280" w:line="276" w:lineRule="auto"/>
        <w:jc w:val="both"/>
        <w:rPr>
          <w:rFonts w:cs="Times New Roman"/>
          <w:color w:val="000000" w:themeColor="text1"/>
          <w:lang w:val="it-IT"/>
        </w:rPr>
      </w:pPr>
    </w:p>
    <w:p w14:paraId="33D752CE" w14:textId="77777777" w:rsidR="00322182" w:rsidRPr="00A166D4" w:rsidRDefault="00322182" w:rsidP="00A166D4">
      <w:pPr>
        <w:pStyle w:val="NormalWeb"/>
        <w:spacing w:before="280" w:after="280" w:line="276" w:lineRule="auto"/>
        <w:jc w:val="both"/>
        <w:rPr>
          <w:rFonts w:cs="Times New Roman"/>
          <w:color w:val="000000" w:themeColor="text1"/>
          <w:lang w:val="it-IT"/>
        </w:rPr>
      </w:pPr>
    </w:p>
    <w:p w14:paraId="4E6575E0" w14:textId="77777777" w:rsidR="00322182" w:rsidRPr="00A166D4" w:rsidRDefault="00322182" w:rsidP="00A166D4">
      <w:pPr>
        <w:pStyle w:val="NormalWeb"/>
        <w:spacing w:before="280" w:after="280" w:line="276" w:lineRule="auto"/>
        <w:jc w:val="both"/>
        <w:rPr>
          <w:rFonts w:cs="Times New Roman"/>
          <w:color w:val="000000" w:themeColor="text1"/>
          <w:lang w:val="it-IT"/>
        </w:rPr>
      </w:pPr>
    </w:p>
    <w:p w14:paraId="2102D2F4" w14:textId="77777777" w:rsidR="00322182" w:rsidRPr="00A166D4" w:rsidRDefault="00322182" w:rsidP="00A166D4">
      <w:pPr>
        <w:pStyle w:val="NormalWeb"/>
        <w:spacing w:before="280" w:after="280" w:line="276" w:lineRule="auto"/>
        <w:jc w:val="both"/>
        <w:rPr>
          <w:rFonts w:cs="Times New Roman"/>
          <w:color w:val="000000" w:themeColor="text1"/>
          <w:lang w:val="it-IT"/>
        </w:rPr>
      </w:pPr>
    </w:p>
    <w:p w14:paraId="7D04A766" w14:textId="77777777" w:rsidR="00322182" w:rsidRPr="00A166D4" w:rsidRDefault="00322182" w:rsidP="00A166D4">
      <w:pPr>
        <w:pStyle w:val="NormalWeb"/>
        <w:spacing w:before="280" w:after="280" w:line="276" w:lineRule="auto"/>
        <w:jc w:val="both"/>
        <w:rPr>
          <w:rFonts w:cs="Times New Roman"/>
          <w:color w:val="000000" w:themeColor="text1"/>
          <w:lang w:val="it-IT"/>
        </w:rPr>
      </w:pPr>
    </w:p>
    <w:p w14:paraId="58B7F334" w14:textId="77777777" w:rsidR="00322182" w:rsidRPr="00A166D4" w:rsidRDefault="00322182" w:rsidP="00A166D4">
      <w:pPr>
        <w:pStyle w:val="NormalWeb"/>
        <w:spacing w:before="280" w:after="280" w:line="276" w:lineRule="auto"/>
        <w:jc w:val="both"/>
        <w:rPr>
          <w:rFonts w:cs="Times New Roman"/>
          <w:color w:val="000000" w:themeColor="text1"/>
          <w:lang w:val="it-IT"/>
        </w:rPr>
      </w:pPr>
    </w:p>
    <w:p w14:paraId="06FB8837" w14:textId="77777777" w:rsidR="00322182" w:rsidRPr="00A166D4" w:rsidRDefault="00322182" w:rsidP="00A166D4">
      <w:pPr>
        <w:pStyle w:val="NormalWeb"/>
        <w:spacing w:before="280" w:after="280" w:line="276" w:lineRule="auto"/>
        <w:jc w:val="both"/>
        <w:rPr>
          <w:rFonts w:cs="Times New Roman"/>
          <w:color w:val="000000" w:themeColor="text1"/>
          <w:lang w:val="it-IT"/>
        </w:rPr>
      </w:pPr>
    </w:p>
    <w:p w14:paraId="4F5C0D70" w14:textId="77777777" w:rsidR="00322182" w:rsidRPr="00A166D4" w:rsidRDefault="00322182" w:rsidP="00A166D4">
      <w:pPr>
        <w:pStyle w:val="NormalWeb"/>
        <w:spacing w:before="280" w:after="280" w:line="276" w:lineRule="auto"/>
        <w:jc w:val="both"/>
        <w:rPr>
          <w:rFonts w:cs="Times New Roman"/>
          <w:color w:val="000000" w:themeColor="text1"/>
          <w:lang w:val="it-IT"/>
        </w:rPr>
      </w:pPr>
    </w:p>
    <w:p w14:paraId="09E34582" w14:textId="77777777" w:rsidR="00A35A63" w:rsidRPr="00A166D4" w:rsidRDefault="00A35A63" w:rsidP="00A166D4">
      <w:pPr>
        <w:pStyle w:val="NormalWeb"/>
        <w:spacing w:before="280" w:after="280" w:line="276" w:lineRule="auto"/>
        <w:jc w:val="both"/>
        <w:rPr>
          <w:rFonts w:cs="Times New Roman"/>
          <w:color w:val="000000" w:themeColor="text1"/>
          <w:lang w:val="it-IT"/>
        </w:rPr>
      </w:pPr>
    </w:p>
    <w:p w14:paraId="7FA1C6D6" w14:textId="5DA48823" w:rsidR="005F2AC9" w:rsidRPr="00A166D4" w:rsidRDefault="007D435C" w:rsidP="00A166D4">
      <w:pPr>
        <w:pStyle w:val="Heading1"/>
        <w:rPr>
          <w:rFonts w:ascii="Times New Roman" w:eastAsia="Garamond" w:hAnsi="Times New Roman" w:cs="Times New Roman"/>
          <w:b/>
          <w:bCs/>
          <w:color w:val="000000" w:themeColor="text1"/>
          <w:lang w:val="en-US"/>
        </w:rPr>
      </w:pPr>
      <w:r w:rsidRPr="00A166D4">
        <w:rPr>
          <w:rFonts w:ascii="Times New Roman" w:eastAsia="Garamond" w:hAnsi="Times New Roman" w:cs="Times New Roman"/>
          <w:b/>
          <w:bCs/>
          <w:color w:val="000000" w:themeColor="text1"/>
          <w:lang w:val="it-IT"/>
        </w:rPr>
        <w:t>BUDGET MONITORING – YEAR 2025</w:t>
      </w:r>
    </w:p>
    <w:p w14:paraId="7C55EE8F" w14:textId="77777777" w:rsidR="005F2AC9" w:rsidRPr="00A166D4" w:rsidRDefault="005F2AC9" w:rsidP="00A166D4">
      <w:pPr>
        <w:jc w:val="both"/>
        <w:rPr>
          <w:rFonts w:ascii="Times New Roman" w:hAnsi="Times New Roman" w:cs="Times New Roman"/>
          <w:color w:val="000000" w:themeColor="text1"/>
          <w:sz w:val="24"/>
          <w:szCs w:val="24"/>
        </w:rPr>
      </w:pPr>
    </w:p>
    <w:tbl>
      <w:tblPr>
        <w:tblW w:w="11163" w:type="dxa"/>
        <w:tblInd w:w="-990" w:type="dxa"/>
        <w:tblLook w:val="04A0" w:firstRow="1" w:lastRow="0" w:firstColumn="1" w:lastColumn="0" w:noHBand="0" w:noVBand="1"/>
      </w:tblPr>
      <w:tblGrid>
        <w:gridCol w:w="1440"/>
        <w:gridCol w:w="1890"/>
        <w:gridCol w:w="843"/>
        <w:gridCol w:w="816"/>
        <w:gridCol w:w="1716"/>
        <w:gridCol w:w="1716"/>
        <w:gridCol w:w="1716"/>
        <w:gridCol w:w="1716"/>
        <w:gridCol w:w="1416"/>
        <w:gridCol w:w="720"/>
      </w:tblGrid>
      <w:tr w:rsidR="008E3291" w:rsidRPr="00A166D4" w14:paraId="2977580E" w14:textId="77777777" w:rsidTr="007B4850">
        <w:trPr>
          <w:trHeight w:val="345"/>
        </w:trPr>
        <w:tc>
          <w:tcPr>
            <w:tcW w:w="11163" w:type="dxa"/>
            <w:gridSpan w:val="10"/>
            <w:tcBorders>
              <w:top w:val="nil"/>
              <w:left w:val="nil"/>
              <w:bottom w:val="nil"/>
              <w:right w:val="nil"/>
            </w:tcBorders>
            <w:noWrap/>
            <w:vAlign w:val="center"/>
            <w:hideMark/>
          </w:tcPr>
          <w:p w14:paraId="507A2B69" w14:textId="1A560A44" w:rsidR="008E3291" w:rsidRPr="00A166D4" w:rsidRDefault="007D435C" w:rsidP="00A166D4">
            <w:pPr>
              <w:suppressAutoHyphens w:val="0"/>
              <w:spacing w:before="0" w:after="0"/>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t>Budget realisation report for the "Social Care" programme</w:t>
            </w:r>
          </w:p>
          <w:p w14:paraId="0182A082" w14:textId="77777777" w:rsidR="007D435C" w:rsidRPr="00A166D4" w:rsidRDefault="007D435C" w:rsidP="00A166D4">
            <w:pPr>
              <w:suppressAutoHyphens w:val="0"/>
              <w:spacing w:before="0" w:after="0"/>
              <w:jc w:val="both"/>
              <w:rPr>
                <w:rFonts w:ascii="Times New Roman" w:eastAsia="Times New Roman" w:hAnsi="Times New Roman" w:cs="Times New Roman"/>
                <w:b/>
                <w:bCs/>
                <w:sz w:val="24"/>
                <w:szCs w:val="24"/>
              </w:rPr>
            </w:pPr>
          </w:p>
          <w:p w14:paraId="79E035A8" w14:textId="77777777" w:rsidR="008E3291" w:rsidRPr="00A166D4" w:rsidRDefault="008E3291" w:rsidP="00A166D4">
            <w:pPr>
              <w:suppressAutoHyphens w:val="0"/>
              <w:spacing w:before="0" w:after="0"/>
              <w:jc w:val="both"/>
              <w:rPr>
                <w:rFonts w:ascii="Times New Roman" w:eastAsia="Times New Roman" w:hAnsi="Times New Roman" w:cs="Times New Roman"/>
                <w:b/>
                <w:bCs/>
                <w:sz w:val="24"/>
                <w:szCs w:val="24"/>
              </w:rPr>
            </w:pPr>
          </w:p>
        </w:tc>
      </w:tr>
      <w:tr w:rsidR="008E3291" w:rsidRPr="00A166D4" w14:paraId="0A01DB86" w14:textId="77777777" w:rsidTr="007B4850">
        <w:trPr>
          <w:trHeight w:val="360"/>
        </w:trPr>
        <w:tc>
          <w:tcPr>
            <w:tcW w:w="5965" w:type="dxa"/>
            <w:gridSpan w:val="5"/>
            <w:tcBorders>
              <w:top w:val="nil"/>
              <w:left w:val="nil"/>
              <w:bottom w:val="single" w:sz="4" w:space="0" w:color="auto"/>
              <w:right w:val="nil"/>
            </w:tcBorders>
            <w:shd w:val="clear" w:color="000000" w:fill="FFFFFF"/>
            <w:noWrap/>
            <w:hideMark/>
          </w:tcPr>
          <w:p w14:paraId="6279EBD3" w14:textId="28EFACD8" w:rsidR="008E3291" w:rsidRPr="00A166D4" w:rsidRDefault="007D435C" w:rsidP="00A166D4">
            <w:pPr>
              <w:suppressAutoHyphens w:val="0"/>
              <w:spacing w:before="0" w:after="0"/>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t>Reporting Period 12-2025</w:t>
            </w:r>
          </w:p>
        </w:tc>
        <w:tc>
          <w:tcPr>
            <w:tcW w:w="1148" w:type="dxa"/>
            <w:tcBorders>
              <w:top w:val="nil"/>
              <w:left w:val="nil"/>
              <w:bottom w:val="single" w:sz="4" w:space="0" w:color="auto"/>
              <w:right w:val="nil"/>
            </w:tcBorders>
            <w:vAlign w:val="bottom"/>
            <w:hideMark/>
          </w:tcPr>
          <w:p w14:paraId="7A58D637" w14:textId="77777777" w:rsidR="008E3291" w:rsidRPr="00A166D4" w:rsidRDefault="008E3291" w:rsidP="00A166D4">
            <w:pPr>
              <w:suppressAutoHyphens w:val="0"/>
              <w:spacing w:before="0" w:after="0"/>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w:t>
            </w:r>
          </w:p>
        </w:tc>
        <w:tc>
          <w:tcPr>
            <w:tcW w:w="1170" w:type="dxa"/>
            <w:tcBorders>
              <w:top w:val="nil"/>
              <w:left w:val="nil"/>
              <w:bottom w:val="single" w:sz="4" w:space="0" w:color="auto"/>
              <w:right w:val="nil"/>
            </w:tcBorders>
            <w:vAlign w:val="bottom"/>
            <w:hideMark/>
          </w:tcPr>
          <w:p w14:paraId="3D1EF0A5" w14:textId="77777777" w:rsidR="008E3291" w:rsidRPr="00A166D4" w:rsidRDefault="008E3291" w:rsidP="00A166D4">
            <w:pPr>
              <w:suppressAutoHyphens w:val="0"/>
              <w:spacing w:before="0" w:after="0"/>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w:t>
            </w:r>
          </w:p>
        </w:tc>
        <w:tc>
          <w:tcPr>
            <w:tcW w:w="1227" w:type="dxa"/>
            <w:tcBorders>
              <w:top w:val="nil"/>
              <w:left w:val="nil"/>
              <w:bottom w:val="single" w:sz="4" w:space="0" w:color="auto"/>
              <w:right w:val="nil"/>
            </w:tcBorders>
            <w:vAlign w:val="bottom"/>
            <w:hideMark/>
          </w:tcPr>
          <w:p w14:paraId="6702BCBC" w14:textId="77777777" w:rsidR="008E3291" w:rsidRPr="00A166D4" w:rsidRDefault="008E3291" w:rsidP="00A166D4">
            <w:pPr>
              <w:suppressAutoHyphens w:val="0"/>
              <w:spacing w:before="0" w:after="0"/>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w:t>
            </w:r>
          </w:p>
        </w:tc>
        <w:tc>
          <w:tcPr>
            <w:tcW w:w="933" w:type="dxa"/>
            <w:tcBorders>
              <w:top w:val="nil"/>
              <w:left w:val="nil"/>
              <w:bottom w:val="single" w:sz="4" w:space="0" w:color="auto"/>
              <w:right w:val="nil"/>
            </w:tcBorders>
            <w:vAlign w:val="bottom"/>
            <w:hideMark/>
          </w:tcPr>
          <w:p w14:paraId="6F0F6D7B" w14:textId="77777777" w:rsidR="008E3291" w:rsidRPr="00A166D4" w:rsidRDefault="008E3291" w:rsidP="00A166D4">
            <w:pPr>
              <w:suppressAutoHyphens w:val="0"/>
              <w:spacing w:before="0" w:after="0"/>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w:t>
            </w:r>
          </w:p>
        </w:tc>
        <w:tc>
          <w:tcPr>
            <w:tcW w:w="720" w:type="dxa"/>
            <w:tcBorders>
              <w:top w:val="nil"/>
              <w:left w:val="nil"/>
              <w:bottom w:val="single" w:sz="4" w:space="0" w:color="auto"/>
              <w:right w:val="nil"/>
            </w:tcBorders>
            <w:vAlign w:val="bottom"/>
            <w:hideMark/>
          </w:tcPr>
          <w:p w14:paraId="3DE80B2F" w14:textId="77777777" w:rsidR="008E3291" w:rsidRPr="00A166D4" w:rsidRDefault="008E3291" w:rsidP="00A166D4">
            <w:pPr>
              <w:suppressAutoHyphens w:val="0"/>
              <w:spacing w:before="0" w:after="0"/>
              <w:jc w:val="both"/>
              <w:rPr>
                <w:rFonts w:ascii="Times New Roman" w:eastAsia="Times New Roman" w:hAnsi="Times New Roman" w:cs="Times New Roman"/>
                <w:sz w:val="24"/>
                <w:szCs w:val="24"/>
              </w:rPr>
            </w:pPr>
            <w:r w:rsidRPr="00A166D4">
              <w:rPr>
                <w:rFonts w:ascii="Times New Roman" w:eastAsia="Times New Roman" w:hAnsi="Times New Roman" w:cs="Times New Roman"/>
                <w:sz w:val="24"/>
                <w:szCs w:val="24"/>
              </w:rPr>
              <w:t> </w:t>
            </w:r>
          </w:p>
        </w:tc>
      </w:tr>
      <w:tr w:rsidR="008E3291" w:rsidRPr="00A166D4" w14:paraId="2ACA871E" w14:textId="77777777" w:rsidTr="007B4850">
        <w:trPr>
          <w:trHeight w:val="300"/>
        </w:trPr>
        <w:tc>
          <w:tcPr>
            <w:tcW w:w="144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044F682B" w14:textId="5FCC1B4C" w:rsidR="008E3291" w:rsidRPr="00A166D4" w:rsidRDefault="007D435C" w:rsidP="00A166D4">
            <w:pPr>
              <w:suppressAutoHyphens w:val="0"/>
              <w:spacing w:before="0" w:after="0"/>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t>Group Name</w:t>
            </w:r>
          </w:p>
        </w:tc>
        <w:tc>
          <w:tcPr>
            <w:tcW w:w="2629" w:type="dxa"/>
            <w:gridSpan w:val="2"/>
            <w:tcBorders>
              <w:top w:val="single" w:sz="4" w:space="0" w:color="auto"/>
              <w:left w:val="single" w:sz="4" w:space="0" w:color="auto"/>
              <w:bottom w:val="single" w:sz="4" w:space="0" w:color="auto"/>
              <w:right w:val="single" w:sz="4" w:space="0" w:color="auto"/>
            </w:tcBorders>
            <w:shd w:val="clear" w:color="000000" w:fill="EBF1DE"/>
            <w:vAlign w:val="center"/>
            <w:hideMark/>
          </w:tcPr>
          <w:p w14:paraId="755BEDD8" w14:textId="4264370B" w:rsidR="008E3291" w:rsidRPr="00A166D4" w:rsidRDefault="007D435C" w:rsidP="00A166D4">
            <w:pPr>
              <w:suppressAutoHyphens w:val="0"/>
              <w:spacing w:before="0" w:after="0"/>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t>Ministry of Health and Social Welfare</w:t>
            </w:r>
          </w:p>
        </w:tc>
        <w:tc>
          <w:tcPr>
            <w:tcW w:w="1896" w:type="dxa"/>
            <w:gridSpan w:val="2"/>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62C06875" w14:textId="44DBB11E" w:rsidR="008E3291" w:rsidRPr="00A166D4" w:rsidRDefault="007D435C" w:rsidP="00A166D4">
            <w:pPr>
              <w:suppressAutoHyphens w:val="0"/>
              <w:spacing w:before="0" w:after="0"/>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t>Group Code</w:t>
            </w:r>
          </w:p>
        </w:tc>
        <w:tc>
          <w:tcPr>
            <w:tcW w:w="5198" w:type="dxa"/>
            <w:gridSpan w:val="5"/>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0A744D6A" w14:textId="77777777" w:rsidR="008E3291" w:rsidRPr="00A166D4" w:rsidRDefault="008E3291" w:rsidP="00A166D4">
            <w:pPr>
              <w:suppressAutoHyphens w:val="0"/>
              <w:spacing w:before="0" w:after="0"/>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t>13</w:t>
            </w:r>
          </w:p>
        </w:tc>
      </w:tr>
      <w:tr w:rsidR="008E3291" w:rsidRPr="00A166D4" w14:paraId="3539F320" w14:textId="77777777" w:rsidTr="007B4850">
        <w:trPr>
          <w:trHeight w:val="315"/>
        </w:trPr>
        <w:tc>
          <w:tcPr>
            <w:tcW w:w="144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36AE58CC" w14:textId="61E94C74" w:rsidR="008E3291" w:rsidRPr="00A166D4" w:rsidRDefault="007D435C" w:rsidP="00A166D4">
            <w:pPr>
              <w:suppressAutoHyphens w:val="0"/>
              <w:spacing w:before="0" w:after="0"/>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t>Programme Name</w:t>
            </w:r>
          </w:p>
        </w:tc>
        <w:tc>
          <w:tcPr>
            <w:tcW w:w="2629" w:type="dxa"/>
            <w:gridSpan w:val="2"/>
            <w:tcBorders>
              <w:top w:val="single" w:sz="4" w:space="0" w:color="auto"/>
              <w:left w:val="single" w:sz="4" w:space="0" w:color="auto"/>
              <w:bottom w:val="single" w:sz="4" w:space="0" w:color="auto"/>
              <w:right w:val="single" w:sz="4" w:space="0" w:color="auto"/>
            </w:tcBorders>
            <w:shd w:val="clear" w:color="000000" w:fill="EBF1DE"/>
            <w:vAlign w:val="center"/>
            <w:hideMark/>
          </w:tcPr>
          <w:p w14:paraId="59916E36" w14:textId="537522A0" w:rsidR="008E3291" w:rsidRPr="00A166D4" w:rsidRDefault="007D435C" w:rsidP="00A166D4">
            <w:pPr>
              <w:suppressAutoHyphens w:val="0"/>
              <w:spacing w:before="0" w:after="0"/>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t>Social Care</w:t>
            </w:r>
          </w:p>
        </w:tc>
        <w:tc>
          <w:tcPr>
            <w:tcW w:w="1896" w:type="dxa"/>
            <w:gridSpan w:val="2"/>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3B3E013B" w14:textId="3529F6FE" w:rsidR="008E3291" w:rsidRPr="00A166D4" w:rsidRDefault="007D435C" w:rsidP="00A166D4">
            <w:pPr>
              <w:suppressAutoHyphens w:val="0"/>
              <w:spacing w:before="0" w:after="0"/>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t>Programme Code</w:t>
            </w:r>
          </w:p>
        </w:tc>
        <w:tc>
          <w:tcPr>
            <w:tcW w:w="5198" w:type="dxa"/>
            <w:gridSpan w:val="5"/>
            <w:tcBorders>
              <w:top w:val="single" w:sz="4" w:space="0" w:color="auto"/>
              <w:left w:val="single" w:sz="4" w:space="0" w:color="auto"/>
              <w:bottom w:val="single" w:sz="4" w:space="0" w:color="auto"/>
              <w:right w:val="single" w:sz="4" w:space="0" w:color="auto"/>
            </w:tcBorders>
            <w:shd w:val="clear" w:color="000000" w:fill="EBF1DE"/>
            <w:noWrap/>
            <w:vAlign w:val="center"/>
            <w:hideMark/>
          </w:tcPr>
          <w:p w14:paraId="54C218B0" w14:textId="77777777" w:rsidR="008E3291" w:rsidRPr="00A166D4" w:rsidRDefault="008E3291" w:rsidP="00A166D4">
            <w:pPr>
              <w:suppressAutoHyphens w:val="0"/>
              <w:spacing w:before="0" w:after="0"/>
              <w:jc w:val="both"/>
              <w:rPr>
                <w:rFonts w:ascii="Times New Roman" w:eastAsia="Times New Roman" w:hAnsi="Times New Roman" w:cs="Times New Roman"/>
                <w:b/>
                <w:bCs/>
                <w:sz w:val="24"/>
                <w:szCs w:val="24"/>
              </w:rPr>
            </w:pPr>
            <w:r w:rsidRPr="00A166D4">
              <w:rPr>
                <w:rFonts w:ascii="Times New Roman" w:eastAsia="Times New Roman" w:hAnsi="Times New Roman" w:cs="Times New Roman"/>
                <w:b/>
                <w:bCs/>
                <w:sz w:val="24"/>
                <w:szCs w:val="24"/>
              </w:rPr>
              <w:t>10430</w:t>
            </w:r>
          </w:p>
        </w:tc>
      </w:tr>
      <w:tr w:rsidR="008E3291" w:rsidRPr="00A166D4" w14:paraId="7B951022" w14:textId="77777777" w:rsidTr="007B4850">
        <w:trPr>
          <w:trHeight w:val="1035"/>
        </w:trPr>
        <w:tc>
          <w:tcPr>
            <w:tcW w:w="1440" w:type="dxa"/>
            <w:tcBorders>
              <w:top w:val="single" w:sz="4" w:space="0" w:color="auto"/>
              <w:left w:val="single" w:sz="4" w:space="0" w:color="auto"/>
              <w:bottom w:val="single" w:sz="4" w:space="0" w:color="auto"/>
              <w:right w:val="single" w:sz="4" w:space="0" w:color="auto"/>
            </w:tcBorders>
            <w:vAlign w:val="center"/>
            <w:hideMark/>
          </w:tcPr>
          <w:p w14:paraId="0B30EEA4" w14:textId="1EDA16AB" w:rsidR="008E3291" w:rsidRPr="00A166D4" w:rsidRDefault="007D435C" w:rsidP="00A166D4">
            <w:pPr>
              <w:suppressAutoHyphens w:val="0"/>
              <w:spacing w:before="0" w:after="0"/>
              <w:jc w:val="both"/>
              <w:rPr>
                <w:rFonts w:ascii="Times New Roman" w:eastAsia="Times New Roman" w:hAnsi="Times New Roman" w:cs="Times New Roman"/>
                <w:b/>
                <w:bCs/>
                <w:color w:val="000000"/>
                <w:sz w:val="24"/>
                <w:szCs w:val="24"/>
              </w:rPr>
            </w:pPr>
            <w:r w:rsidRPr="00A166D4">
              <w:rPr>
                <w:rFonts w:ascii="Times New Roman" w:eastAsia="Times New Roman" w:hAnsi="Times New Roman" w:cs="Times New Roman"/>
                <w:b/>
                <w:bCs/>
                <w:color w:val="000000"/>
                <w:sz w:val="24"/>
                <w:szCs w:val="24"/>
              </w:rPr>
              <w:t>Programme policy goal</w:t>
            </w:r>
          </w:p>
        </w:tc>
        <w:tc>
          <w:tcPr>
            <w:tcW w:w="9723" w:type="dxa"/>
            <w:gridSpan w:val="9"/>
            <w:tcBorders>
              <w:top w:val="single" w:sz="4" w:space="0" w:color="auto"/>
              <w:left w:val="single" w:sz="4" w:space="0" w:color="auto"/>
              <w:bottom w:val="single" w:sz="4" w:space="0" w:color="auto"/>
              <w:right w:val="single" w:sz="4" w:space="0" w:color="auto"/>
            </w:tcBorders>
            <w:vAlign w:val="center"/>
            <w:hideMark/>
          </w:tcPr>
          <w:p w14:paraId="6F3FBF26" w14:textId="0AB72729" w:rsidR="008E3291" w:rsidRPr="00A166D4" w:rsidRDefault="007D435C" w:rsidP="00A166D4">
            <w:pPr>
              <w:suppressAutoHyphens w:val="0"/>
              <w:spacing w:before="0" w:after="0"/>
              <w:ind w:left="-44"/>
              <w:jc w:val="both"/>
              <w:rPr>
                <w:rFonts w:ascii="Times New Roman" w:eastAsia="Times New Roman" w:hAnsi="Times New Roman" w:cs="Times New Roman"/>
                <w:b/>
                <w:bCs/>
                <w:color w:val="000000"/>
                <w:sz w:val="24"/>
                <w:szCs w:val="24"/>
              </w:rPr>
            </w:pPr>
            <w:r w:rsidRPr="00A166D4">
              <w:rPr>
                <w:rFonts w:ascii="Times New Roman" w:eastAsia="Times New Roman" w:hAnsi="Times New Roman" w:cs="Times New Roman"/>
                <w:color w:val="000000"/>
                <w:sz w:val="24"/>
                <w:szCs w:val="24"/>
              </w:rPr>
              <w:t>Building a social protection system through policies and mechanisms to protect individuals in need.</w:t>
            </w:r>
          </w:p>
        </w:tc>
      </w:tr>
      <w:tr w:rsidR="008E3291" w:rsidRPr="00A166D4" w14:paraId="27558B1D" w14:textId="77777777" w:rsidTr="007B4850">
        <w:trPr>
          <w:trHeight w:val="345"/>
        </w:trPr>
        <w:tc>
          <w:tcPr>
            <w:tcW w:w="3330" w:type="dxa"/>
            <w:gridSpan w:val="2"/>
            <w:tcBorders>
              <w:top w:val="single" w:sz="4" w:space="0" w:color="auto"/>
              <w:left w:val="single" w:sz="4" w:space="0" w:color="auto"/>
              <w:bottom w:val="single" w:sz="4" w:space="0" w:color="auto"/>
              <w:right w:val="single" w:sz="4" w:space="0" w:color="auto"/>
            </w:tcBorders>
            <w:noWrap/>
            <w:vAlign w:val="center"/>
            <w:hideMark/>
          </w:tcPr>
          <w:p w14:paraId="2098E7F5" w14:textId="6428D055" w:rsidR="008E3291" w:rsidRPr="00A166D4" w:rsidRDefault="007D435C" w:rsidP="00A166D4">
            <w:pPr>
              <w:suppressAutoHyphens w:val="0"/>
              <w:spacing w:before="0" w:after="0"/>
              <w:jc w:val="both"/>
              <w:rPr>
                <w:rFonts w:ascii="Times New Roman" w:eastAsia="Times New Roman" w:hAnsi="Times New Roman" w:cs="Times New Roman"/>
                <w:b/>
                <w:bCs/>
                <w:color w:val="000000"/>
                <w:sz w:val="24"/>
                <w:szCs w:val="24"/>
              </w:rPr>
            </w:pPr>
            <w:r w:rsidRPr="00A166D4">
              <w:rPr>
                <w:rFonts w:ascii="Times New Roman" w:eastAsia="Times New Roman" w:hAnsi="Times New Roman" w:cs="Times New Roman"/>
                <w:b/>
                <w:bCs/>
                <w:color w:val="000000"/>
                <w:sz w:val="24"/>
                <w:szCs w:val="24"/>
              </w:rPr>
              <w:t>Performance indicators</w:t>
            </w:r>
          </w:p>
        </w:tc>
        <w:tc>
          <w:tcPr>
            <w:tcW w:w="7833" w:type="dxa"/>
            <w:gridSpan w:val="8"/>
            <w:tcBorders>
              <w:top w:val="single" w:sz="4" w:space="0" w:color="auto"/>
              <w:left w:val="single" w:sz="4" w:space="0" w:color="auto"/>
              <w:bottom w:val="single" w:sz="4" w:space="0" w:color="auto"/>
              <w:right w:val="single" w:sz="4" w:space="0" w:color="auto"/>
            </w:tcBorders>
            <w:noWrap/>
            <w:vAlign w:val="center"/>
            <w:hideMark/>
          </w:tcPr>
          <w:p w14:paraId="2507625F" w14:textId="77777777" w:rsidR="008E3291" w:rsidRPr="00A166D4" w:rsidRDefault="008E3291" w:rsidP="00A166D4">
            <w:pPr>
              <w:suppressAutoHyphens w:val="0"/>
              <w:spacing w:before="0" w:after="0"/>
              <w:jc w:val="both"/>
              <w:rPr>
                <w:rFonts w:ascii="Times New Roman" w:eastAsia="Times New Roman" w:hAnsi="Times New Roman" w:cs="Times New Roman"/>
                <w:b/>
                <w:bCs/>
                <w:color w:val="000000"/>
                <w:sz w:val="24"/>
                <w:szCs w:val="24"/>
              </w:rPr>
            </w:pPr>
          </w:p>
        </w:tc>
      </w:tr>
      <w:tr w:rsidR="008E3291" w:rsidRPr="00A166D4" w14:paraId="567BF735" w14:textId="77777777" w:rsidTr="007B4850">
        <w:trPr>
          <w:trHeight w:val="720"/>
        </w:trPr>
        <w:tc>
          <w:tcPr>
            <w:tcW w:w="1440" w:type="dxa"/>
            <w:tcBorders>
              <w:top w:val="single" w:sz="4" w:space="0" w:color="auto"/>
              <w:left w:val="single" w:sz="4" w:space="0" w:color="auto"/>
              <w:bottom w:val="single" w:sz="4" w:space="0" w:color="auto"/>
              <w:right w:val="single" w:sz="4" w:space="0" w:color="auto"/>
            </w:tcBorders>
            <w:vAlign w:val="center"/>
            <w:hideMark/>
          </w:tcPr>
          <w:p w14:paraId="17C69EA5" w14:textId="0B439B90" w:rsidR="008E3291" w:rsidRPr="00A166D4" w:rsidRDefault="007D435C" w:rsidP="00A166D4">
            <w:pPr>
              <w:suppressAutoHyphens w:val="0"/>
              <w:spacing w:before="0" w:after="0"/>
              <w:jc w:val="both"/>
              <w:rPr>
                <w:rFonts w:ascii="Times New Roman" w:eastAsia="Times New Roman" w:hAnsi="Times New Roman" w:cs="Times New Roman"/>
                <w:b/>
                <w:bCs/>
                <w:color w:val="000000"/>
                <w:sz w:val="24"/>
                <w:szCs w:val="24"/>
              </w:rPr>
            </w:pPr>
            <w:r w:rsidRPr="00A166D4">
              <w:rPr>
                <w:rFonts w:ascii="Times New Roman" w:eastAsia="Times New Roman" w:hAnsi="Times New Roman" w:cs="Times New Roman"/>
                <w:b/>
                <w:bCs/>
                <w:color w:val="000000"/>
                <w:sz w:val="24"/>
                <w:szCs w:val="24"/>
              </w:rPr>
              <w:t>Indicator code</w:t>
            </w:r>
          </w:p>
        </w:tc>
        <w:tc>
          <w:tcPr>
            <w:tcW w:w="1890" w:type="dxa"/>
            <w:tcBorders>
              <w:top w:val="single" w:sz="4" w:space="0" w:color="auto"/>
              <w:left w:val="single" w:sz="4" w:space="0" w:color="auto"/>
              <w:bottom w:val="single" w:sz="4" w:space="0" w:color="auto"/>
              <w:right w:val="single" w:sz="4" w:space="0" w:color="auto"/>
            </w:tcBorders>
            <w:noWrap/>
            <w:vAlign w:val="center"/>
            <w:hideMark/>
          </w:tcPr>
          <w:p w14:paraId="39C0E1E1" w14:textId="4E13A229" w:rsidR="008E3291" w:rsidRPr="00A166D4" w:rsidRDefault="007D435C" w:rsidP="00A166D4">
            <w:pPr>
              <w:suppressAutoHyphens w:val="0"/>
              <w:spacing w:before="0" w:after="0"/>
              <w:jc w:val="both"/>
              <w:rPr>
                <w:rFonts w:ascii="Times New Roman" w:eastAsia="Times New Roman" w:hAnsi="Times New Roman" w:cs="Times New Roman"/>
                <w:b/>
                <w:bCs/>
                <w:color w:val="000000"/>
                <w:sz w:val="24"/>
                <w:szCs w:val="24"/>
              </w:rPr>
            </w:pPr>
            <w:r w:rsidRPr="00A166D4">
              <w:rPr>
                <w:rFonts w:ascii="Times New Roman" w:eastAsia="Times New Roman" w:hAnsi="Times New Roman" w:cs="Times New Roman"/>
                <w:b/>
                <w:bCs/>
                <w:color w:val="000000"/>
                <w:sz w:val="24"/>
                <w:szCs w:val="24"/>
              </w:rPr>
              <w:t>Indicator name</w:t>
            </w:r>
          </w:p>
        </w:tc>
        <w:tc>
          <w:tcPr>
            <w:tcW w:w="739" w:type="dxa"/>
            <w:tcBorders>
              <w:top w:val="single" w:sz="4" w:space="0" w:color="auto"/>
              <w:left w:val="single" w:sz="4" w:space="0" w:color="auto"/>
              <w:bottom w:val="single" w:sz="4" w:space="0" w:color="auto"/>
              <w:right w:val="single" w:sz="4" w:space="0" w:color="auto"/>
            </w:tcBorders>
            <w:vAlign w:val="center"/>
            <w:hideMark/>
          </w:tcPr>
          <w:p w14:paraId="37A64895" w14:textId="1BE003F7" w:rsidR="008E3291" w:rsidRPr="00A166D4" w:rsidRDefault="007D435C" w:rsidP="00A166D4">
            <w:pPr>
              <w:suppressAutoHyphens w:val="0"/>
              <w:spacing w:before="0" w:after="0"/>
              <w:jc w:val="both"/>
              <w:rPr>
                <w:rFonts w:ascii="Times New Roman" w:eastAsia="Times New Roman" w:hAnsi="Times New Roman" w:cs="Times New Roman"/>
                <w:b/>
                <w:bCs/>
                <w:color w:val="000000"/>
                <w:sz w:val="24"/>
                <w:szCs w:val="24"/>
              </w:rPr>
            </w:pPr>
            <w:r w:rsidRPr="00A166D4">
              <w:rPr>
                <w:rFonts w:ascii="Times New Roman" w:eastAsia="Times New Roman" w:hAnsi="Times New Roman" w:cs="Times New Roman"/>
                <w:b/>
                <w:bCs/>
                <w:color w:val="000000"/>
                <w:sz w:val="24"/>
                <w:szCs w:val="24"/>
              </w:rPr>
              <w:t>Gender-based indicator (YES)</w:t>
            </w:r>
          </w:p>
        </w:tc>
        <w:tc>
          <w:tcPr>
            <w:tcW w:w="791" w:type="dxa"/>
            <w:tcBorders>
              <w:top w:val="single" w:sz="4" w:space="0" w:color="auto"/>
              <w:left w:val="single" w:sz="4" w:space="0" w:color="auto"/>
              <w:bottom w:val="single" w:sz="4" w:space="0" w:color="auto"/>
              <w:right w:val="single" w:sz="4" w:space="0" w:color="auto"/>
            </w:tcBorders>
            <w:vAlign w:val="center"/>
            <w:hideMark/>
          </w:tcPr>
          <w:p w14:paraId="013B5FCA" w14:textId="5C61F0E5" w:rsidR="008E3291" w:rsidRPr="00A166D4" w:rsidRDefault="007D435C" w:rsidP="00A166D4">
            <w:pPr>
              <w:suppressAutoHyphens w:val="0"/>
              <w:spacing w:before="0" w:after="0"/>
              <w:jc w:val="both"/>
              <w:rPr>
                <w:rFonts w:ascii="Times New Roman" w:eastAsia="Times New Roman" w:hAnsi="Times New Roman" w:cs="Times New Roman"/>
                <w:b/>
                <w:bCs/>
                <w:color w:val="000000"/>
                <w:sz w:val="24"/>
                <w:szCs w:val="24"/>
              </w:rPr>
            </w:pPr>
            <w:r w:rsidRPr="00A166D4">
              <w:rPr>
                <w:rFonts w:ascii="Times New Roman" w:eastAsia="Times New Roman" w:hAnsi="Times New Roman" w:cs="Times New Roman"/>
                <w:b/>
                <w:bCs/>
                <w:color w:val="000000"/>
                <w:sz w:val="24"/>
                <w:szCs w:val="24"/>
              </w:rPr>
              <w:t>Unit of measurement</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DD66BD3" w14:textId="7867DE4F" w:rsidR="008E3291" w:rsidRPr="00A166D4" w:rsidRDefault="007D435C" w:rsidP="00A166D4">
            <w:pPr>
              <w:suppressAutoHyphens w:val="0"/>
              <w:spacing w:before="0" w:after="0"/>
              <w:jc w:val="both"/>
              <w:rPr>
                <w:rFonts w:ascii="Times New Roman" w:eastAsia="Times New Roman" w:hAnsi="Times New Roman" w:cs="Times New Roman"/>
                <w:b/>
                <w:bCs/>
                <w:color w:val="000000"/>
                <w:sz w:val="24"/>
                <w:szCs w:val="24"/>
              </w:rPr>
            </w:pPr>
            <w:r w:rsidRPr="00A166D4">
              <w:rPr>
                <w:rFonts w:ascii="Times New Roman" w:eastAsia="Times New Roman" w:hAnsi="Times New Roman" w:cs="Times New Roman"/>
                <w:b/>
                <w:bCs/>
                <w:color w:val="000000"/>
                <w:sz w:val="24"/>
                <w:szCs w:val="24"/>
              </w:rPr>
              <w:t>Previous Year Actual</w:t>
            </w:r>
          </w:p>
        </w:tc>
        <w:tc>
          <w:tcPr>
            <w:tcW w:w="1148" w:type="dxa"/>
            <w:tcBorders>
              <w:top w:val="single" w:sz="4" w:space="0" w:color="auto"/>
              <w:left w:val="single" w:sz="4" w:space="0" w:color="auto"/>
              <w:bottom w:val="single" w:sz="4" w:space="0" w:color="auto"/>
              <w:right w:val="single" w:sz="4" w:space="0" w:color="auto"/>
            </w:tcBorders>
            <w:vAlign w:val="center"/>
            <w:hideMark/>
          </w:tcPr>
          <w:p w14:paraId="05F35446" w14:textId="4FE8DB34" w:rsidR="008E3291" w:rsidRPr="00A166D4" w:rsidRDefault="007D435C" w:rsidP="00A166D4">
            <w:pPr>
              <w:suppressAutoHyphens w:val="0"/>
              <w:spacing w:before="0" w:after="0"/>
              <w:jc w:val="both"/>
              <w:rPr>
                <w:rFonts w:ascii="Times New Roman" w:eastAsia="Times New Roman" w:hAnsi="Times New Roman" w:cs="Times New Roman"/>
                <w:b/>
                <w:bCs/>
                <w:color w:val="000000"/>
                <w:sz w:val="24"/>
                <w:szCs w:val="24"/>
              </w:rPr>
            </w:pPr>
            <w:r w:rsidRPr="00A166D4">
              <w:rPr>
                <w:rFonts w:ascii="Times New Roman" w:eastAsia="Times New Roman" w:hAnsi="Times New Roman" w:cs="Times New Roman"/>
                <w:b/>
                <w:bCs/>
                <w:color w:val="000000"/>
                <w:sz w:val="24"/>
                <w:szCs w:val="24"/>
              </w:rPr>
              <w:t>Annual Budget Initial Plan Year 2025</w:t>
            </w:r>
          </w:p>
        </w:tc>
        <w:tc>
          <w:tcPr>
            <w:tcW w:w="1170" w:type="dxa"/>
            <w:tcBorders>
              <w:top w:val="single" w:sz="4" w:space="0" w:color="auto"/>
              <w:left w:val="single" w:sz="4" w:space="0" w:color="auto"/>
              <w:bottom w:val="single" w:sz="4" w:space="0" w:color="auto"/>
              <w:right w:val="single" w:sz="4" w:space="0" w:color="auto"/>
            </w:tcBorders>
            <w:vAlign w:val="center"/>
            <w:hideMark/>
          </w:tcPr>
          <w:p w14:paraId="62F4BF78" w14:textId="316CF06F" w:rsidR="008E3291" w:rsidRPr="00A166D4" w:rsidRDefault="007D435C" w:rsidP="00A166D4">
            <w:pPr>
              <w:suppressAutoHyphens w:val="0"/>
              <w:spacing w:before="0" w:after="0"/>
              <w:jc w:val="both"/>
              <w:rPr>
                <w:rFonts w:ascii="Times New Roman" w:eastAsia="Times New Roman" w:hAnsi="Times New Roman" w:cs="Times New Roman"/>
                <w:b/>
                <w:bCs/>
                <w:color w:val="000000"/>
                <w:sz w:val="24"/>
                <w:szCs w:val="24"/>
              </w:rPr>
            </w:pPr>
            <w:r w:rsidRPr="00A166D4">
              <w:rPr>
                <w:rFonts w:ascii="Times New Roman" w:eastAsia="Times New Roman" w:hAnsi="Times New Roman" w:cs="Times New Roman"/>
                <w:b/>
                <w:bCs/>
                <w:color w:val="000000"/>
                <w:sz w:val="24"/>
                <w:szCs w:val="24"/>
              </w:rPr>
              <w:t>Annual Budget Revised Plan Year 2025</w:t>
            </w:r>
          </w:p>
        </w:tc>
        <w:tc>
          <w:tcPr>
            <w:tcW w:w="1227" w:type="dxa"/>
            <w:tcBorders>
              <w:top w:val="single" w:sz="4" w:space="0" w:color="auto"/>
              <w:left w:val="single" w:sz="4" w:space="0" w:color="auto"/>
              <w:bottom w:val="single" w:sz="4" w:space="0" w:color="auto"/>
              <w:right w:val="single" w:sz="4" w:space="0" w:color="auto"/>
            </w:tcBorders>
            <w:vAlign w:val="center"/>
            <w:hideMark/>
          </w:tcPr>
          <w:p w14:paraId="626247B7" w14:textId="36AE53F8" w:rsidR="008E3291" w:rsidRPr="00A166D4" w:rsidRDefault="007D435C" w:rsidP="00A166D4">
            <w:pPr>
              <w:suppressAutoHyphens w:val="0"/>
              <w:spacing w:before="0" w:after="0"/>
              <w:jc w:val="both"/>
              <w:rPr>
                <w:rFonts w:ascii="Times New Roman" w:eastAsia="Times New Roman" w:hAnsi="Times New Roman" w:cs="Times New Roman"/>
                <w:b/>
                <w:bCs/>
                <w:color w:val="000000"/>
                <w:sz w:val="24"/>
                <w:szCs w:val="24"/>
              </w:rPr>
            </w:pPr>
            <w:r w:rsidRPr="00A166D4">
              <w:rPr>
                <w:rFonts w:ascii="Times New Roman" w:eastAsia="Times New Roman" w:hAnsi="Times New Roman" w:cs="Times New Roman"/>
                <w:b/>
                <w:bCs/>
                <w:color w:val="000000"/>
                <w:sz w:val="24"/>
                <w:szCs w:val="24"/>
              </w:rPr>
              <w:t>Period/Cumulative Actual</w:t>
            </w:r>
          </w:p>
        </w:tc>
        <w:tc>
          <w:tcPr>
            <w:tcW w:w="933" w:type="dxa"/>
            <w:tcBorders>
              <w:top w:val="single" w:sz="4" w:space="0" w:color="auto"/>
              <w:left w:val="single" w:sz="4" w:space="0" w:color="auto"/>
              <w:bottom w:val="single" w:sz="4" w:space="0" w:color="auto"/>
              <w:right w:val="single" w:sz="4" w:space="0" w:color="auto"/>
            </w:tcBorders>
            <w:vAlign w:val="center"/>
            <w:hideMark/>
          </w:tcPr>
          <w:p w14:paraId="6F66319C" w14:textId="70CFF105" w:rsidR="008E3291" w:rsidRPr="00A166D4" w:rsidRDefault="007D435C" w:rsidP="00A166D4">
            <w:pPr>
              <w:suppressAutoHyphens w:val="0"/>
              <w:spacing w:before="0" w:after="0"/>
              <w:jc w:val="both"/>
              <w:rPr>
                <w:rFonts w:ascii="Times New Roman" w:eastAsia="Times New Roman" w:hAnsi="Times New Roman" w:cs="Times New Roman"/>
                <w:b/>
                <w:bCs/>
                <w:color w:val="000000"/>
                <w:sz w:val="24"/>
                <w:szCs w:val="24"/>
              </w:rPr>
            </w:pPr>
            <w:r w:rsidRPr="00A166D4">
              <w:rPr>
                <w:rFonts w:ascii="Times New Roman" w:eastAsia="Times New Roman" w:hAnsi="Times New Roman" w:cs="Times New Roman"/>
                <w:b/>
                <w:bCs/>
                <w:color w:val="000000"/>
                <w:sz w:val="24"/>
                <w:szCs w:val="24"/>
              </w:rPr>
              <w:t>Difference (Plan – Actual)</w:t>
            </w:r>
          </w:p>
        </w:tc>
        <w:tc>
          <w:tcPr>
            <w:tcW w:w="720" w:type="dxa"/>
            <w:tcBorders>
              <w:top w:val="nil"/>
              <w:left w:val="single" w:sz="4" w:space="0" w:color="auto"/>
              <w:bottom w:val="single" w:sz="4" w:space="0" w:color="auto"/>
              <w:right w:val="single" w:sz="8" w:space="0" w:color="000000"/>
            </w:tcBorders>
            <w:noWrap/>
            <w:vAlign w:val="center"/>
            <w:hideMark/>
          </w:tcPr>
          <w:p w14:paraId="3E8A30B9" w14:textId="20BBE093" w:rsidR="008E3291" w:rsidRPr="00A166D4" w:rsidRDefault="007D435C" w:rsidP="00A166D4">
            <w:pPr>
              <w:suppressAutoHyphens w:val="0"/>
              <w:spacing w:before="0" w:after="0"/>
              <w:jc w:val="both"/>
              <w:rPr>
                <w:rFonts w:ascii="Times New Roman" w:eastAsia="Times New Roman" w:hAnsi="Times New Roman" w:cs="Times New Roman"/>
                <w:b/>
                <w:bCs/>
                <w:color w:val="000000"/>
                <w:sz w:val="24"/>
                <w:szCs w:val="24"/>
              </w:rPr>
            </w:pPr>
            <w:r w:rsidRPr="00A166D4">
              <w:rPr>
                <w:rFonts w:ascii="Times New Roman" w:eastAsia="Times New Roman" w:hAnsi="Times New Roman" w:cs="Times New Roman"/>
                <w:b/>
                <w:bCs/>
                <w:color w:val="000000"/>
                <w:sz w:val="24"/>
                <w:szCs w:val="24"/>
              </w:rPr>
              <w:t>% realisation</w:t>
            </w:r>
          </w:p>
        </w:tc>
      </w:tr>
      <w:tr w:rsidR="008E3291" w:rsidRPr="00A166D4" w14:paraId="178F1E11" w14:textId="77777777" w:rsidTr="007B4850">
        <w:trPr>
          <w:trHeight w:val="512"/>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6CC78976" w14:textId="77777777" w:rsidR="008E3291" w:rsidRPr="00A166D4" w:rsidRDefault="008E3291" w:rsidP="00A166D4">
            <w:pPr>
              <w:suppressAutoHyphens w:val="0"/>
              <w:spacing w:before="0" w:after="0"/>
              <w:jc w:val="both"/>
              <w:rPr>
                <w:rFonts w:ascii="Times New Roman" w:eastAsia="Times New Roman" w:hAnsi="Times New Roman" w:cs="Times New Roman"/>
                <w:i/>
                <w:iCs/>
                <w:color w:val="000000"/>
                <w:sz w:val="24"/>
                <w:szCs w:val="24"/>
              </w:rPr>
            </w:pPr>
            <w:r w:rsidRPr="00A166D4">
              <w:rPr>
                <w:rFonts w:ascii="Times New Roman" w:eastAsia="Times New Roman" w:hAnsi="Times New Roman" w:cs="Times New Roman"/>
                <w:i/>
                <w:iCs/>
                <w:color w:val="000000"/>
                <w:sz w:val="24"/>
                <w:szCs w:val="24"/>
              </w:rPr>
              <w:t>91307AA</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DF17292" w14:textId="27184B20" w:rsidR="008E3291" w:rsidRPr="00A166D4" w:rsidRDefault="007D435C"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Families and individuals in need benefiting from the EA scheme</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72C52ADF"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 </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110A9311" w14:textId="7543D28B" w:rsidR="008E3291" w:rsidRPr="00A166D4" w:rsidRDefault="007D435C"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ALL</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DB8B5EF"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5,763,983,902</w:t>
            </w:r>
          </w:p>
        </w:tc>
        <w:tc>
          <w:tcPr>
            <w:tcW w:w="1148" w:type="dxa"/>
            <w:tcBorders>
              <w:top w:val="single" w:sz="4" w:space="0" w:color="auto"/>
              <w:left w:val="single" w:sz="4" w:space="0" w:color="auto"/>
              <w:bottom w:val="single" w:sz="4" w:space="0" w:color="auto"/>
              <w:right w:val="single" w:sz="4" w:space="0" w:color="auto"/>
            </w:tcBorders>
            <w:noWrap/>
            <w:vAlign w:val="center"/>
            <w:hideMark/>
          </w:tcPr>
          <w:p w14:paraId="12288BF6"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7,232,000,000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388E12B1"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5,392,720,000</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3D6FDE3A"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5,309,265,379</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07AD2D51"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83,454,621</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9B03287"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98</w:t>
            </w:r>
          </w:p>
        </w:tc>
      </w:tr>
      <w:tr w:rsidR="008E3291" w:rsidRPr="00A166D4" w14:paraId="720DAF34" w14:textId="77777777" w:rsidTr="007B4850">
        <w:trPr>
          <w:trHeight w:val="512"/>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68812E6A" w14:textId="77777777" w:rsidR="008E3291" w:rsidRPr="00A166D4" w:rsidRDefault="008E3291" w:rsidP="00A166D4">
            <w:pPr>
              <w:suppressAutoHyphens w:val="0"/>
              <w:spacing w:before="0" w:after="0"/>
              <w:jc w:val="both"/>
              <w:rPr>
                <w:rFonts w:ascii="Times New Roman" w:eastAsia="Times New Roman" w:hAnsi="Times New Roman" w:cs="Times New Roman"/>
                <w:i/>
                <w:iCs/>
                <w:color w:val="000000"/>
                <w:sz w:val="24"/>
                <w:szCs w:val="24"/>
              </w:rPr>
            </w:pPr>
            <w:r w:rsidRPr="00A166D4">
              <w:rPr>
                <w:rFonts w:ascii="Times New Roman" w:eastAsia="Times New Roman" w:hAnsi="Times New Roman" w:cs="Times New Roman"/>
                <w:i/>
                <w:iCs/>
                <w:color w:val="000000"/>
                <w:sz w:val="24"/>
                <w:szCs w:val="24"/>
              </w:rPr>
              <w:t>91307AB</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EDE9A36" w14:textId="1B25F39F" w:rsidR="008E3291" w:rsidRPr="00A166D4" w:rsidRDefault="007D435C"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PwD and carers receiving payments</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7CCECD33"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 </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24A31796" w14:textId="1AF0591C" w:rsidR="008E3291" w:rsidRPr="00A166D4" w:rsidRDefault="007D435C" w:rsidP="00A166D4">
            <w:pPr>
              <w:tabs>
                <w:tab w:val="left" w:pos="6511"/>
              </w:tabs>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ALL</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FCCAB4A"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19,612,354,218</w:t>
            </w:r>
          </w:p>
        </w:tc>
        <w:tc>
          <w:tcPr>
            <w:tcW w:w="1148" w:type="dxa"/>
            <w:tcBorders>
              <w:top w:val="single" w:sz="4" w:space="0" w:color="auto"/>
              <w:left w:val="single" w:sz="4" w:space="0" w:color="auto"/>
              <w:bottom w:val="single" w:sz="4" w:space="0" w:color="auto"/>
              <w:right w:val="single" w:sz="4" w:space="0" w:color="auto"/>
            </w:tcBorders>
            <w:noWrap/>
            <w:vAlign w:val="center"/>
            <w:hideMark/>
          </w:tcPr>
          <w:p w14:paraId="09D3E88A"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15,238,000,000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18CA185"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18,696,948,000</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2B1D2550"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18,603,924,791</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182D382B"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93,023,209</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19D095C0"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100</w:t>
            </w:r>
          </w:p>
        </w:tc>
      </w:tr>
      <w:tr w:rsidR="008E3291" w:rsidRPr="00A166D4" w14:paraId="44E9BF69" w14:textId="77777777" w:rsidTr="007B4850">
        <w:trPr>
          <w:trHeight w:val="890"/>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12075089" w14:textId="77777777" w:rsidR="008E3291" w:rsidRPr="00A166D4" w:rsidRDefault="008E3291" w:rsidP="00A166D4">
            <w:pPr>
              <w:suppressAutoHyphens w:val="0"/>
              <w:spacing w:before="0" w:after="0"/>
              <w:jc w:val="both"/>
              <w:rPr>
                <w:rFonts w:ascii="Times New Roman" w:eastAsia="Times New Roman" w:hAnsi="Times New Roman" w:cs="Times New Roman"/>
                <w:i/>
                <w:iCs/>
                <w:color w:val="000000"/>
                <w:sz w:val="24"/>
                <w:szCs w:val="24"/>
              </w:rPr>
            </w:pPr>
            <w:r w:rsidRPr="00A166D4">
              <w:rPr>
                <w:rFonts w:ascii="Times New Roman" w:eastAsia="Times New Roman" w:hAnsi="Times New Roman" w:cs="Times New Roman"/>
                <w:i/>
                <w:iCs/>
                <w:color w:val="000000"/>
                <w:sz w:val="24"/>
                <w:szCs w:val="24"/>
              </w:rPr>
              <w:t>91307AC</w:t>
            </w:r>
          </w:p>
        </w:tc>
        <w:tc>
          <w:tcPr>
            <w:tcW w:w="1890" w:type="dxa"/>
            <w:tcBorders>
              <w:top w:val="single" w:sz="4" w:space="0" w:color="auto"/>
              <w:left w:val="single" w:sz="4" w:space="0" w:color="auto"/>
              <w:bottom w:val="single" w:sz="4" w:space="0" w:color="auto"/>
              <w:right w:val="single" w:sz="4" w:space="0" w:color="auto"/>
            </w:tcBorders>
            <w:vAlign w:val="center"/>
            <w:hideMark/>
          </w:tcPr>
          <w:p w14:paraId="3DA947F3" w14:textId="25CB4250" w:rsidR="008E3291" w:rsidRPr="00A166D4" w:rsidRDefault="007D435C"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Beneficiaries of social care services provided in public residential centres</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223A0740"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 </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2734F127" w14:textId="2A1F082F" w:rsidR="008E3291" w:rsidRPr="00A166D4" w:rsidRDefault="007D435C"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ALL</w:t>
            </w:r>
          </w:p>
        </w:tc>
        <w:tc>
          <w:tcPr>
            <w:tcW w:w="1105" w:type="dxa"/>
            <w:tcBorders>
              <w:top w:val="single" w:sz="4" w:space="0" w:color="auto"/>
              <w:left w:val="single" w:sz="4" w:space="0" w:color="auto"/>
              <w:bottom w:val="single" w:sz="4" w:space="0" w:color="auto"/>
              <w:right w:val="single" w:sz="4" w:space="0" w:color="auto"/>
            </w:tcBorders>
            <w:vAlign w:val="center"/>
            <w:hideMark/>
          </w:tcPr>
          <w:p w14:paraId="351422E9"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445,160,388</w:t>
            </w:r>
          </w:p>
        </w:tc>
        <w:tc>
          <w:tcPr>
            <w:tcW w:w="1148" w:type="dxa"/>
            <w:tcBorders>
              <w:top w:val="single" w:sz="4" w:space="0" w:color="auto"/>
              <w:left w:val="single" w:sz="4" w:space="0" w:color="auto"/>
              <w:bottom w:val="single" w:sz="4" w:space="0" w:color="auto"/>
              <w:right w:val="single" w:sz="4" w:space="0" w:color="auto"/>
            </w:tcBorders>
            <w:noWrap/>
            <w:vAlign w:val="center"/>
            <w:hideMark/>
          </w:tcPr>
          <w:p w14:paraId="608C11E5"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452,672,000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78976271"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482,667,000</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62A88A9A"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478,641,485</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76DA1207"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4,025,515</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6F29FD0"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99</w:t>
            </w:r>
          </w:p>
        </w:tc>
      </w:tr>
      <w:tr w:rsidR="008E3291" w:rsidRPr="00A166D4" w14:paraId="0C5FE12B" w14:textId="77777777" w:rsidTr="007B4850">
        <w:trPr>
          <w:trHeight w:val="548"/>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5660F89C" w14:textId="77777777" w:rsidR="008E3291" w:rsidRPr="00A166D4" w:rsidRDefault="008E3291" w:rsidP="00A166D4">
            <w:pPr>
              <w:suppressAutoHyphens w:val="0"/>
              <w:spacing w:before="0" w:after="0"/>
              <w:jc w:val="both"/>
              <w:rPr>
                <w:rFonts w:ascii="Times New Roman" w:eastAsia="Times New Roman" w:hAnsi="Times New Roman" w:cs="Times New Roman"/>
                <w:i/>
                <w:iCs/>
                <w:color w:val="000000"/>
                <w:sz w:val="24"/>
                <w:szCs w:val="24"/>
              </w:rPr>
            </w:pPr>
            <w:r w:rsidRPr="00A166D4">
              <w:rPr>
                <w:rFonts w:ascii="Times New Roman" w:eastAsia="Times New Roman" w:hAnsi="Times New Roman" w:cs="Times New Roman"/>
                <w:i/>
                <w:iCs/>
                <w:color w:val="000000"/>
                <w:sz w:val="24"/>
                <w:szCs w:val="24"/>
              </w:rPr>
              <w:t>91307AJ</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12E4DDD" w14:textId="58A2D57D" w:rsidR="008E3291" w:rsidRPr="00A166D4" w:rsidRDefault="007D435C"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Children receiving services in care institutions</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486E0548"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 </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3FCD6782" w14:textId="18550E61" w:rsidR="008E3291" w:rsidRPr="00A166D4" w:rsidRDefault="007D435C"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ALL</w:t>
            </w:r>
          </w:p>
        </w:tc>
        <w:tc>
          <w:tcPr>
            <w:tcW w:w="1105" w:type="dxa"/>
            <w:tcBorders>
              <w:top w:val="single" w:sz="4" w:space="0" w:color="auto"/>
              <w:left w:val="single" w:sz="4" w:space="0" w:color="auto"/>
              <w:bottom w:val="single" w:sz="4" w:space="0" w:color="auto"/>
              <w:right w:val="single" w:sz="4" w:space="0" w:color="auto"/>
            </w:tcBorders>
            <w:vAlign w:val="center"/>
            <w:hideMark/>
          </w:tcPr>
          <w:p w14:paraId="4608C396"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305,139,349</w:t>
            </w:r>
          </w:p>
        </w:tc>
        <w:tc>
          <w:tcPr>
            <w:tcW w:w="1148" w:type="dxa"/>
            <w:tcBorders>
              <w:top w:val="single" w:sz="4" w:space="0" w:color="auto"/>
              <w:left w:val="single" w:sz="4" w:space="0" w:color="auto"/>
              <w:bottom w:val="single" w:sz="4" w:space="0" w:color="auto"/>
              <w:right w:val="single" w:sz="4" w:space="0" w:color="auto"/>
            </w:tcBorders>
            <w:noWrap/>
            <w:vAlign w:val="center"/>
            <w:hideMark/>
          </w:tcPr>
          <w:p w14:paraId="594437C5"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307,375,000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291C5816"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313,782,000</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3F6BFD76"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310,610,212</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2CE77DEC"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3,171,788</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47D68958"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99</w:t>
            </w:r>
          </w:p>
        </w:tc>
      </w:tr>
      <w:tr w:rsidR="008E3291" w:rsidRPr="00A166D4" w14:paraId="0EBA3701" w14:textId="77777777" w:rsidTr="007B4850">
        <w:trPr>
          <w:trHeight w:val="557"/>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554DED2F" w14:textId="77777777" w:rsidR="008E3291" w:rsidRPr="00A166D4" w:rsidRDefault="008E3291" w:rsidP="00A166D4">
            <w:pPr>
              <w:suppressAutoHyphens w:val="0"/>
              <w:spacing w:before="0" w:after="0"/>
              <w:jc w:val="both"/>
              <w:rPr>
                <w:rFonts w:ascii="Times New Roman" w:eastAsia="Times New Roman" w:hAnsi="Times New Roman" w:cs="Times New Roman"/>
                <w:i/>
                <w:iCs/>
                <w:color w:val="000000"/>
                <w:sz w:val="24"/>
                <w:szCs w:val="24"/>
              </w:rPr>
            </w:pPr>
            <w:r w:rsidRPr="00A166D4">
              <w:rPr>
                <w:rFonts w:ascii="Times New Roman" w:eastAsia="Times New Roman" w:hAnsi="Times New Roman" w:cs="Times New Roman"/>
                <w:i/>
                <w:iCs/>
                <w:color w:val="000000"/>
                <w:sz w:val="24"/>
                <w:szCs w:val="24"/>
              </w:rPr>
              <w:t>91307AK</w:t>
            </w:r>
          </w:p>
        </w:tc>
        <w:tc>
          <w:tcPr>
            <w:tcW w:w="1890" w:type="dxa"/>
            <w:tcBorders>
              <w:top w:val="single" w:sz="4" w:space="0" w:color="auto"/>
              <w:left w:val="single" w:sz="4" w:space="0" w:color="auto"/>
              <w:bottom w:val="single" w:sz="4" w:space="0" w:color="auto"/>
              <w:right w:val="single" w:sz="4" w:space="0" w:color="auto"/>
            </w:tcBorders>
            <w:vAlign w:val="center"/>
            <w:hideMark/>
          </w:tcPr>
          <w:p w14:paraId="2991179E" w14:textId="6F5F8654" w:rsidR="008E3291" w:rsidRPr="00A166D4" w:rsidRDefault="007D435C"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Elderly persons treated with care services</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3E43BF52"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 </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480F8C19" w14:textId="65F98BFB" w:rsidR="008E3291" w:rsidRPr="00A166D4" w:rsidRDefault="007D435C"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ALL</w:t>
            </w:r>
          </w:p>
        </w:tc>
        <w:tc>
          <w:tcPr>
            <w:tcW w:w="1105" w:type="dxa"/>
            <w:tcBorders>
              <w:top w:val="single" w:sz="4" w:space="0" w:color="auto"/>
              <w:left w:val="single" w:sz="4" w:space="0" w:color="auto"/>
              <w:bottom w:val="single" w:sz="4" w:space="0" w:color="auto"/>
              <w:right w:val="single" w:sz="4" w:space="0" w:color="auto"/>
            </w:tcBorders>
            <w:vAlign w:val="center"/>
            <w:hideMark/>
          </w:tcPr>
          <w:p w14:paraId="177E76B9"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242,901,591</w:t>
            </w:r>
          </w:p>
        </w:tc>
        <w:tc>
          <w:tcPr>
            <w:tcW w:w="1148" w:type="dxa"/>
            <w:tcBorders>
              <w:top w:val="single" w:sz="4" w:space="0" w:color="auto"/>
              <w:left w:val="single" w:sz="4" w:space="0" w:color="auto"/>
              <w:bottom w:val="single" w:sz="4" w:space="0" w:color="auto"/>
              <w:right w:val="single" w:sz="4" w:space="0" w:color="auto"/>
            </w:tcBorders>
            <w:noWrap/>
            <w:vAlign w:val="center"/>
            <w:hideMark/>
          </w:tcPr>
          <w:p w14:paraId="699D504D"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240,803,000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531E838C"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258,622,000</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54A96913"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257,052,020</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0230E83B"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1,569,980</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2949C93F"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99</w:t>
            </w:r>
          </w:p>
        </w:tc>
      </w:tr>
      <w:tr w:rsidR="008E3291" w:rsidRPr="00A166D4" w14:paraId="72B19E57" w14:textId="77777777" w:rsidTr="007B4850">
        <w:trPr>
          <w:trHeight w:val="647"/>
        </w:trPr>
        <w:tc>
          <w:tcPr>
            <w:tcW w:w="1440" w:type="dxa"/>
            <w:tcBorders>
              <w:top w:val="single" w:sz="4" w:space="0" w:color="auto"/>
              <w:left w:val="single" w:sz="4" w:space="0" w:color="auto"/>
              <w:bottom w:val="single" w:sz="4" w:space="0" w:color="auto"/>
              <w:right w:val="single" w:sz="4" w:space="0" w:color="auto"/>
            </w:tcBorders>
            <w:noWrap/>
            <w:vAlign w:val="center"/>
            <w:hideMark/>
          </w:tcPr>
          <w:p w14:paraId="18DCE5ED" w14:textId="77777777" w:rsidR="008E3291" w:rsidRPr="00A166D4" w:rsidRDefault="008E3291" w:rsidP="00A166D4">
            <w:pPr>
              <w:suppressAutoHyphens w:val="0"/>
              <w:spacing w:before="0" w:after="0"/>
              <w:jc w:val="both"/>
              <w:rPr>
                <w:rFonts w:ascii="Times New Roman" w:eastAsia="Times New Roman" w:hAnsi="Times New Roman" w:cs="Times New Roman"/>
                <w:i/>
                <w:iCs/>
                <w:color w:val="000000"/>
                <w:sz w:val="24"/>
                <w:szCs w:val="24"/>
              </w:rPr>
            </w:pPr>
            <w:r w:rsidRPr="00A166D4">
              <w:rPr>
                <w:rFonts w:ascii="Times New Roman" w:eastAsia="Times New Roman" w:hAnsi="Times New Roman" w:cs="Times New Roman"/>
                <w:i/>
                <w:iCs/>
                <w:color w:val="000000"/>
                <w:sz w:val="24"/>
                <w:szCs w:val="24"/>
              </w:rPr>
              <w:t>91307AM</w:t>
            </w:r>
          </w:p>
        </w:tc>
        <w:tc>
          <w:tcPr>
            <w:tcW w:w="1890" w:type="dxa"/>
            <w:tcBorders>
              <w:top w:val="single" w:sz="4" w:space="0" w:color="auto"/>
              <w:left w:val="single" w:sz="4" w:space="0" w:color="auto"/>
              <w:bottom w:val="single" w:sz="4" w:space="0" w:color="auto"/>
              <w:right w:val="single" w:sz="4" w:space="0" w:color="auto"/>
            </w:tcBorders>
            <w:vAlign w:val="center"/>
            <w:hideMark/>
          </w:tcPr>
          <w:p w14:paraId="6D6D704A" w14:textId="55855635" w:rsidR="008E3291" w:rsidRPr="00A166D4" w:rsidRDefault="007D435C"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Persons with Disabilities receiving care services</w:t>
            </w:r>
          </w:p>
        </w:tc>
        <w:tc>
          <w:tcPr>
            <w:tcW w:w="739" w:type="dxa"/>
            <w:tcBorders>
              <w:top w:val="single" w:sz="4" w:space="0" w:color="auto"/>
              <w:left w:val="single" w:sz="4" w:space="0" w:color="auto"/>
              <w:bottom w:val="single" w:sz="4" w:space="0" w:color="auto"/>
              <w:right w:val="single" w:sz="4" w:space="0" w:color="auto"/>
            </w:tcBorders>
            <w:noWrap/>
            <w:vAlign w:val="center"/>
            <w:hideMark/>
          </w:tcPr>
          <w:p w14:paraId="1A79B3C2"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 </w:t>
            </w:r>
          </w:p>
        </w:tc>
        <w:tc>
          <w:tcPr>
            <w:tcW w:w="791" w:type="dxa"/>
            <w:tcBorders>
              <w:top w:val="single" w:sz="4" w:space="0" w:color="auto"/>
              <w:left w:val="single" w:sz="4" w:space="0" w:color="auto"/>
              <w:bottom w:val="single" w:sz="4" w:space="0" w:color="auto"/>
              <w:right w:val="single" w:sz="4" w:space="0" w:color="auto"/>
            </w:tcBorders>
            <w:noWrap/>
            <w:vAlign w:val="center"/>
            <w:hideMark/>
          </w:tcPr>
          <w:p w14:paraId="49F1CA1B" w14:textId="61AE1996" w:rsidR="008E3291" w:rsidRPr="00A166D4" w:rsidRDefault="007D435C"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ALL</w:t>
            </w:r>
          </w:p>
        </w:tc>
        <w:tc>
          <w:tcPr>
            <w:tcW w:w="1105" w:type="dxa"/>
            <w:tcBorders>
              <w:top w:val="single" w:sz="4" w:space="0" w:color="auto"/>
              <w:left w:val="single" w:sz="4" w:space="0" w:color="auto"/>
              <w:bottom w:val="single" w:sz="4" w:space="0" w:color="auto"/>
              <w:right w:val="single" w:sz="4" w:space="0" w:color="auto"/>
            </w:tcBorders>
            <w:vAlign w:val="center"/>
            <w:hideMark/>
          </w:tcPr>
          <w:p w14:paraId="5BE3433A"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284,196,551</w:t>
            </w:r>
          </w:p>
        </w:tc>
        <w:tc>
          <w:tcPr>
            <w:tcW w:w="1148" w:type="dxa"/>
            <w:tcBorders>
              <w:top w:val="single" w:sz="4" w:space="0" w:color="auto"/>
              <w:left w:val="single" w:sz="4" w:space="0" w:color="auto"/>
              <w:bottom w:val="single" w:sz="4" w:space="0" w:color="auto"/>
              <w:right w:val="single" w:sz="4" w:space="0" w:color="auto"/>
            </w:tcBorders>
            <w:noWrap/>
            <w:vAlign w:val="center"/>
            <w:hideMark/>
          </w:tcPr>
          <w:p w14:paraId="3896E49C"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282,175,000</w:t>
            </w:r>
          </w:p>
        </w:tc>
        <w:tc>
          <w:tcPr>
            <w:tcW w:w="1170" w:type="dxa"/>
            <w:tcBorders>
              <w:top w:val="single" w:sz="4" w:space="0" w:color="auto"/>
              <w:left w:val="single" w:sz="4" w:space="0" w:color="auto"/>
              <w:bottom w:val="single" w:sz="4" w:space="0" w:color="auto"/>
              <w:right w:val="single" w:sz="4" w:space="0" w:color="auto"/>
            </w:tcBorders>
            <w:noWrap/>
            <w:vAlign w:val="center"/>
            <w:hideMark/>
          </w:tcPr>
          <w:p w14:paraId="0FCCF4AA"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303,296,000</w:t>
            </w:r>
          </w:p>
        </w:tc>
        <w:tc>
          <w:tcPr>
            <w:tcW w:w="1227" w:type="dxa"/>
            <w:tcBorders>
              <w:top w:val="single" w:sz="4" w:space="0" w:color="auto"/>
              <w:left w:val="single" w:sz="4" w:space="0" w:color="auto"/>
              <w:bottom w:val="single" w:sz="4" w:space="0" w:color="auto"/>
              <w:right w:val="single" w:sz="4" w:space="0" w:color="auto"/>
            </w:tcBorders>
            <w:noWrap/>
            <w:vAlign w:val="center"/>
            <w:hideMark/>
          </w:tcPr>
          <w:p w14:paraId="44D2D5E1"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301,342,573</w:t>
            </w:r>
          </w:p>
        </w:tc>
        <w:tc>
          <w:tcPr>
            <w:tcW w:w="933" w:type="dxa"/>
            <w:tcBorders>
              <w:top w:val="single" w:sz="4" w:space="0" w:color="auto"/>
              <w:left w:val="single" w:sz="4" w:space="0" w:color="auto"/>
              <w:bottom w:val="single" w:sz="4" w:space="0" w:color="auto"/>
              <w:right w:val="single" w:sz="4" w:space="0" w:color="auto"/>
            </w:tcBorders>
            <w:noWrap/>
            <w:vAlign w:val="center"/>
            <w:hideMark/>
          </w:tcPr>
          <w:p w14:paraId="6763F473"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1,953,427</w:t>
            </w:r>
          </w:p>
        </w:tc>
        <w:tc>
          <w:tcPr>
            <w:tcW w:w="720" w:type="dxa"/>
            <w:tcBorders>
              <w:top w:val="single" w:sz="4" w:space="0" w:color="auto"/>
              <w:left w:val="single" w:sz="4" w:space="0" w:color="auto"/>
              <w:bottom w:val="single" w:sz="4" w:space="0" w:color="auto"/>
              <w:right w:val="single" w:sz="4" w:space="0" w:color="auto"/>
            </w:tcBorders>
            <w:noWrap/>
            <w:vAlign w:val="center"/>
            <w:hideMark/>
          </w:tcPr>
          <w:p w14:paraId="00A5C635" w14:textId="77777777" w:rsidR="008E3291" w:rsidRPr="00A166D4" w:rsidRDefault="008E3291"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99</w:t>
            </w:r>
          </w:p>
        </w:tc>
      </w:tr>
      <w:tr w:rsidR="006F193A" w:rsidRPr="00A166D4" w14:paraId="3831ECDF" w14:textId="77777777" w:rsidTr="007B4850">
        <w:trPr>
          <w:trHeight w:val="377"/>
        </w:trPr>
        <w:tc>
          <w:tcPr>
            <w:tcW w:w="1440" w:type="dxa"/>
            <w:tcBorders>
              <w:top w:val="single" w:sz="4" w:space="0" w:color="auto"/>
              <w:left w:val="single" w:sz="4" w:space="0" w:color="auto"/>
              <w:bottom w:val="single" w:sz="4" w:space="0" w:color="auto"/>
              <w:right w:val="single" w:sz="4" w:space="0" w:color="auto"/>
            </w:tcBorders>
            <w:noWrap/>
            <w:vAlign w:val="center"/>
          </w:tcPr>
          <w:p w14:paraId="4063F804"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91307AG</w:t>
            </w:r>
          </w:p>
        </w:tc>
        <w:tc>
          <w:tcPr>
            <w:tcW w:w="1890" w:type="dxa"/>
            <w:tcBorders>
              <w:top w:val="single" w:sz="4" w:space="0" w:color="auto"/>
              <w:left w:val="single" w:sz="4" w:space="0" w:color="auto"/>
              <w:bottom w:val="single" w:sz="4" w:space="0" w:color="auto"/>
              <w:right w:val="single" w:sz="4" w:space="0" w:color="auto"/>
            </w:tcBorders>
            <w:vAlign w:val="center"/>
          </w:tcPr>
          <w:p w14:paraId="562E9435" w14:textId="51901FA0" w:rsidR="006F193A" w:rsidRPr="00A166D4" w:rsidRDefault="007D435C"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Persons from disadvantaged groups employed by social enterprises</w:t>
            </w:r>
          </w:p>
        </w:tc>
        <w:tc>
          <w:tcPr>
            <w:tcW w:w="739" w:type="dxa"/>
            <w:tcBorders>
              <w:top w:val="single" w:sz="4" w:space="0" w:color="auto"/>
              <w:left w:val="single" w:sz="4" w:space="0" w:color="auto"/>
              <w:bottom w:val="single" w:sz="4" w:space="0" w:color="auto"/>
              <w:right w:val="single" w:sz="4" w:space="0" w:color="auto"/>
            </w:tcBorders>
            <w:noWrap/>
            <w:vAlign w:val="center"/>
          </w:tcPr>
          <w:p w14:paraId="53F89E87"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 </w:t>
            </w:r>
          </w:p>
        </w:tc>
        <w:tc>
          <w:tcPr>
            <w:tcW w:w="791" w:type="dxa"/>
            <w:tcBorders>
              <w:top w:val="single" w:sz="4" w:space="0" w:color="auto"/>
              <w:left w:val="single" w:sz="4" w:space="0" w:color="auto"/>
              <w:bottom w:val="single" w:sz="4" w:space="0" w:color="auto"/>
              <w:right w:val="single" w:sz="4" w:space="0" w:color="auto"/>
            </w:tcBorders>
            <w:noWrap/>
            <w:vAlign w:val="center"/>
          </w:tcPr>
          <w:p w14:paraId="03E682C1" w14:textId="4FA414FB" w:rsidR="006F193A" w:rsidRPr="00A166D4" w:rsidRDefault="007D435C"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ALL</w:t>
            </w:r>
          </w:p>
        </w:tc>
        <w:tc>
          <w:tcPr>
            <w:tcW w:w="1105" w:type="dxa"/>
            <w:tcBorders>
              <w:top w:val="single" w:sz="4" w:space="0" w:color="auto"/>
              <w:left w:val="single" w:sz="4" w:space="0" w:color="auto"/>
              <w:bottom w:val="single" w:sz="4" w:space="0" w:color="auto"/>
              <w:right w:val="single" w:sz="4" w:space="0" w:color="auto"/>
            </w:tcBorders>
            <w:vAlign w:val="center"/>
          </w:tcPr>
          <w:p w14:paraId="3D32D432"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3,676,903</w:t>
            </w:r>
          </w:p>
        </w:tc>
        <w:tc>
          <w:tcPr>
            <w:tcW w:w="1148" w:type="dxa"/>
            <w:tcBorders>
              <w:top w:val="single" w:sz="4" w:space="0" w:color="auto"/>
              <w:left w:val="single" w:sz="4" w:space="0" w:color="auto"/>
              <w:bottom w:val="single" w:sz="4" w:space="0" w:color="auto"/>
              <w:right w:val="single" w:sz="4" w:space="0" w:color="auto"/>
            </w:tcBorders>
            <w:noWrap/>
            <w:vAlign w:val="center"/>
          </w:tcPr>
          <w:p w14:paraId="620350D6"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80,000,000</w:t>
            </w:r>
          </w:p>
        </w:tc>
        <w:tc>
          <w:tcPr>
            <w:tcW w:w="1170" w:type="dxa"/>
            <w:tcBorders>
              <w:top w:val="single" w:sz="4" w:space="0" w:color="auto"/>
              <w:left w:val="single" w:sz="4" w:space="0" w:color="auto"/>
              <w:bottom w:val="single" w:sz="4" w:space="0" w:color="auto"/>
              <w:right w:val="single" w:sz="4" w:space="0" w:color="auto"/>
            </w:tcBorders>
            <w:noWrap/>
            <w:vAlign w:val="center"/>
          </w:tcPr>
          <w:p w14:paraId="3441174E"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19,111,679</w:t>
            </w:r>
          </w:p>
        </w:tc>
        <w:tc>
          <w:tcPr>
            <w:tcW w:w="1227" w:type="dxa"/>
            <w:tcBorders>
              <w:top w:val="single" w:sz="4" w:space="0" w:color="auto"/>
              <w:left w:val="single" w:sz="4" w:space="0" w:color="auto"/>
              <w:bottom w:val="single" w:sz="4" w:space="0" w:color="auto"/>
              <w:right w:val="single" w:sz="4" w:space="0" w:color="auto"/>
            </w:tcBorders>
            <w:noWrap/>
            <w:vAlign w:val="center"/>
          </w:tcPr>
          <w:p w14:paraId="4027E4F3"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13,583,848</w:t>
            </w:r>
          </w:p>
        </w:tc>
        <w:tc>
          <w:tcPr>
            <w:tcW w:w="933" w:type="dxa"/>
            <w:tcBorders>
              <w:top w:val="single" w:sz="4" w:space="0" w:color="auto"/>
              <w:left w:val="single" w:sz="4" w:space="0" w:color="auto"/>
              <w:bottom w:val="single" w:sz="4" w:space="0" w:color="auto"/>
              <w:right w:val="single" w:sz="4" w:space="0" w:color="auto"/>
            </w:tcBorders>
            <w:noWrap/>
            <w:vAlign w:val="center"/>
          </w:tcPr>
          <w:p w14:paraId="55872168"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5,527,831</w:t>
            </w:r>
          </w:p>
        </w:tc>
        <w:tc>
          <w:tcPr>
            <w:tcW w:w="720" w:type="dxa"/>
            <w:tcBorders>
              <w:top w:val="single" w:sz="4" w:space="0" w:color="auto"/>
              <w:left w:val="single" w:sz="4" w:space="0" w:color="auto"/>
              <w:bottom w:val="single" w:sz="4" w:space="0" w:color="auto"/>
              <w:right w:val="single" w:sz="4" w:space="0" w:color="auto"/>
            </w:tcBorders>
            <w:noWrap/>
            <w:vAlign w:val="center"/>
          </w:tcPr>
          <w:p w14:paraId="3C197889"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71</w:t>
            </w:r>
          </w:p>
        </w:tc>
      </w:tr>
      <w:tr w:rsidR="006F193A" w:rsidRPr="00A166D4" w14:paraId="585320C2" w14:textId="77777777" w:rsidTr="007B4850">
        <w:trPr>
          <w:trHeight w:val="377"/>
        </w:trPr>
        <w:tc>
          <w:tcPr>
            <w:tcW w:w="1440" w:type="dxa"/>
            <w:tcBorders>
              <w:top w:val="single" w:sz="4" w:space="0" w:color="auto"/>
              <w:left w:val="single" w:sz="4" w:space="0" w:color="auto"/>
              <w:bottom w:val="single" w:sz="4" w:space="0" w:color="auto"/>
              <w:right w:val="single" w:sz="4" w:space="0" w:color="auto"/>
            </w:tcBorders>
            <w:noWrap/>
            <w:vAlign w:val="center"/>
          </w:tcPr>
          <w:p w14:paraId="6E58FD54"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91307AH</w:t>
            </w:r>
          </w:p>
        </w:tc>
        <w:tc>
          <w:tcPr>
            <w:tcW w:w="1890" w:type="dxa"/>
            <w:tcBorders>
              <w:top w:val="single" w:sz="4" w:space="0" w:color="auto"/>
              <w:left w:val="single" w:sz="4" w:space="0" w:color="auto"/>
              <w:bottom w:val="single" w:sz="4" w:space="0" w:color="auto"/>
              <w:right w:val="single" w:sz="4" w:space="0" w:color="auto"/>
            </w:tcBorders>
            <w:vAlign w:val="center"/>
          </w:tcPr>
          <w:p w14:paraId="66FB62F2" w14:textId="2AFF3403" w:rsidR="006F193A" w:rsidRPr="00A166D4" w:rsidRDefault="007D435C"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New social services for groups in need provided through local units from Social Fund financing</w:t>
            </w:r>
          </w:p>
        </w:tc>
        <w:tc>
          <w:tcPr>
            <w:tcW w:w="739" w:type="dxa"/>
            <w:tcBorders>
              <w:top w:val="single" w:sz="4" w:space="0" w:color="auto"/>
              <w:left w:val="single" w:sz="4" w:space="0" w:color="auto"/>
              <w:bottom w:val="single" w:sz="4" w:space="0" w:color="auto"/>
              <w:right w:val="single" w:sz="4" w:space="0" w:color="auto"/>
            </w:tcBorders>
            <w:noWrap/>
            <w:vAlign w:val="center"/>
          </w:tcPr>
          <w:p w14:paraId="550FB940"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 </w:t>
            </w:r>
          </w:p>
        </w:tc>
        <w:tc>
          <w:tcPr>
            <w:tcW w:w="791" w:type="dxa"/>
            <w:tcBorders>
              <w:top w:val="single" w:sz="4" w:space="0" w:color="auto"/>
              <w:left w:val="single" w:sz="4" w:space="0" w:color="auto"/>
              <w:bottom w:val="single" w:sz="4" w:space="0" w:color="auto"/>
              <w:right w:val="single" w:sz="4" w:space="0" w:color="auto"/>
            </w:tcBorders>
            <w:noWrap/>
            <w:vAlign w:val="center"/>
          </w:tcPr>
          <w:p w14:paraId="5742B633" w14:textId="73E2BE6C" w:rsidR="006F193A" w:rsidRPr="00A166D4" w:rsidRDefault="007D435C"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ALL</w:t>
            </w:r>
          </w:p>
        </w:tc>
        <w:tc>
          <w:tcPr>
            <w:tcW w:w="1105" w:type="dxa"/>
            <w:tcBorders>
              <w:top w:val="single" w:sz="4" w:space="0" w:color="auto"/>
              <w:left w:val="single" w:sz="4" w:space="0" w:color="auto"/>
              <w:bottom w:val="single" w:sz="4" w:space="0" w:color="auto"/>
              <w:right w:val="single" w:sz="4" w:space="0" w:color="auto"/>
            </w:tcBorders>
            <w:vAlign w:val="center"/>
          </w:tcPr>
          <w:p w14:paraId="35549639"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275,365,973</w:t>
            </w:r>
          </w:p>
        </w:tc>
        <w:tc>
          <w:tcPr>
            <w:tcW w:w="1148" w:type="dxa"/>
            <w:tcBorders>
              <w:top w:val="single" w:sz="4" w:space="0" w:color="auto"/>
              <w:left w:val="single" w:sz="4" w:space="0" w:color="auto"/>
              <w:bottom w:val="single" w:sz="4" w:space="0" w:color="auto"/>
              <w:right w:val="single" w:sz="4" w:space="0" w:color="auto"/>
            </w:tcBorders>
            <w:noWrap/>
            <w:vAlign w:val="center"/>
          </w:tcPr>
          <w:p w14:paraId="0913DE6E"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330,000,000</w:t>
            </w:r>
          </w:p>
        </w:tc>
        <w:tc>
          <w:tcPr>
            <w:tcW w:w="1170" w:type="dxa"/>
            <w:tcBorders>
              <w:top w:val="single" w:sz="4" w:space="0" w:color="auto"/>
              <w:left w:val="single" w:sz="4" w:space="0" w:color="auto"/>
              <w:bottom w:val="single" w:sz="4" w:space="0" w:color="auto"/>
              <w:right w:val="single" w:sz="4" w:space="0" w:color="auto"/>
            </w:tcBorders>
            <w:noWrap/>
            <w:vAlign w:val="center"/>
          </w:tcPr>
          <w:p w14:paraId="5A48CDA5"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363,833,321</w:t>
            </w:r>
          </w:p>
        </w:tc>
        <w:tc>
          <w:tcPr>
            <w:tcW w:w="1227" w:type="dxa"/>
            <w:tcBorders>
              <w:top w:val="single" w:sz="4" w:space="0" w:color="auto"/>
              <w:left w:val="single" w:sz="4" w:space="0" w:color="auto"/>
              <w:bottom w:val="single" w:sz="4" w:space="0" w:color="auto"/>
              <w:right w:val="single" w:sz="4" w:space="0" w:color="auto"/>
            </w:tcBorders>
            <w:noWrap/>
            <w:vAlign w:val="center"/>
          </w:tcPr>
          <w:p w14:paraId="360608CF"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347,402,956</w:t>
            </w:r>
          </w:p>
        </w:tc>
        <w:tc>
          <w:tcPr>
            <w:tcW w:w="933" w:type="dxa"/>
            <w:tcBorders>
              <w:top w:val="single" w:sz="4" w:space="0" w:color="auto"/>
              <w:left w:val="single" w:sz="4" w:space="0" w:color="auto"/>
              <w:bottom w:val="single" w:sz="4" w:space="0" w:color="auto"/>
              <w:right w:val="single" w:sz="4" w:space="0" w:color="auto"/>
            </w:tcBorders>
            <w:noWrap/>
            <w:vAlign w:val="center"/>
          </w:tcPr>
          <w:p w14:paraId="208CCD2F"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16,430,365</w:t>
            </w:r>
          </w:p>
        </w:tc>
        <w:tc>
          <w:tcPr>
            <w:tcW w:w="720" w:type="dxa"/>
            <w:tcBorders>
              <w:top w:val="single" w:sz="4" w:space="0" w:color="auto"/>
              <w:left w:val="single" w:sz="4" w:space="0" w:color="auto"/>
              <w:bottom w:val="single" w:sz="4" w:space="0" w:color="auto"/>
              <w:right w:val="single" w:sz="4" w:space="0" w:color="auto"/>
            </w:tcBorders>
            <w:noWrap/>
            <w:vAlign w:val="center"/>
          </w:tcPr>
          <w:p w14:paraId="54A851B3"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eastAsia="Times New Roman" w:hAnsi="Times New Roman" w:cs="Times New Roman"/>
                <w:color w:val="000000"/>
                <w:sz w:val="24"/>
                <w:szCs w:val="24"/>
              </w:rPr>
              <w:t>95</w:t>
            </w:r>
          </w:p>
        </w:tc>
      </w:tr>
      <w:tr w:rsidR="006F193A" w:rsidRPr="00A166D4" w14:paraId="2FB0BB3F" w14:textId="77777777" w:rsidTr="007B4850">
        <w:trPr>
          <w:trHeight w:val="377"/>
        </w:trPr>
        <w:tc>
          <w:tcPr>
            <w:tcW w:w="3330" w:type="dxa"/>
            <w:gridSpan w:val="2"/>
            <w:tcBorders>
              <w:top w:val="single" w:sz="4" w:space="0" w:color="auto"/>
              <w:left w:val="single" w:sz="4" w:space="0" w:color="auto"/>
              <w:bottom w:val="single" w:sz="4" w:space="0" w:color="auto"/>
              <w:right w:val="single" w:sz="4" w:space="0" w:color="auto"/>
            </w:tcBorders>
            <w:noWrap/>
            <w:vAlign w:val="center"/>
          </w:tcPr>
          <w:p w14:paraId="23146D90" w14:textId="77777777" w:rsidR="006F193A" w:rsidRPr="00A166D4" w:rsidRDefault="006F193A" w:rsidP="00A166D4">
            <w:pPr>
              <w:suppressAutoHyphens w:val="0"/>
              <w:spacing w:before="0" w:after="0"/>
              <w:jc w:val="both"/>
              <w:rPr>
                <w:rFonts w:ascii="Times New Roman" w:eastAsia="Times New Roman" w:hAnsi="Times New Roman" w:cs="Times New Roman"/>
                <w:b/>
                <w:bCs/>
                <w:color w:val="000000"/>
                <w:sz w:val="24"/>
                <w:szCs w:val="24"/>
              </w:rPr>
            </w:pPr>
            <w:r w:rsidRPr="00A166D4">
              <w:rPr>
                <w:rFonts w:ascii="Times New Roman" w:eastAsia="Times New Roman" w:hAnsi="Times New Roman" w:cs="Times New Roman"/>
                <w:b/>
                <w:bCs/>
                <w:color w:val="000000"/>
                <w:sz w:val="24"/>
                <w:szCs w:val="24"/>
              </w:rPr>
              <w:t>TOTALI</w:t>
            </w:r>
          </w:p>
        </w:tc>
        <w:tc>
          <w:tcPr>
            <w:tcW w:w="739" w:type="dxa"/>
            <w:tcBorders>
              <w:top w:val="single" w:sz="4" w:space="0" w:color="auto"/>
              <w:left w:val="single" w:sz="4" w:space="0" w:color="auto"/>
              <w:bottom w:val="single" w:sz="4" w:space="0" w:color="auto"/>
              <w:right w:val="single" w:sz="4" w:space="0" w:color="auto"/>
            </w:tcBorders>
            <w:noWrap/>
            <w:vAlign w:val="center"/>
          </w:tcPr>
          <w:p w14:paraId="61BBF95D" w14:textId="77777777"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p>
        </w:tc>
        <w:tc>
          <w:tcPr>
            <w:tcW w:w="791" w:type="dxa"/>
            <w:tcBorders>
              <w:top w:val="single" w:sz="4" w:space="0" w:color="auto"/>
              <w:left w:val="single" w:sz="4" w:space="0" w:color="auto"/>
              <w:bottom w:val="single" w:sz="4" w:space="0" w:color="auto"/>
              <w:right w:val="single" w:sz="4" w:space="0" w:color="auto"/>
            </w:tcBorders>
            <w:noWrap/>
            <w:vAlign w:val="center"/>
          </w:tcPr>
          <w:p w14:paraId="035A4CA4" w14:textId="0940F6D5" w:rsidR="006F193A" w:rsidRPr="00A166D4" w:rsidRDefault="007D435C" w:rsidP="00A166D4">
            <w:pPr>
              <w:suppressAutoHyphens w:val="0"/>
              <w:spacing w:before="0" w:after="0"/>
              <w:jc w:val="both"/>
              <w:rPr>
                <w:rFonts w:ascii="Times New Roman" w:eastAsia="Times New Roman" w:hAnsi="Times New Roman" w:cs="Times New Roman"/>
                <w:b/>
                <w:bCs/>
                <w:color w:val="000000"/>
                <w:sz w:val="24"/>
                <w:szCs w:val="24"/>
              </w:rPr>
            </w:pPr>
            <w:r w:rsidRPr="00A166D4">
              <w:rPr>
                <w:rFonts w:ascii="Times New Roman" w:eastAsia="Times New Roman" w:hAnsi="Times New Roman" w:cs="Times New Roman"/>
                <w:b/>
                <w:bCs/>
                <w:color w:val="000000"/>
                <w:sz w:val="24"/>
                <w:szCs w:val="24"/>
              </w:rPr>
              <w:t>ALL</w:t>
            </w:r>
          </w:p>
        </w:tc>
        <w:tc>
          <w:tcPr>
            <w:tcW w:w="1105" w:type="dxa"/>
            <w:tcBorders>
              <w:top w:val="single" w:sz="4" w:space="0" w:color="auto"/>
              <w:left w:val="single" w:sz="4" w:space="0" w:color="auto"/>
              <w:bottom w:val="single" w:sz="4" w:space="0" w:color="auto"/>
              <w:right w:val="single" w:sz="4" w:space="0" w:color="auto"/>
            </w:tcBorders>
            <w:vAlign w:val="center"/>
          </w:tcPr>
          <w:p w14:paraId="3A3AD99D" w14:textId="673E87F5"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hAnsi="Times New Roman" w:cs="Times New Roman"/>
                <w:b/>
                <w:bCs/>
                <w:color w:val="000000"/>
                <w:sz w:val="24"/>
                <w:szCs w:val="24"/>
              </w:rPr>
              <w:t>26,932,778,875</w:t>
            </w:r>
          </w:p>
        </w:tc>
        <w:tc>
          <w:tcPr>
            <w:tcW w:w="1148" w:type="dxa"/>
            <w:tcBorders>
              <w:top w:val="single" w:sz="4" w:space="0" w:color="auto"/>
              <w:left w:val="single" w:sz="4" w:space="0" w:color="auto"/>
              <w:bottom w:val="single" w:sz="4" w:space="0" w:color="auto"/>
              <w:right w:val="single" w:sz="4" w:space="0" w:color="auto"/>
            </w:tcBorders>
            <w:noWrap/>
            <w:vAlign w:val="center"/>
          </w:tcPr>
          <w:p w14:paraId="7EBB320D" w14:textId="4A7F7D12"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hAnsi="Times New Roman" w:cs="Times New Roman"/>
                <w:b/>
                <w:bCs/>
                <w:color w:val="000000"/>
                <w:sz w:val="24"/>
                <w:szCs w:val="24"/>
              </w:rPr>
              <w:t>24,163,025,000</w:t>
            </w:r>
          </w:p>
        </w:tc>
        <w:tc>
          <w:tcPr>
            <w:tcW w:w="1170" w:type="dxa"/>
            <w:tcBorders>
              <w:top w:val="single" w:sz="4" w:space="0" w:color="auto"/>
              <w:left w:val="single" w:sz="4" w:space="0" w:color="auto"/>
              <w:bottom w:val="single" w:sz="4" w:space="0" w:color="auto"/>
              <w:right w:val="single" w:sz="4" w:space="0" w:color="auto"/>
            </w:tcBorders>
            <w:noWrap/>
            <w:vAlign w:val="center"/>
          </w:tcPr>
          <w:p w14:paraId="6E7C0AA4" w14:textId="20780A11"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hAnsi="Times New Roman" w:cs="Times New Roman"/>
                <w:b/>
                <w:bCs/>
                <w:color w:val="000000"/>
                <w:sz w:val="24"/>
                <w:szCs w:val="24"/>
              </w:rPr>
              <w:t>25,830,980,000</w:t>
            </w:r>
          </w:p>
        </w:tc>
        <w:tc>
          <w:tcPr>
            <w:tcW w:w="1227" w:type="dxa"/>
            <w:tcBorders>
              <w:top w:val="single" w:sz="4" w:space="0" w:color="auto"/>
              <w:left w:val="single" w:sz="4" w:space="0" w:color="auto"/>
              <w:bottom w:val="single" w:sz="4" w:space="0" w:color="auto"/>
              <w:right w:val="single" w:sz="4" w:space="0" w:color="auto"/>
            </w:tcBorders>
            <w:noWrap/>
            <w:vAlign w:val="center"/>
          </w:tcPr>
          <w:p w14:paraId="27B12167" w14:textId="479D0A7A"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hAnsi="Times New Roman" w:cs="Times New Roman"/>
                <w:b/>
                <w:bCs/>
                <w:color w:val="000000"/>
                <w:sz w:val="24"/>
                <w:szCs w:val="24"/>
              </w:rPr>
              <w:t>25,621,823,264</w:t>
            </w:r>
          </w:p>
        </w:tc>
        <w:tc>
          <w:tcPr>
            <w:tcW w:w="933" w:type="dxa"/>
            <w:tcBorders>
              <w:top w:val="single" w:sz="4" w:space="0" w:color="auto"/>
              <w:left w:val="single" w:sz="4" w:space="0" w:color="auto"/>
              <w:bottom w:val="single" w:sz="4" w:space="0" w:color="auto"/>
              <w:right w:val="single" w:sz="4" w:space="0" w:color="auto"/>
            </w:tcBorders>
            <w:noWrap/>
            <w:vAlign w:val="center"/>
          </w:tcPr>
          <w:p w14:paraId="515B2E94" w14:textId="6EA7C2CF"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hAnsi="Times New Roman" w:cs="Times New Roman"/>
                <w:b/>
                <w:bCs/>
                <w:color w:val="000000"/>
                <w:sz w:val="24"/>
                <w:szCs w:val="24"/>
              </w:rPr>
              <w:t>209,156,736</w:t>
            </w:r>
          </w:p>
        </w:tc>
        <w:tc>
          <w:tcPr>
            <w:tcW w:w="720" w:type="dxa"/>
            <w:tcBorders>
              <w:top w:val="single" w:sz="4" w:space="0" w:color="auto"/>
              <w:left w:val="single" w:sz="4" w:space="0" w:color="auto"/>
              <w:bottom w:val="single" w:sz="4" w:space="0" w:color="auto"/>
              <w:right w:val="single" w:sz="4" w:space="0" w:color="auto"/>
            </w:tcBorders>
            <w:noWrap/>
            <w:vAlign w:val="center"/>
          </w:tcPr>
          <w:p w14:paraId="3216CC84" w14:textId="09298DF5" w:rsidR="006F193A" w:rsidRPr="00A166D4" w:rsidRDefault="006F193A" w:rsidP="00A166D4">
            <w:pPr>
              <w:suppressAutoHyphens w:val="0"/>
              <w:spacing w:before="0" w:after="0"/>
              <w:jc w:val="both"/>
              <w:rPr>
                <w:rFonts w:ascii="Times New Roman" w:eastAsia="Times New Roman" w:hAnsi="Times New Roman" w:cs="Times New Roman"/>
                <w:color w:val="000000"/>
                <w:sz w:val="24"/>
                <w:szCs w:val="24"/>
              </w:rPr>
            </w:pPr>
            <w:r w:rsidRPr="00A166D4">
              <w:rPr>
                <w:rFonts w:ascii="Times New Roman" w:hAnsi="Times New Roman" w:cs="Times New Roman"/>
                <w:b/>
                <w:bCs/>
                <w:color w:val="000000"/>
                <w:sz w:val="24"/>
                <w:szCs w:val="24"/>
              </w:rPr>
              <w:t>9</w:t>
            </w:r>
            <w:r w:rsidR="007B4850" w:rsidRPr="00A166D4">
              <w:rPr>
                <w:rFonts w:ascii="Times New Roman" w:hAnsi="Times New Roman" w:cs="Times New Roman"/>
                <w:b/>
                <w:bCs/>
                <w:color w:val="000000"/>
                <w:sz w:val="24"/>
                <w:szCs w:val="24"/>
              </w:rPr>
              <w:t>9</w:t>
            </w:r>
          </w:p>
        </w:tc>
      </w:tr>
    </w:tbl>
    <w:p w14:paraId="78133FC5" w14:textId="5DA20230" w:rsidR="005F2AC9" w:rsidRPr="00A166D4" w:rsidRDefault="007D435C" w:rsidP="00A166D4">
      <w:pPr>
        <w:pStyle w:val="NormalWeb"/>
        <w:spacing w:before="280" w:after="280" w:line="276" w:lineRule="auto"/>
        <w:jc w:val="both"/>
        <w:rPr>
          <w:rFonts w:cs="Times New Roman"/>
          <w:color w:val="000000" w:themeColor="text1"/>
          <w:lang w:val="it-IT"/>
        </w:rPr>
      </w:pPr>
      <w:r w:rsidRPr="00A166D4">
        <w:rPr>
          <w:rFonts w:cs="Times New Roman"/>
          <w:color w:val="000000" w:themeColor="text1"/>
          <w:lang w:val="it-IT"/>
        </w:rPr>
        <w:t>In total, the budget planned for the "Social Care" budget programme, including capital expenditures for 2025, was in the amount of 25,971,378,000 ALL and the actual programme expenditures are in the amount of 25,723,328,869 ALL (realised at a rate of 99%).</w:t>
      </w:r>
    </w:p>
    <w:sectPr w:rsidR="005F2AC9" w:rsidRPr="00A166D4">
      <w:headerReference w:type="default" r:id="rId19"/>
      <w:footerReference w:type="even" r:id="rId20"/>
      <w:footerReference w:type="default" r:id="rId21"/>
      <w:footerReference w:type="first" r:id="rId22"/>
      <w:pgSz w:w="12240" w:h="15840"/>
      <w:pgMar w:top="1440" w:right="1530" w:bottom="1440" w:left="1440" w:header="720" w:footer="720" w:gutter="0"/>
      <w:cols w:space="720"/>
      <w:formProt w:val="0"/>
      <w:docGrid w:linePitch="312"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FEEC5" w14:textId="77777777" w:rsidR="00320C75" w:rsidRDefault="00320C75">
      <w:pPr>
        <w:spacing w:before="0" w:after="0" w:line="240" w:lineRule="auto"/>
      </w:pPr>
      <w:r>
        <w:separator/>
      </w:r>
    </w:p>
  </w:endnote>
  <w:endnote w:type="continuationSeparator" w:id="0">
    <w:p w14:paraId="358AA71F" w14:textId="77777777" w:rsidR="00320C75" w:rsidRDefault="00320C7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MS PMincho">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7424287"/>
      <w:docPartObj>
        <w:docPartGallery w:val="Page Numbers (Bottom of Page)"/>
        <w:docPartUnique/>
      </w:docPartObj>
    </w:sdtPr>
    <w:sdtEndPr/>
    <w:sdtContent>
      <w:p w14:paraId="3374BDF8" w14:textId="77777777" w:rsidR="00AC7D34" w:rsidRDefault="00AC7D34">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sdtContent>
  </w:sdt>
  <w:p w14:paraId="20A8AAC3" w14:textId="77777777" w:rsidR="00AC7D34" w:rsidRDefault="00AC7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542046"/>
      <w:docPartObj>
        <w:docPartGallery w:val="Page Numbers (Bottom of Page)"/>
        <w:docPartUnique/>
      </w:docPartObj>
    </w:sdtPr>
    <w:sdtEndPr/>
    <w:sdtContent>
      <w:p w14:paraId="3547C8B3" w14:textId="1874A2A5" w:rsidR="00AC7D34" w:rsidRDefault="00AC7D34">
        <w:pPr>
          <w:pStyle w:val="Footer"/>
          <w:jc w:val="right"/>
        </w:pPr>
        <w:r>
          <w:fldChar w:fldCharType="begin"/>
        </w:r>
        <w:r>
          <w:instrText xml:space="preserve"> PAGE </w:instrText>
        </w:r>
        <w:r>
          <w:fldChar w:fldCharType="separate"/>
        </w:r>
        <w:r w:rsidR="00DC6D00">
          <w:rPr>
            <w:noProof/>
          </w:rPr>
          <w:t>1</w:t>
        </w:r>
        <w:r>
          <w:fldChar w:fldCharType="end"/>
        </w:r>
      </w:p>
    </w:sdtContent>
  </w:sdt>
  <w:p w14:paraId="1DEB3E65" w14:textId="77777777" w:rsidR="00AC7D34" w:rsidRDefault="00AC7D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762902"/>
      <w:docPartObj>
        <w:docPartGallery w:val="Page Numbers (Bottom of Page)"/>
        <w:docPartUnique/>
      </w:docPartObj>
    </w:sdtPr>
    <w:sdtEndPr/>
    <w:sdtContent>
      <w:p w14:paraId="4761B57E" w14:textId="77777777" w:rsidR="00AC7D34" w:rsidRDefault="00AC7D34">
        <w:pPr>
          <w:pStyle w:val="Footer"/>
          <w:jc w:val="right"/>
        </w:pPr>
        <w:r>
          <w:fldChar w:fldCharType="begin"/>
        </w:r>
        <w:r>
          <w:instrText xml:space="preserve"> PAGE </w:instrText>
        </w:r>
        <w:r>
          <w:fldChar w:fldCharType="separate"/>
        </w:r>
        <w:r>
          <w:t>14</w:t>
        </w:r>
        <w:r>
          <w:fldChar w:fldCharType="end"/>
        </w:r>
      </w:p>
    </w:sdtContent>
  </w:sdt>
  <w:p w14:paraId="0A7C83E1" w14:textId="77777777" w:rsidR="00AC7D34" w:rsidRDefault="00AC7D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2742A" w14:textId="77777777" w:rsidR="00AC7D34" w:rsidRDefault="00AC7D3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3573704"/>
      <w:docPartObj>
        <w:docPartGallery w:val="Page Numbers (Bottom of Page)"/>
        <w:docPartUnique/>
      </w:docPartObj>
    </w:sdtPr>
    <w:sdtEndPr/>
    <w:sdtContent>
      <w:p w14:paraId="2E641A15" w14:textId="77777777" w:rsidR="00AC7D34" w:rsidRDefault="00AC7D34">
        <w:pPr>
          <w:pStyle w:val="Footer"/>
          <w:jc w:val="right"/>
        </w:pPr>
        <w:r>
          <w:fldChar w:fldCharType="begin"/>
        </w:r>
        <w:r>
          <w:instrText xml:space="preserve"> PAGE </w:instrText>
        </w:r>
        <w:r>
          <w:fldChar w:fldCharType="separate"/>
        </w:r>
        <w:r w:rsidR="00A44C0A">
          <w:rPr>
            <w:noProof/>
          </w:rPr>
          <w:t>38</w:t>
        </w:r>
        <w:r>
          <w:fldChar w:fldCharType="end"/>
        </w:r>
      </w:p>
    </w:sdtContent>
  </w:sdt>
  <w:p w14:paraId="51495FDC" w14:textId="77777777" w:rsidR="00AC7D34" w:rsidRDefault="00AC7D3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182925"/>
      <w:docPartObj>
        <w:docPartGallery w:val="Page Numbers (Bottom of Page)"/>
        <w:docPartUnique/>
      </w:docPartObj>
    </w:sdtPr>
    <w:sdtEndPr/>
    <w:sdtContent>
      <w:p w14:paraId="272907CA" w14:textId="77777777" w:rsidR="00AC7D34" w:rsidRDefault="00AC7D34">
        <w:pPr>
          <w:pStyle w:val="Footer"/>
          <w:jc w:val="right"/>
        </w:pPr>
        <w:r>
          <w:fldChar w:fldCharType="begin"/>
        </w:r>
        <w:r>
          <w:instrText xml:space="preserve"> PAGE </w:instrText>
        </w:r>
        <w:r>
          <w:fldChar w:fldCharType="separate"/>
        </w:r>
        <w:r>
          <w:t>68</w:t>
        </w:r>
        <w:r>
          <w:fldChar w:fldCharType="end"/>
        </w:r>
      </w:p>
    </w:sdtContent>
  </w:sdt>
  <w:p w14:paraId="6C1C934B" w14:textId="77777777" w:rsidR="00AC7D34" w:rsidRDefault="00AC7D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04A35" w14:textId="77777777" w:rsidR="00320C75" w:rsidRDefault="00320C75">
      <w:r>
        <w:separator/>
      </w:r>
    </w:p>
  </w:footnote>
  <w:footnote w:type="continuationSeparator" w:id="0">
    <w:p w14:paraId="662089BE" w14:textId="77777777" w:rsidR="00320C75" w:rsidRDefault="00320C75">
      <w:r>
        <w:continuationSeparator/>
      </w:r>
    </w:p>
  </w:footnote>
  <w:footnote w:id="1">
    <w:p w14:paraId="71B3C5E7" w14:textId="6DCC1A54" w:rsidR="00A166D4" w:rsidRPr="00A166D4" w:rsidRDefault="00A166D4">
      <w:pPr>
        <w:pStyle w:val="FootnoteText"/>
      </w:pPr>
      <w:r>
        <w:rPr>
          <w:rStyle w:val="FootnoteReference"/>
        </w:rPr>
        <w:footnoteRef/>
      </w:r>
      <w:r>
        <w:t xml:space="preserve"> </w:t>
      </w:r>
      <w:r w:rsidRPr="00A166D4">
        <w:t>DCM no. 80, dated 22.02.2023 "On the approval of the National Strategy for Development and Integration 2022–2023."</w:t>
      </w:r>
    </w:p>
  </w:footnote>
  <w:footnote w:id="2">
    <w:p w14:paraId="7703860A" w14:textId="02323CD2" w:rsidR="00A166D4" w:rsidRPr="00A166D4" w:rsidRDefault="00A166D4">
      <w:pPr>
        <w:pStyle w:val="FootnoteText"/>
      </w:pPr>
      <w:r>
        <w:rPr>
          <w:rStyle w:val="FootnoteReference"/>
        </w:rPr>
        <w:footnoteRef/>
      </w:r>
      <w:r>
        <w:t xml:space="preserve"> </w:t>
      </w:r>
      <w:r w:rsidRPr="00A166D4">
        <w:t>DCM no. 91, dated 9.02.2022 "On the approval of the National Plan for European Integration 2022–2024"</w:t>
      </w:r>
      <w:r>
        <w:t xml:space="preserve"> </w:t>
      </w:r>
      <w:hyperlink r:id="rId1" w:history="1">
        <w:r w:rsidRPr="004401A5">
          <w:rPr>
            <w:rStyle w:val="Hyperlink"/>
          </w:rPr>
          <w:t>https://qbz.gov.al/eli/vendim/2022/02/09/91</w:t>
        </w:r>
      </w:hyperlink>
      <w:r>
        <w:t xml:space="preserve">   </w:t>
      </w:r>
    </w:p>
  </w:footnote>
  <w:footnote w:id="3">
    <w:p w14:paraId="4D9B6264" w14:textId="4CCBFDCA" w:rsidR="00A166D4" w:rsidRPr="00A166D4" w:rsidRDefault="00A166D4">
      <w:pPr>
        <w:pStyle w:val="FootnoteText"/>
      </w:pPr>
      <w:r>
        <w:rPr>
          <w:rStyle w:val="FootnoteReference"/>
        </w:rPr>
        <w:footnoteRef/>
      </w:r>
      <w:r>
        <w:t xml:space="preserve"> </w:t>
      </w:r>
      <w:hyperlink r:id="rId2" w:history="1">
        <w:r w:rsidRPr="004401A5">
          <w:rPr>
            <w:rStyle w:val="Hyperlink"/>
          </w:rPr>
          <w:t>https://shendetesia.gov.al/sp-content/uploads/2021/07/Strategjia-Kombetare-per-Barazine-Gjinore-2021-2030.docx</w:t>
        </w:r>
      </w:hyperlink>
      <w:r>
        <w:t xml:space="preserve"> </w:t>
      </w:r>
    </w:p>
  </w:footnote>
  <w:footnote w:id="4">
    <w:p w14:paraId="657F49C8" w14:textId="46D51305" w:rsidR="00A166D4" w:rsidRPr="00A166D4" w:rsidRDefault="00A166D4">
      <w:pPr>
        <w:pStyle w:val="FootnoteText"/>
      </w:pPr>
      <w:r>
        <w:rPr>
          <w:rStyle w:val="FootnoteReference"/>
        </w:rPr>
        <w:footnoteRef/>
      </w:r>
      <w:r>
        <w:t xml:space="preserve"> </w:t>
      </w:r>
      <w:hyperlink r:id="rId3" w:history="1">
        <w:r w:rsidRPr="004401A5">
          <w:rPr>
            <w:rStyle w:val="Hyperlink"/>
          </w:rPr>
          <w:t>https://konsultimipublik.gov.al/documents/RENJK_567_SKNDQV-2023-2030.pdf</w:t>
        </w:r>
      </w:hyperlink>
      <w:r>
        <w:t xml:space="preserve"> </w:t>
      </w:r>
    </w:p>
  </w:footnote>
  <w:footnote w:id="5">
    <w:p w14:paraId="29A7D1EF" w14:textId="3D7285FC" w:rsidR="00A166D4" w:rsidRPr="00A166D4" w:rsidRDefault="00A166D4">
      <w:pPr>
        <w:pStyle w:val="FootnoteText"/>
      </w:pPr>
      <w:r>
        <w:rPr>
          <w:rStyle w:val="FootnoteReference"/>
        </w:rPr>
        <w:footnoteRef/>
      </w:r>
      <w:r>
        <w:t xml:space="preserve"> </w:t>
      </w:r>
      <w:r w:rsidRPr="00A166D4">
        <w:t xml:space="preserve">DCM No. 276, dated 12.05.2021 "On the approval of the National Plan for Persons with Disabilities 2021–2025" </w:t>
      </w:r>
      <w:hyperlink r:id="rId4" w:history="1">
        <w:r w:rsidRPr="004401A5">
          <w:rPr>
            <w:rStyle w:val="Hyperlink"/>
          </w:rPr>
          <w:t>https://shendetesia.gov.al/ëp-content/uploads/2022/03/Plani-Kombetar-PAK-_2021-2025_AL.pdf</w:t>
        </w:r>
      </w:hyperlink>
      <w:r>
        <w:t xml:space="preserve"> </w:t>
      </w:r>
    </w:p>
  </w:footnote>
  <w:footnote w:id="6">
    <w:p w14:paraId="5B2838AB" w14:textId="58C0357F" w:rsidR="00A166D4" w:rsidRPr="00A166D4" w:rsidRDefault="00A166D4">
      <w:pPr>
        <w:pStyle w:val="FootnoteText"/>
      </w:pPr>
      <w:r>
        <w:rPr>
          <w:rStyle w:val="FootnoteReference"/>
        </w:rPr>
        <w:footnoteRef/>
      </w:r>
      <w:hyperlink r:id="rId5" w:history="1">
        <w:r w:rsidRPr="004401A5">
          <w:rPr>
            <w:rStyle w:val="Hyperlink"/>
          </w:rPr>
          <w:t>https://www.undp.org/sites/g/files/zskgke326/files/migration/al/46eb57a0095aac6d46fe42b6cfb302f66368453e0c284a07c0c7c9fd8d43760b.pdf</w:t>
        </w:r>
      </w:hyperlink>
      <w:r>
        <w:t xml:space="preserve"> </w:t>
      </w:r>
    </w:p>
  </w:footnote>
  <w:footnote w:id="7">
    <w:p w14:paraId="58FB7F82" w14:textId="6339A428" w:rsidR="00A166D4" w:rsidRPr="00A166D4" w:rsidRDefault="00A166D4">
      <w:pPr>
        <w:pStyle w:val="FootnoteText"/>
      </w:pPr>
      <w:r>
        <w:rPr>
          <w:rStyle w:val="FootnoteReference"/>
        </w:rPr>
        <w:footnoteRef/>
      </w:r>
      <w:r>
        <w:t xml:space="preserve"> </w:t>
      </w:r>
      <w:hyperlink r:id="rId6" w:history="1">
        <w:r w:rsidRPr="004401A5">
          <w:rPr>
            <w:rStyle w:val="Hyperlink"/>
          </w:rPr>
          <w:t>https://natlex.ilo.org/dyn/natlex2/natlex2/files/download/118177/ALB-118177.pdf</w:t>
        </w:r>
      </w:hyperlink>
      <w:r>
        <w:t xml:space="preserve"> </w:t>
      </w:r>
    </w:p>
  </w:footnote>
  <w:footnote w:id="8">
    <w:p w14:paraId="0B780659" w14:textId="75BFEF18" w:rsidR="00A166D4" w:rsidRPr="00A166D4" w:rsidRDefault="00A166D4">
      <w:pPr>
        <w:pStyle w:val="FootnoteText"/>
      </w:pPr>
      <w:r>
        <w:rPr>
          <w:rStyle w:val="FootnoteReference"/>
        </w:rPr>
        <w:footnoteRef/>
      </w:r>
      <w:r>
        <w:t xml:space="preserve"> </w:t>
      </w:r>
      <w:hyperlink r:id="rId7" w:history="1">
        <w:r w:rsidRPr="004401A5">
          <w:rPr>
            <w:rStyle w:val="Hyperlink"/>
          </w:rPr>
          <w:t>https://shendetesia.gov.al/ëp-content/uploads/2022/01/LGBTI-NAP-2021-2027-AL-final.pdf</w:t>
        </w:r>
      </w:hyperlink>
      <w:r>
        <w:t xml:space="preserve"> </w:t>
      </w:r>
    </w:p>
  </w:footnote>
  <w:footnote w:id="9">
    <w:p w14:paraId="4F413A10" w14:textId="7489A073" w:rsidR="00A166D4" w:rsidRPr="00A166D4" w:rsidRDefault="00A166D4">
      <w:pPr>
        <w:pStyle w:val="FootnoteText"/>
      </w:pPr>
      <w:r>
        <w:rPr>
          <w:rStyle w:val="FootnoteReference"/>
        </w:rPr>
        <w:footnoteRef/>
      </w:r>
      <w:r>
        <w:t xml:space="preserve"> </w:t>
      </w:r>
      <w:hyperlink r:id="rId8" w:history="1">
        <w:r w:rsidRPr="004401A5">
          <w:rPr>
            <w:rStyle w:val="Hyperlink"/>
          </w:rPr>
          <w:t>https://qbz.gov.al/previeë/f61689e7-a6b0-4e0a-95a1-ec652c465d3f/fz</w:t>
        </w:r>
      </w:hyperlink>
      <w:r>
        <w:t xml:space="preserve"> </w:t>
      </w:r>
    </w:p>
  </w:footnote>
  <w:footnote w:id="10">
    <w:p w14:paraId="0E11C82E" w14:textId="0359EDEB" w:rsidR="00A166D4" w:rsidRPr="00A166D4" w:rsidRDefault="00A166D4">
      <w:pPr>
        <w:pStyle w:val="FootnoteText"/>
      </w:pPr>
      <w:r>
        <w:rPr>
          <w:rStyle w:val="FootnoteReference"/>
        </w:rPr>
        <w:footnoteRef/>
      </w:r>
      <w:r>
        <w:t xml:space="preserve"> </w:t>
      </w:r>
      <w:hyperlink r:id="rId9" w:history="1">
        <w:r w:rsidRPr="004401A5">
          <w:rPr>
            <w:rStyle w:val="Hyperlink"/>
          </w:rPr>
          <w:t>https://www.konsultimipublik.gov.al/Konsultime/Detaje/561</w:t>
        </w:r>
      </w:hyperlink>
      <w:r>
        <w:t xml:space="preserve"> </w:t>
      </w:r>
    </w:p>
  </w:footnote>
  <w:footnote w:id="11">
    <w:p w14:paraId="1651FD4E" w14:textId="778487EB" w:rsidR="00A166D4" w:rsidRPr="00A166D4" w:rsidRDefault="00A166D4">
      <w:pPr>
        <w:pStyle w:val="FootnoteText"/>
      </w:pPr>
      <w:r>
        <w:rPr>
          <w:rStyle w:val="FootnoteReference"/>
        </w:rPr>
        <w:footnoteRef/>
      </w:r>
      <w:r>
        <w:t xml:space="preserve"> </w:t>
      </w:r>
      <w:r w:rsidRPr="00A166D4">
        <w:t>DCM no. 621, dated 22.10.2021 "On the approval of the National Strategy for Education 2021–2026 and its Action Plan for Implementation."</w:t>
      </w:r>
    </w:p>
  </w:footnote>
  <w:footnote w:id="12">
    <w:p w14:paraId="7885EFC6" w14:textId="67D9FFBB" w:rsidR="005D54F9" w:rsidRPr="005D54F9" w:rsidRDefault="005D54F9">
      <w:pPr>
        <w:pStyle w:val="FootnoteText"/>
      </w:pPr>
      <w:r>
        <w:rPr>
          <w:rStyle w:val="FootnoteReference"/>
        </w:rPr>
        <w:footnoteRef/>
      </w:r>
      <w:r>
        <w:t xml:space="preserve"> </w:t>
      </w:r>
      <w:r w:rsidRPr="005D54F9">
        <w:t>In this Strategy and its Action Plan, the terms 'minor' and 'child' are used as equivalent synonyms of each other and denote an individual who has not yet reached the age of 18.</w:t>
      </w:r>
    </w:p>
  </w:footnote>
  <w:footnote w:id="13">
    <w:p w14:paraId="11331EB8" w14:textId="48514BE5" w:rsidR="005D54F9" w:rsidRPr="005D54F9" w:rsidRDefault="005D54F9">
      <w:pPr>
        <w:pStyle w:val="FootnoteText"/>
      </w:pPr>
      <w:r>
        <w:rPr>
          <w:rStyle w:val="FootnoteReference"/>
        </w:rPr>
        <w:footnoteRef/>
      </w:r>
      <w:r>
        <w:t xml:space="preserve"> </w:t>
      </w:r>
      <w:r w:rsidRPr="005D54F9">
        <w:t>DCM no. 637/2021 "On the establishment and functioning of the Agency for Quality Assurance in Health and Social Care."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E7BF2" w14:textId="77777777" w:rsidR="00AC7D34" w:rsidRDefault="00AC7D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14AE5"/>
    <w:multiLevelType w:val="multilevel"/>
    <w:tmpl w:val="87DA3698"/>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25550"/>
    <w:multiLevelType w:val="multilevel"/>
    <w:tmpl w:val="31362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B27946"/>
    <w:multiLevelType w:val="multilevel"/>
    <w:tmpl w:val="9D60058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083B61E0"/>
    <w:multiLevelType w:val="multilevel"/>
    <w:tmpl w:val="7F6CB32C"/>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C5C3D"/>
    <w:multiLevelType w:val="multilevel"/>
    <w:tmpl w:val="9326C51E"/>
    <w:lvl w:ilvl="0">
      <w:start w:val="1"/>
      <w:numFmt w:val="bullet"/>
      <w:lvlText w:val=""/>
      <w:lvlJc w:val="left"/>
      <w:pPr>
        <w:tabs>
          <w:tab w:val="num" w:pos="0"/>
        </w:tabs>
        <w:ind w:left="540" w:hanging="360"/>
      </w:pPr>
      <w:rPr>
        <w:rFonts w:ascii="Symbol" w:hAnsi="Symbol" w:cs="Symbol" w:hint="default"/>
      </w:rPr>
    </w:lvl>
    <w:lvl w:ilvl="1">
      <w:start w:val="1"/>
      <w:numFmt w:val="bullet"/>
      <w:lvlText w:val="o"/>
      <w:lvlJc w:val="left"/>
      <w:pPr>
        <w:tabs>
          <w:tab w:val="num" w:pos="0"/>
        </w:tabs>
        <w:ind w:left="1260" w:hanging="360"/>
      </w:pPr>
      <w:rPr>
        <w:rFonts w:ascii="Courier New" w:hAnsi="Courier New" w:cs="Courier New" w:hint="default"/>
      </w:rPr>
    </w:lvl>
    <w:lvl w:ilvl="2">
      <w:start w:val="1"/>
      <w:numFmt w:val="bullet"/>
      <w:lvlText w:val=""/>
      <w:lvlJc w:val="left"/>
      <w:pPr>
        <w:tabs>
          <w:tab w:val="num" w:pos="0"/>
        </w:tabs>
        <w:ind w:left="1980" w:hanging="360"/>
      </w:pPr>
      <w:rPr>
        <w:rFonts w:ascii="Wingdings" w:hAnsi="Wingdings" w:cs="Wingdings" w:hint="default"/>
      </w:rPr>
    </w:lvl>
    <w:lvl w:ilvl="3">
      <w:start w:val="1"/>
      <w:numFmt w:val="bullet"/>
      <w:lvlText w:val=""/>
      <w:lvlJc w:val="left"/>
      <w:pPr>
        <w:tabs>
          <w:tab w:val="num" w:pos="0"/>
        </w:tabs>
        <w:ind w:left="2700" w:hanging="360"/>
      </w:pPr>
      <w:rPr>
        <w:rFonts w:ascii="Symbol" w:hAnsi="Symbol" w:cs="Symbol" w:hint="default"/>
      </w:rPr>
    </w:lvl>
    <w:lvl w:ilvl="4">
      <w:start w:val="1"/>
      <w:numFmt w:val="bullet"/>
      <w:lvlText w:val="o"/>
      <w:lvlJc w:val="left"/>
      <w:pPr>
        <w:tabs>
          <w:tab w:val="num" w:pos="0"/>
        </w:tabs>
        <w:ind w:left="3420" w:hanging="360"/>
      </w:pPr>
      <w:rPr>
        <w:rFonts w:ascii="Courier New" w:hAnsi="Courier New" w:cs="Courier New" w:hint="default"/>
      </w:rPr>
    </w:lvl>
    <w:lvl w:ilvl="5">
      <w:start w:val="1"/>
      <w:numFmt w:val="bullet"/>
      <w:lvlText w:val=""/>
      <w:lvlJc w:val="left"/>
      <w:pPr>
        <w:tabs>
          <w:tab w:val="num" w:pos="0"/>
        </w:tabs>
        <w:ind w:left="4140" w:hanging="360"/>
      </w:pPr>
      <w:rPr>
        <w:rFonts w:ascii="Wingdings" w:hAnsi="Wingdings" w:cs="Wingdings" w:hint="default"/>
      </w:rPr>
    </w:lvl>
    <w:lvl w:ilvl="6">
      <w:start w:val="1"/>
      <w:numFmt w:val="bullet"/>
      <w:lvlText w:val=""/>
      <w:lvlJc w:val="left"/>
      <w:pPr>
        <w:tabs>
          <w:tab w:val="num" w:pos="0"/>
        </w:tabs>
        <w:ind w:left="4860" w:hanging="360"/>
      </w:pPr>
      <w:rPr>
        <w:rFonts w:ascii="Symbol" w:hAnsi="Symbol" w:cs="Symbol" w:hint="default"/>
      </w:rPr>
    </w:lvl>
    <w:lvl w:ilvl="7">
      <w:start w:val="1"/>
      <w:numFmt w:val="bullet"/>
      <w:lvlText w:val="o"/>
      <w:lvlJc w:val="left"/>
      <w:pPr>
        <w:tabs>
          <w:tab w:val="num" w:pos="0"/>
        </w:tabs>
        <w:ind w:left="5580" w:hanging="360"/>
      </w:pPr>
      <w:rPr>
        <w:rFonts w:ascii="Courier New" w:hAnsi="Courier New" w:cs="Courier New" w:hint="default"/>
      </w:rPr>
    </w:lvl>
    <w:lvl w:ilvl="8">
      <w:start w:val="1"/>
      <w:numFmt w:val="bullet"/>
      <w:lvlText w:val=""/>
      <w:lvlJc w:val="left"/>
      <w:pPr>
        <w:tabs>
          <w:tab w:val="num" w:pos="0"/>
        </w:tabs>
        <w:ind w:left="6300" w:hanging="360"/>
      </w:pPr>
      <w:rPr>
        <w:rFonts w:ascii="Wingdings" w:hAnsi="Wingdings" w:cs="Wingdings" w:hint="default"/>
      </w:rPr>
    </w:lvl>
  </w:abstractNum>
  <w:abstractNum w:abstractNumId="5" w15:restartNumberingAfterBreak="0">
    <w:nsid w:val="12DA7166"/>
    <w:multiLevelType w:val="multilevel"/>
    <w:tmpl w:val="A0E4EECE"/>
    <w:lvl w:ilvl="0">
      <w:numFmt w:val="bullet"/>
      <w:lvlText w:val="•"/>
      <w:lvlJc w:val="left"/>
      <w:pPr>
        <w:ind w:left="720" w:hanging="360"/>
      </w:pPr>
      <w:rPr>
        <w:rFonts w:hint="default"/>
        <w:sz w:val="20"/>
        <w:lang w:val="sq-AL"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B624B"/>
    <w:multiLevelType w:val="multilevel"/>
    <w:tmpl w:val="20F4AE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D20902"/>
    <w:multiLevelType w:val="multilevel"/>
    <w:tmpl w:val="9F2E4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75E5A"/>
    <w:multiLevelType w:val="multilevel"/>
    <w:tmpl w:val="B95ED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377906"/>
    <w:multiLevelType w:val="multilevel"/>
    <w:tmpl w:val="7D964CCE"/>
    <w:lvl w:ilvl="0">
      <w:start w:val="1"/>
      <w:numFmt w:val="decimal"/>
      <w:pStyle w:val="Normal0"/>
      <w:lvlText w:val="%1."/>
      <w:lvlJc w:val="left"/>
      <w:pPr>
        <w:tabs>
          <w:tab w:val="num" w:pos="0"/>
        </w:tabs>
        <w:ind w:left="360" w:hanging="360"/>
      </w:pPr>
    </w:lvl>
    <w:lvl w:ilvl="1">
      <w:start w:val="1"/>
      <w:numFmt w:val="lowerLetter"/>
      <w:lvlText w:val="%2."/>
      <w:lvlJc w:val="left"/>
      <w:pPr>
        <w:tabs>
          <w:tab w:val="num" w:pos="0"/>
        </w:tabs>
        <w:ind w:left="2074" w:hanging="360"/>
      </w:pPr>
    </w:lvl>
    <w:lvl w:ilvl="2">
      <w:start w:val="1"/>
      <w:numFmt w:val="lowerRoman"/>
      <w:lvlText w:val="%3."/>
      <w:lvlJc w:val="right"/>
      <w:pPr>
        <w:tabs>
          <w:tab w:val="num" w:pos="0"/>
        </w:tabs>
        <w:ind w:left="2794" w:hanging="180"/>
      </w:pPr>
    </w:lvl>
    <w:lvl w:ilvl="3">
      <w:start w:val="1"/>
      <w:numFmt w:val="decimal"/>
      <w:lvlText w:val="%4."/>
      <w:lvlJc w:val="left"/>
      <w:pPr>
        <w:tabs>
          <w:tab w:val="num" w:pos="0"/>
        </w:tabs>
        <w:ind w:left="3514" w:hanging="360"/>
      </w:pPr>
    </w:lvl>
    <w:lvl w:ilvl="4">
      <w:start w:val="1"/>
      <w:numFmt w:val="lowerLetter"/>
      <w:lvlText w:val="%5."/>
      <w:lvlJc w:val="left"/>
      <w:pPr>
        <w:tabs>
          <w:tab w:val="num" w:pos="0"/>
        </w:tabs>
        <w:ind w:left="4234" w:hanging="360"/>
      </w:pPr>
    </w:lvl>
    <w:lvl w:ilvl="5">
      <w:start w:val="1"/>
      <w:numFmt w:val="lowerRoman"/>
      <w:lvlText w:val="%6."/>
      <w:lvlJc w:val="right"/>
      <w:pPr>
        <w:tabs>
          <w:tab w:val="num" w:pos="0"/>
        </w:tabs>
        <w:ind w:left="4954" w:hanging="180"/>
      </w:pPr>
    </w:lvl>
    <w:lvl w:ilvl="6">
      <w:start w:val="1"/>
      <w:numFmt w:val="decimal"/>
      <w:lvlText w:val="%7."/>
      <w:lvlJc w:val="left"/>
      <w:pPr>
        <w:tabs>
          <w:tab w:val="num" w:pos="0"/>
        </w:tabs>
        <w:ind w:left="5674" w:hanging="360"/>
      </w:pPr>
    </w:lvl>
    <w:lvl w:ilvl="7">
      <w:start w:val="1"/>
      <w:numFmt w:val="lowerLetter"/>
      <w:lvlText w:val="%8."/>
      <w:lvlJc w:val="left"/>
      <w:pPr>
        <w:tabs>
          <w:tab w:val="num" w:pos="0"/>
        </w:tabs>
        <w:ind w:left="6394" w:hanging="360"/>
      </w:pPr>
    </w:lvl>
    <w:lvl w:ilvl="8">
      <w:start w:val="1"/>
      <w:numFmt w:val="lowerRoman"/>
      <w:lvlText w:val="%9."/>
      <w:lvlJc w:val="right"/>
      <w:pPr>
        <w:tabs>
          <w:tab w:val="num" w:pos="0"/>
        </w:tabs>
        <w:ind w:left="7114" w:hanging="180"/>
      </w:pPr>
    </w:lvl>
  </w:abstractNum>
  <w:abstractNum w:abstractNumId="10" w15:restartNumberingAfterBreak="0">
    <w:nsid w:val="2566692C"/>
    <w:multiLevelType w:val="multilevel"/>
    <w:tmpl w:val="01546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3E0F59"/>
    <w:multiLevelType w:val="multilevel"/>
    <w:tmpl w:val="9E7A3904"/>
    <w:lvl w:ilvl="0">
      <w:start w:val="3"/>
      <w:numFmt w:val="decimal"/>
      <w:lvlText w:val="%1."/>
      <w:lvlJc w:val="left"/>
      <w:pPr>
        <w:tabs>
          <w:tab w:val="num" w:pos="720"/>
        </w:tabs>
        <w:ind w:left="720" w:hanging="360"/>
      </w:pPr>
    </w:lvl>
    <w:lvl w:ilvl="1">
      <w:start w:val="87"/>
      <w:numFmt w:val="bullet"/>
      <w:lvlText w:val="-"/>
      <w:lvlJc w:val="left"/>
      <w:pPr>
        <w:ind w:left="36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50663E"/>
    <w:multiLevelType w:val="multilevel"/>
    <w:tmpl w:val="634E3A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3822F87"/>
    <w:multiLevelType w:val="multilevel"/>
    <w:tmpl w:val="FFC8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121E22"/>
    <w:multiLevelType w:val="multilevel"/>
    <w:tmpl w:val="6E3A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9238C0"/>
    <w:multiLevelType w:val="multilevel"/>
    <w:tmpl w:val="DED8A8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43C21F68"/>
    <w:multiLevelType w:val="multilevel"/>
    <w:tmpl w:val="459CEEC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4A403A5B"/>
    <w:multiLevelType w:val="multilevel"/>
    <w:tmpl w:val="0318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F77483"/>
    <w:multiLevelType w:val="hybridMultilevel"/>
    <w:tmpl w:val="406AA57A"/>
    <w:lvl w:ilvl="0" w:tplc="EBE408D6">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037E97"/>
    <w:multiLevelType w:val="multilevel"/>
    <w:tmpl w:val="6442A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7948D4"/>
    <w:multiLevelType w:val="multilevel"/>
    <w:tmpl w:val="84321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9C4CA1"/>
    <w:multiLevelType w:val="multilevel"/>
    <w:tmpl w:val="56C05936"/>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A06675"/>
    <w:multiLevelType w:val="multilevel"/>
    <w:tmpl w:val="EAA2C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365BFB"/>
    <w:multiLevelType w:val="multilevel"/>
    <w:tmpl w:val="8092FE20"/>
    <w:lvl w:ilvl="0">
      <w:start w:val="1"/>
      <w:numFmt w:val="bullet"/>
      <w:lvlText w:val=""/>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D026E4"/>
    <w:multiLevelType w:val="multilevel"/>
    <w:tmpl w:val="512C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9461C7"/>
    <w:multiLevelType w:val="multilevel"/>
    <w:tmpl w:val="CA747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5"/>
  </w:num>
  <w:num w:numId="3">
    <w:abstractNumId w:val="16"/>
  </w:num>
  <w:num w:numId="4">
    <w:abstractNumId w:val="2"/>
  </w:num>
  <w:num w:numId="5">
    <w:abstractNumId w:val="9"/>
  </w:num>
  <w:num w:numId="6">
    <w:abstractNumId w:val="18"/>
  </w:num>
  <w:num w:numId="7">
    <w:abstractNumId w:val="24"/>
  </w:num>
  <w:num w:numId="8">
    <w:abstractNumId w:val="13"/>
  </w:num>
  <w:num w:numId="9">
    <w:abstractNumId w:val="21"/>
  </w:num>
  <w:num w:numId="10">
    <w:abstractNumId w:val="7"/>
  </w:num>
  <w:num w:numId="11">
    <w:abstractNumId w:val="25"/>
  </w:num>
  <w:num w:numId="12">
    <w:abstractNumId w:val="19"/>
  </w:num>
  <w:num w:numId="13">
    <w:abstractNumId w:val="8"/>
  </w:num>
  <w:num w:numId="14">
    <w:abstractNumId w:val="10"/>
  </w:num>
  <w:num w:numId="15">
    <w:abstractNumId w:val="1"/>
  </w:num>
  <w:num w:numId="16">
    <w:abstractNumId w:val="20"/>
  </w:num>
  <w:num w:numId="17">
    <w:abstractNumId w:val="17"/>
  </w:num>
  <w:num w:numId="18">
    <w:abstractNumId w:val="6"/>
  </w:num>
  <w:num w:numId="19">
    <w:abstractNumId w:val="11"/>
  </w:num>
  <w:num w:numId="20">
    <w:abstractNumId w:val="12"/>
  </w:num>
  <w:num w:numId="21">
    <w:abstractNumId w:val="22"/>
  </w:num>
  <w:num w:numId="22">
    <w:abstractNumId w:val="14"/>
  </w:num>
  <w:num w:numId="23">
    <w:abstractNumId w:val="0"/>
  </w:num>
  <w:num w:numId="24">
    <w:abstractNumId w:val="23"/>
  </w:num>
  <w:num w:numId="25">
    <w:abstractNumId w:val="5"/>
  </w:num>
  <w:num w:numId="26">
    <w:abstractNumId w:val="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C9"/>
    <w:rsid w:val="000139D0"/>
    <w:rsid w:val="000346C2"/>
    <w:rsid w:val="0005130C"/>
    <w:rsid w:val="00086B11"/>
    <w:rsid w:val="000A6B83"/>
    <w:rsid w:val="000B6E20"/>
    <w:rsid w:val="000D3687"/>
    <w:rsid w:val="000E3B53"/>
    <w:rsid w:val="00114871"/>
    <w:rsid w:val="001437FD"/>
    <w:rsid w:val="00153BEB"/>
    <w:rsid w:val="0016529D"/>
    <w:rsid w:val="00205E6E"/>
    <w:rsid w:val="002340F7"/>
    <w:rsid w:val="0026239B"/>
    <w:rsid w:val="002B2960"/>
    <w:rsid w:val="0030707F"/>
    <w:rsid w:val="00320C75"/>
    <w:rsid w:val="00322182"/>
    <w:rsid w:val="00352B61"/>
    <w:rsid w:val="00354CD9"/>
    <w:rsid w:val="00394B44"/>
    <w:rsid w:val="00395D48"/>
    <w:rsid w:val="003F2374"/>
    <w:rsid w:val="0042453A"/>
    <w:rsid w:val="00485482"/>
    <w:rsid w:val="004860B6"/>
    <w:rsid w:val="00491591"/>
    <w:rsid w:val="00497703"/>
    <w:rsid w:val="004C27B2"/>
    <w:rsid w:val="004D1CF8"/>
    <w:rsid w:val="004F2BA4"/>
    <w:rsid w:val="004F49DD"/>
    <w:rsid w:val="00536312"/>
    <w:rsid w:val="00561AD4"/>
    <w:rsid w:val="005D00D8"/>
    <w:rsid w:val="005D54F9"/>
    <w:rsid w:val="005F2AC9"/>
    <w:rsid w:val="006159C1"/>
    <w:rsid w:val="0066294B"/>
    <w:rsid w:val="00673E5A"/>
    <w:rsid w:val="006F193A"/>
    <w:rsid w:val="006F5716"/>
    <w:rsid w:val="0076344A"/>
    <w:rsid w:val="00765A96"/>
    <w:rsid w:val="007B4850"/>
    <w:rsid w:val="007B7441"/>
    <w:rsid w:val="007D435C"/>
    <w:rsid w:val="00845E90"/>
    <w:rsid w:val="0088709D"/>
    <w:rsid w:val="008A0177"/>
    <w:rsid w:val="008A023D"/>
    <w:rsid w:val="008C22B3"/>
    <w:rsid w:val="008E3291"/>
    <w:rsid w:val="00943EB7"/>
    <w:rsid w:val="00962E92"/>
    <w:rsid w:val="009D7A19"/>
    <w:rsid w:val="009F62DF"/>
    <w:rsid w:val="00A0168A"/>
    <w:rsid w:val="00A166D4"/>
    <w:rsid w:val="00A35A63"/>
    <w:rsid w:val="00A44C0A"/>
    <w:rsid w:val="00A50E95"/>
    <w:rsid w:val="00A52A15"/>
    <w:rsid w:val="00A64919"/>
    <w:rsid w:val="00AC7D34"/>
    <w:rsid w:val="00B45658"/>
    <w:rsid w:val="00B556B5"/>
    <w:rsid w:val="00B56839"/>
    <w:rsid w:val="00B84A02"/>
    <w:rsid w:val="00BA388C"/>
    <w:rsid w:val="00BA4B59"/>
    <w:rsid w:val="00C32943"/>
    <w:rsid w:val="00C3647C"/>
    <w:rsid w:val="00CB59F2"/>
    <w:rsid w:val="00CC10A0"/>
    <w:rsid w:val="00DC3F96"/>
    <w:rsid w:val="00DC6D00"/>
    <w:rsid w:val="00E23961"/>
    <w:rsid w:val="00E737AC"/>
    <w:rsid w:val="00E8759D"/>
    <w:rsid w:val="00E970AE"/>
    <w:rsid w:val="00F25F73"/>
    <w:rsid w:val="00F404F6"/>
    <w:rsid w:val="00F41361"/>
    <w:rsid w:val="00F82ABB"/>
    <w:rsid w:val="00FC789B"/>
    <w:rsid w:val="00FE3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8BDCF9"/>
  <w15:docId w15:val="{33703101-3078-4EB3-A3F0-89CEA41A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3EE"/>
    <w:pPr>
      <w:spacing w:before="100" w:after="200" w:line="276" w:lineRule="auto"/>
    </w:pPr>
  </w:style>
  <w:style w:type="paragraph" w:styleId="Heading1">
    <w:name w:val="heading 1"/>
    <w:basedOn w:val="Normal"/>
    <w:next w:val="Normal"/>
    <w:link w:val="Heading1Char"/>
    <w:uiPriority w:val="9"/>
    <w:qFormat/>
    <w:rsid w:val="00E3613E"/>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jc w:val="both"/>
      <w:outlineLvl w:val="0"/>
    </w:pPr>
    <w:rPr>
      <w:caps/>
      <w:color w:val="FFFFFF" w:themeColor="background1"/>
      <w:spacing w:val="15"/>
      <w:sz w:val="24"/>
      <w:szCs w:val="24"/>
      <w:lang w:val="pt-BR"/>
    </w:rPr>
  </w:style>
  <w:style w:type="paragraph" w:styleId="Heading2">
    <w:name w:val="heading 2"/>
    <w:basedOn w:val="Normal"/>
    <w:next w:val="Normal"/>
    <w:link w:val="Heading2Char"/>
    <w:uiPriority w:val="9"/>
    <w:unhideWhenUsed/>
    <w:qFormat/>
    <w:rsid w:val="006653EE"/>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6653EE"/>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6653EE"/>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6653EE"/>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6653EE"/>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6653EE"/>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6653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653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E3613E"/>
    <w:rPr>
      <w:caps/>
      <w:color w:val="FFFFFF" w:themeColor="background1"/>
      <w:spacing w:val="15"/>
      <w:sz w:val="24"/>
      <w:szCs w:val="24"/>
      <w:shd w:val="clear" w:color="auto" w:fill="F0A22E"/>
      <w:lang w:val="pt-BR"/>
    </w:rPr>
  </w:style>
  <w:style w:type="character" w:customStyle="1" w:styleId="Heading2Char">
    <w:name w:val="Heading 2 Char"/>
    <w:basedOn w:val="DefaultParagraphFont"/>
    <w:link w:val="Heading2"/>
    <w:uiPriority w:val="9"/>
    <w:qFormat/>
    <w:rsid w:val="006653EE"/>
    <w:rPr>
      <w:caps/>
      <w:spacing w:val="15"/>
      <w:shd w:val="clear" w:color="auto" w:fill="FCECD5"/>
    </w:rPr>
  </w:style>
  <w:style w:type="character" w:customStyle="1" w:styleId="Heading3Char">
    <w:name w:val="Heading 3 Char"/>
    <w:basedOn w:val="DefaultParagraphFont"/>
    <w:link w:val="Heading3"/>
    <w:uiPriority w:val="9"/>
    <w:qFormat/>
    <w:rsid w:val="006653EE"/>
    <w:rPr>
      <w:caps/>
      <w:color w:val="845209" w:themeColor="accent1" w:themeShade="7F"/>
      <w:spacing w:val="15"/>
    </w:rPr>
  </w:style>
  <w:style w:type="character" w:customStyle="1" w:styleId="Heading4Char">
    <w:name w:val="Heading 4 Char"/>
    <w:basedOn w:val="DefaultParagraphFont"/>
    <w:link w:val="Heading4"/>
    <w:uiPriority w:val="9"/>
    <w:semiHidden/>
    <w:qFormat/>
    <w:rsid w:val="006653EE"/>
    <w:rPr>
      <w:caps/>
      <w:color w:val="C77C0E" w:themeColor="accent1" w:themeShade="BF"/>
      <w:spacing w:val="10"/>
    </w:rPr>
  </w:style>
  <w:style w:type="character" w:customStyle="1" w:styleId="Heading5Char">
    <w:name w:val="Heading 5 Char"/>
    <w:basedOn w:val="DefaultParagraphFont"/>
    <w:link w:val="Heading5"/>
    <w:uiPriority w:val="9"/>
    <w:semiHidden/>
    <w:qFormat/>
    <w:rsid w:val="006653EE"/>
    <w:rPr>
      <w:caps/>
      <w:color w:val="C77C0E" w:themeColor="accent1" w:themeShade="BF"/>
      <w:spacing w:val="10"/>
    </w:rPr>
  </w:style>
  <w:style w:type="character" w:customStyle="1" w:styleId="Heading6Char">
    <w:name w:val="Heading 6 Char"/>
    <w:basedOn w:val="DefaultParagraphFont"/>
    <w:link w:val="Heading6"/>
    <w:uiPriority w:val="9"/>
    <w:semiHidden/>
    <w:qFormat/>
    <w:rsid w:val="006653EE"/>
    <w:rPr>
      <w:caps/>
      <w:color w:val="C77C0E" w:themeColor="accent1" w:themeShade="BF"/>
      <w:spacing w:val="10"/>
    </w:rPr>
  </w:style>
  <w:style w:type="character" w:customStyle="1" w:styleId="Heading7Char">
    <w:name w:val="Heading 7 Char"/>
    <w:basedOn w:val="DefaultParagraphFont"/>
    <w:link w:val="Heading7"/>
    <w:uiPriority w:val="9"/>
    <w:semiHidden/>
    <w:qFormat/>
    <w:rsid w:val="006653EE"/>
    <w:rPr>
      <w:caps/>
      <w:color w:val="C77C0E" w:themeColor="accent1" w:themeShade="BF"/>
      <w:spacing w:val="10"/>
    </w:rPr>
  </w:style>
  <w:style w:type="character" w:customStyle="1" w:styleId="Heading8Char">
    <w:name w:val="Heading 8 Char"/>
    <w:basedOn w:val="DefaultParagraphFont"/>
    <w:link w:val="Heading8"/>
    <w:uiPriority w:val="9"/>
    <w:semiHidden/>
    <w:qFormat/>
    <w:rsid w:val="006653EE"/>
    <w:rPr>
      <w:caps/>
      <w:spacing w:val="10"/>
      <w:sz w:val="18"/>
      <w:szCs w:val="18"/>
    </w:rPr>
  </w:style>
  <w:style w:type="character" w:customStyle="1" w:styleId="Heading9Char">
    <w:name w:val="Heading 9 Char"/>
    <w:basedOn w:val="DefaultParagraphFont"/>
    <w:link w:val="Heading9"/>
    <w:uiPriority w:val="9"/>
    <w:semiHidden/>
    <w:qFormat/>
    <w:rsid w:val="006653EE"/>
    <w:rPr>
      <w:i/>
      <w:iCs/>
      <w:caps/>
      <w:spacing w:val="10"/>
      <w:sz w:val="18"/>
      <w:szCs w:val="18"/>
    </w:rPr>
  </w:style>
  <w:style w:type="character" w:customStyle="1" w:styleId="NoSpacingChar">
    <w:name w:val="No Spacing Char"/>
    <w:link w:val="NoSpacing"/>
    <w:uiPriority w:val="1"/>
    <w:qFormat/>
    <w:rsid w:val="00B2557D"/>
  </w:style>
  <w:style w:type="character" w:customStyle="1" w:styleId="ListParagraphChar">
    <w:name w:val="List Paragraph Char"/>
    <w:link w:val="ListParagraph"/>
    <w:qFormat/>
    <w:rsid w:val="00D17981"/>
  </w:style>
  <w:style w:type="character" w:customStyle="1" w:styleId="HeaderChar">
    <w:name w:val="Header Char"/>
    <w:basedOn w:val="DefaultParagraphFont"/>
    <w:link w:val="Header"/>
    <w:uiPriority w:val="99"/>
    <w:qFormat/>
    <w:rsid w:val="00130CFE"/>
    <w:rPr>
      <w:rFonts w:ascii="Calibri" w:eastAsia="Times New Roman" w:hAnsi="Calibri" w:cs="Times New Roman"/>
      <w:sz w:val="20"/>
      <w:szCs w:val="20"/>
      <w:lang w:val="sq-AL" w:bidi="en-US"/>
    </w:rPr>
  </w:style>
  <w:style w:type="character" w:customStyle="1" w:styleId="FooterChar">
    <w:name w:val="Footer Char"/>
    <w:basedOn w:val="DefaultParagraphFont"/>
    <w:link w:val="Footer"/>
    <w:uiPriority w:val="99"/>
    <w:qFormat/>
    <w:rsid w:val="00130CFE"/>
    <w:rPr>
      <w:rFonts w:ascii="Calibri" w:eastAsia="Times New Roman" w:hAnsi="Calibri" w:cs="Times New Roman"/>
      <w:sz w:val="20"/>
      <w:szCs w:val="20"/>
      <w:lang w:val="sq-AL" w:bidi="en-US"/>
    </w:rPr>
  </w:style>
  <w:style w:type="character" w:styleId="CommentReference">
    <w:name w:val="annotation reference"/>
    <w:basedOn w:val="DefaultParagraphFont"/>
    <w:uiPriority w:val="99"/>
    <w:semiHidden/>
    <w:unhideWhenUsed/>
    <w:qFormat/>
    <w:rsid w:val="001E1532"/>
    <w:rPr>
      <w:sz w:val="16"/>
      <w:szCs w:val="16"/>
    </w:rPr>
  </w:style>
  <w:style w:type="character" w:customStyle="1" w:styleId="CommentTextChar">
    <w:name w:val="Comment Text Char"/>
    <w:basedOn w:val="DefaultParagraphFont"/>
    <w:link w:val="CommentText"/>
    <w:uiPriority w:val="99"/>
    <w:qFormat/>
    <w:rsid w:val="001E1532"/>
    <w:rPr>
      <w:rFonts w:ascii="Calibri" w:eastAsia="Times New Roman" w:hAnsi="Calibri" w:cs="Times New Roman"/>
      <w:sz w:val="20"/>
      <w:szCs w:val="20"/>
      <w:lang w:val="sq-AL" w:bidi="en-US"/>
    </w:rPr>
  </w:style>
  <w:style w:type="character" w:customStyle="1" w:styleId="CommentSubjectChar">
    <w:name w:val="Comment Subject Char"/>
    <w:basedOn w:val="CommentTextChar"/>
    <w:link w:val="CommentSubject"/>
    <w:uiPriority w:val="99"/>
    <w:semiHidden/>
    <w:qFormat/>
    <w:rsid w:val="001E1532"/>
    <w:rPr>
      <w:rFonts w:ascii="Calibri" w:eastAsia="Times New Roman" w:hAnsi="Calibri" w:cs="Times New Roman"/>
      <w:b/>
      <w:bCs/>
      <w:sz w:val="20"/>
      <w:szCs w:val="20"/>
      <w:lang w:val="sq-AL" w:bidi="en-US"/>
    </w:rPr>
  </w:style>
  <w:style w:type="character" w:customStyle="1" w:styleId="BalloonTextChar">
    <w:name w:val="Balloon Text Char"/>
    <w:basedOn w:val="DefaultParagraphFont"/>
    <w:link w:val="BalloonText"/>
    <w:uiPriority w:val="99"/>
    <w:semiHidden/>
    <w:qFormat/>
    <w:rsid w:val="001E1532"/>
    <w:rPr>
      <w:rFonts w:ascii="Tahoma" w:eastAsia="Times New Roman" w:hAnsi="Tahoma" w:cs="Tahoma"/>
      <w:sz w:val="16"/>
      <w:szCs w:val="16"/>
      <w:lang w:val="sq-AL" w:bidi="en-US"/>
    </w:rPr>
  </w:style>
  <w:style w:type="character" w:customStyle="1" w:styleId="FootnoteTextChar">
    <w:name w:val="Footnote Text Char"/>
    <w:basedOn w:val="DefaultParagraphFont"/>
    <w:link w:val="FootnoteText"/>
    <w:uiPriority w:val="99"/>
    <w:qFormat/>
    <w:rsid w:val="00C86ED3"/>
    <w:rPr>
      <w:rFonts w:ascii="Times New Roman" w:eastAsia="Times New Roman" w:hAnsi="Times New Roman" w:cs="Times New Roman"/>
      <w:sz w:val="20"/>
      <w:szCs w:val="20"/>
      <w:lang w:val="sq-AL"/>
    </w:rPr>
  </w:style>
  <w:style w:type="character" w:customStyle="1" w:styleId="FootnoteCharacters">
    <w:name w:val="Footnote Characters"/>
    <w:basedOn w:val="DefaultParagraphFont"/>
    <w:link w:val="16Point"/>
    <w:uiPriority w:val="99"/>
    <w:unhideWhenUsed/>
    <w:qFormat/>
    <w:rsid w:val="00C86ED3"/>
    <w:rPr>
      <w:vertAlign w:val="superscript"/>
    </w:rPr>
  </w:style>
  <w:style w:type="character" w:styleId="FootnoteReference">
    <w:name w:val="footnote reference"/>
    <w:rPr>
      <w:vertAlign w:val="superscript"/>
    </w:rPr>
  </w:style>
  <w:style w:type="character" w:customStyle="1" w:styleId="BodyTextChar">
    <w:name w:val="Body Text Char"/>
    <w:basedOn w:val="DefaultParagraphFont"/>
    <w:link w:val="BodyText"/>
    <w:uiPriority w:val="1"/>
    <w:qFormat/>
    <w:rsid w:val="00194B96"/>
    <w:rPr>
      <w:rFonts w:ascii="Calibri" w:eastAsia="Calibri" w:hAnsi="Calibri" w:cs="Calibri"/>
      <w:sz w:val="24"/>
      <w:szCs w:val="24"/>
      <w:lang w:val="sq-AL"/>
    </w:rPr>
  </w:style>
  <w:style w:type="character" w:customStyle="1" w:styleId="xxcontentpasted0">
    <w:name w:val="x_x_contentpasted0"/>
    <w:basedOn w:val="DefaultParagraphFont"/>
    <w:qFormat/>
    <w:rsid w:val="001A2D1B"/>
  </w:style>
  <w:style w:type="character" w:customStyle="1" w:styleId="normaltextrun">
    <w:name w:val="normaltextrun"/>
    <w:qFormat/>
    <w:rsid w:val="00E9162C"/>
  </w:style>
  <w:style w:type="character" w:customStyle="1" w:styleId="apple-converted-space">
    <w:name w:val="apple-converted-space"/>
    <w:basedOn w:val="DefaultParagraphFont"/>
    <w:qFormat/>
    <w:rsid w:val="003C1288"/>
  </w:style>
  <w:style w:type="character" w:styleId="Hyperlink">
    <w:name w:val="Hyperlink"/>
    <w:basedOn w:val="DefaultParagraphFont"/>
    <w:uiPriority w:val="99"/>
    <w:unhideWhenUsed/>
    <w:rsid w:val="00E432A3"/>
    <w:rPr>
      <w:color w:val="AD1F1F" w:themeColor="hyperlink"/>
      <w:u w:val="single"/>
    </w:rPr>
  </w:style>
  <w:style w:type="character" w:customStyle="1" w:styleId="EndnoteTextChar">
    <w:name w:val="Endnote Text Char"/>
    <w:basedOn w:val="DefaultParagraphFont"/>
    <w:link w:val="EndnoteText"/>
    <w:uiPriority w:val="99"/>
    <w:semiHidden/>
    <w:qFormat/>
    <w:rsid w:val="00862DC6"/>
    <w:rPr>
      <w:rFonts w:ascii="Times New Roman" w:eastAsia="Times New Roman" w:hAnsi="Times New Roman" w:cs="Times New Roman"/>
      <w:sz w:val="20"/>
      <w:szCs w:val="20"/>
      <w:lang w:val="sq-AL"/>
    </w:rPr>
  </w:style>
  <w:style w:type="character" w:customStyle="1" w:styleId="UnresolvedMention1">
    <w:name w:val="Unresolved Mention1"/>
    <w:basedOn w:val="DefaultParagraphFont"/>
    <w:uiPriority w:val="99"/>
    <w:semiHidden/>
    <w:unhideWhenUsed/>
    <w:qFormat/>
    <w:rsid w:val="00FF3AFA"/>
    <w:rPr>
      <w:color w:val="605E5C"/>
      <w:shd w:val="clear" w:color="auto" w:fill="E1DFDD"/>
    </w:rPr>
  </w:style>
  <w:style w:type="character" w:customStyle="1" w:styleId="TitleChar">
    <w:name w:val="Title Char"/>
    <w:basedOn w:val="DefaultParagraphFont"/>
    <w:link w:val="Title"/>
    <w:uiPriority w:val="10"/>
    <w:qFormat/>
    <w:rsid w:val="006653EE"/>
    <w:rPr>
      <w:rFonts w:asciiTheme="majorHAnsi" w:eastAsiaTheme="majorEastAsia" w:hAnsiTheme="majorHAnsi" w:cstheme="majorBidi"/>
      <w:caps/>
      <w:color w:val="F0A22E" w:themeColor="accent1"/>
      <w:spacing w:val="10"/>
      <w:sz w:val="52"/>
      <w:szCs w:val="52"/>
    </w:rPr>
  </w:style>
  <w:style w:type="character" w:customStyle="1" w:styleId="SubtitleChar">
    <w:name w:val="Subtitle Char"/>
    <w:basedOn w:val="DefaultParagraphFont"/>
    <w:link w:val="Subtitle"/>
    <w:uiPriority w:val="11"/>
    <w:qFormat/>
    <w:rsid w:val="006653EE"/>
    <w:rPr>
      <w:caps/>
      <w:color w:val="595959" w:themeColor="text1" w:themeTint="A6"/>
      <w:spacing w:val="10"/>
      <w:sz w:val="21"/>
      <w:szCs w:val="21"/>
    </w:rPr>
  </w:style>
  <w:style w:type="character" w:styleId="Strong">
    <w:name w:val="Strong"/>
    <w:uiPriority w:val="22"/>
    <w:qFormat/>
    <w:rsid w:val="006653EE"/>
    <w:rPr>
      <w:b/>
      <w:bCs/>
    </w:rPr>
  </w:style>
  <w:style w:type="character" w:styleId="Emphasis">
    <w:name w:val="Emphasis"/>
    <w:uiPriority w:val="20"/>
    <w:qFormat/>
    <w:rsid w:val="006653EE"/>
    <w:rPr>
      <w:caps/>
      <w:color w:val="845209" w:themeColor="accent1" w:themeShade="7F"/>
      <w:spacing w:val="5"/>
    </w:rPr>
  </w:style>
  <w:style w:type="character" w:customStyle="1" w:styleId="QuoteChar">
    <w:name w:val="Quote Char"/>
    <w:basedOn w:val="DefaultParagraphFont"/>
    <w:link w:val="Quote"/>
    <w:uiPriority w:val="29"/>
    <w:qFormat/>
    <w:rsid w:val="006653EE"/>
    <w:rPr>
      <w:i/>
      <w:iCs/>
      <w:sz w:val="24"/>
      <w:szCs w:val="24"/>
    </w:rPr>
  </w:style>
  <w:style w:type="character" w:customStyle="1" w:styleId="IntenseQuoteChar">
    <w:name w:val="Intense Quote Char"/>
    <w:basedOn w:val="DefaultParagraphFont"/>
    <w:link w:val="IntenseQuote"/>
    <w:uiPriority w:val="30"/>
    <w:qFormat/>
    <w:rsid w:val="006653EE"/>
    <w:rPr>
      <w:color w:val="F0A22E" w:themeColor="accent1"/>
      <w:sz w:val="24"/>
      <w:szCs w:val="24"/>
    </w:rPr>
  </w:style>
  <w:style w:type="character" w:styleId="SubtleEmphasis">
    <w:name w:val="Subtle Emphasis"/>
    <w:uiPriority w:val="19"/>
    <w:qFormat/>
    <w:rsid w:val="006653EE"/>
    <w:rPr>
      <w:i/>
      <w:iCs/>
      <w:color w:val="845209" w:themeColor="accent1" w:themeShade="7F"/>
    </w:rPr>
  </w:style>
  <w:style w:type="character" w:styleId="IntenseEmphasis">
    <w:name w:val="Intense Emphasis"/>
    <w:uiPriority w:val="21"/>
    <w:qFormat/>
    <w:rsid w:val="006653EE"/>
    <w:rPr>
      <w:b/>
      <w:bCs/>
      <w:caps/>
      <w:color w:val="845209" w:themeColor="accent1" w:themeShade="7F"/>
      <w:spacing w:val="10"/>
    </w:rPr>
  </w:style>
  <w:style w:type="character" w:styleId="SubtleReference">
    <w:name w:val="Subtle Reference"/>
    <w:uiPriority w:val="31"/>
    <w:qFormat/>
    <w:rsid w:val="006653EE"/>
    <w:rPr>
      <w:b/>
      <w:bCs/>
      <w:color w:val="F0A22E" w:themeColor="accent1"/>
    </w:rPr>
  </w:style>
  <w:style w:type="character" w:styleId="IntenseReference">
    <w:name w:val="Intense Reference"/>
    <w:uiPriority w:val="32"/>
    <w:qFormat/>
    <w:rsid w:val="006653EE"/>
    <w:rPr>
      <w:b/>
      <w:bCs/>
      <w:i/>
      <w:iCs/>
      <w:caps/>
      <w:color w:val="F0A22E" w:themeColor="accent1"/>
    </w:rPr>
  </w:style>
  <w:style w:type="character" w:styleId="BookTitle">
    <w:name w:val="Book Title"/>
    <w:uiPriority w:val="33"/>
    <w:qFormat/>
    <w:rsid w:val="006653EE"/>
    <w:rPr>
      <w:b/>
      <w:bCs/>
      <w:i/>
      <w:iCs/>
      <w:spacing w:val="0"/>
    </w:rPr>
  </w:style>
  <w:style w:type="character" w:customStyle="1" w:styleId="FootnoteTextChar2">
    <w:name w:val="Footnote Text Char2"/>
    <w:basedOn w:val="DefaultParagraphFont"/>
    <w:uiPriority w:val="99"/>
    <w:semiHidden/>
    <w:qFormat/>
    <w:rsid w:val="007909AF"/>
  </w:style>
  <w:style w:type="character" w:customStyle="1" w:styleId="UnresolvedMention2">
    <w:name w:val="Unresolved Mention2"/>
    <w:basedOn w:val="DefaultParagraphFont"/>
    <w:uiPriority w:val="99"/>
    <w:semiHidden/>
    <w:unhideWhenUsed/>
    <w:qFormat/>
    <w:rsid w:val="001D53D5"/>
    <w:rPr>
      <w:color w:val="605E5C"/>
      <w:shd w:val="clear" w:color="auto" w:fill="E1DFDD"/>
    </w:rPr>
  </w:style>
  <w:style w:type="character" w:styleId="PageNumber">
    <w:name w:val="page number"/>
    <w:basedOn w:val="DefaultParagraphFont"/>
    <w:uiPriority w:val="99"/>
    <w:semiHidden/>
    <w:unhideWhenUsed/>
    <w:rsid w:val="00386342"/>
  </w:style>
  <w:style w:type="character" w:customStyle="1" w:styleId="EndnoteCharacters">
    <w:name w:val="Endnote Characters"/>
    <w:basedOn w:val="DefaultParagraphFont"/>
    <w:uiPriority w:val="99"/>
    <w:semiHidden/>
    <w:unhideWhenUsed/>
    <w:qFormat/>
    <w:rsid w:val="00FD7E3F"/>
    <w:rPr>
      <w:vertAlign w:val="superscript"/>
    </w:rPr>
  </w:style>
  <w:style w:type="character" w:styleId="EndnoteReference">
    <w:name w:val="endnote reference"/>
    <w:rPr>
      <w:vertAlign w:val="superscript"/>
    </w:rPr>
  </w:style>
  <w:style w:type="character" w:customStyle="1" w:styleId="whitespace-normal">
    <w:name w:val="whitespace-normal"/>
    <w:basedOn w:val="DefaultParagraphFont"/>
    <w:qFormat/>
    <w:rsid w:val="00315CDE"/>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rsid w:val="00194B96"/>
    <w:pPr>
      <w:widowControl w:val="0"/>
      <w:spacing w:after="0" w:line="240" w:lineRule="auto"/>
    </w:pPr>
    <w:rPr>
      <w:rFonts w:eastAsia="Calibri" w:cs="Calibri"/>
      <w:sz w:val="24"/>
      <w:szCs w:val="24"/>
    </w:rPr>
  </w:style>
  <w:style w:type="paragraph" w:styleId="List">
    <w:name w:val="List"/>
    <w:basedOn w:val="BodyText"/>
    <w:rPr>
      <w:rFonts w:cs="Lohit Devanagari"/>
    </w:rPr>
  </w:style>
  <w:style w:type="paragraph" w:styleId="Caption">
    <w:name w:val="caption"/>
    <w:basedOn w:val="Normal"/>
    <w:next w:val="Normal"/>
    <w:uiPriority w:val="35"/>
    <w:unhideWhenUsed/>
    <w:qFormat/>
    <w:rsid w:val="006653EE"/>
    <w:rPr>
      <w:b/>
      <w:bCs/>
      <w:color w:val="C77C0E" w:themeColor="accent1" w:themeShade="BF"/>
      <w:sz w:val="16"/>
      <w:szCs w:val="16"/>
    </w:rPr>
  </w:style>
  <w:style w:type="paragraph" w:customStyle="1" w:styleId="Index">
    <w:name w:val="Index"/>
    <w:basedOn w:val="Normal"/>
    <w:qFormat/>
    <w:pPr>
      <w:suppressLineNumbers/>
    </w:pPr>
    <w:rPr>
      <w:rFonts w:cs="Lohit Devanagari"/>
    </w:rPr>
  </w:style>
  <w:style w:type="paragraph" w:styleId="NoSpacing">
    <w:name w:val="No Spacing"/>
    <w:link w:val="NoSpacingChar"/>
    <w:uiPriority w:val="1"/>
    <w:qFormat/>
    <w:rsid w:val="006653EE"/>
    <w:pPr>
      <w:spacing w:before="100"/>
    </w:pPr>
  </w:style>
  <w:style w:type="paragraph" w:styleId="ListParagraph">
    <w:name w:val="List Paragraph"/>
    <w:basedOn w:val="Normal"/>
    <w:link w:val="ListParagraphChar"/>
    <w:qFormat/>
    <w:rsid w:val="00B2557D"/>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130CFE"/>
    <w:pPr>
      <w:tabs>
        <w:tab w:val="center" w:pos="4680"/>
        <w:tab w:val="right" w:pos="9360"/>
      </w:tabs>
      <w:spacing w:after="0" w:line="240" w:lineRule="auto"/>
    </w:pPr>
  </w:style>
  <w:style w:type="paragraph" w:styleId="Footer">
    <w:name w:val="footer"/>
    <w:basedOn w:val="Normal"/>
    <w:link w:val="FooterChar"/>
    <w:uiPriority w:val="99"/>
    <w:unhideWhenUsed/>
    <w:rsid w:val="00130CFE"/>
    <w:pPr>
      <w:tabs>
        <w:tab w:val="center" w:pos="4680"/>
        <w:tab w:val="right" w:pos="9360"/>
      </w:tabs>
      <w:spacing w:after="0" w:line="240" w:lineRule="auto"/>
    </w:pPr>
  </w:style>
  <w:style w:type="paragraph" w:styleId="CommentText">
    <w:name w:val="annotation text"/>
    <w:basedOn w:val="Normal"/>
    <w:link w:val="CommentTextChar"/>
    <w:uiPriority w:val="99"/>
    <w:unhideWhenUsed/>
    <w:qFormat/>
    <w:rsid w:val="001E1532"/>
    <w:pPr>
      <w:spacing w:line="240" w:lineRule="auto"/>
    </w:pPr>
  </w:style>
  <w:style w:type="paragraph" w:styleId="CommentSubject">
    <w:name w:val="annotation subject"/>
    <w:basedOn w:val="CommentText"/>
    <w:next w:val="CommentText"/>
    <w:link w:val="CommentSubjectChar"/>
    <w:uiPriority w:val="99"/>
    <w:semiHidden/>
    <w:unhideWhenUsed/>
    <w:qFormat/>
    <w:rsid w:val="001E1532"/>
    <w:rPr>
      <w:b/>
      <w:bCs/>
    </w:rPr>
  </w:style>
  <w:style w:type="paragraph" w:styleId="BalloonText">
    <w:name w:val="Balloon Text"/>
    <w:basedOn w:val="Normal"/>
    <w:link w:val="BalloonTextChar"/>
    <w:uiPriority w:val="99"/>
    <w:semiHidden/>
    <w:unhideWhenUsed/>
    <w:qFormat/>
    <w:rsid w:val="001E1532"/>
    <w:pPr>
      <w:spacing w:after="0" w:line="240" w:lineRule="auto"/>
    </w:pPr>
    <w:rPr>
      <w:rFonts w:ascii="Tahoma" w:hAnsi="Tahoma" w:cs="Tahoma"/>
      <w:sz w:val="16"/>
      <w:szCs w:val="16"/>
    </w:rPr>
  </w:style>
  <w:style w:type="paragraph" w:styleId="FootnoteText">
    <w:name w:val="footnote text"/>
    <w:basedOn w:val="Normal"/>
    <w:link w:val="FootnoteTextChar"/>
    <w:uiPriority w:val="99"/>
    <w:unhideWhenUsed/>
    <w:qFormat/>
    <w:rsid w:val="00C86ED3"/>
    <w:pPr>
      <w:spacing w:after="0" w:line="240" w:lineRule="auto"/>
    </w:pPr>
    <w:rPr>
      <w:rFonts w:ascii="Times New Roman" w:hAnsi="Times New Roman"/>
    </w:rPr>
  </w:style>
  <w:style w:type="paragraph" w:customStyle="1" w:styleId="16Point">
    <w:name w:val="16 Point"/>
    <w:basedOn w:val="Normal"/>
    <w:link w:val="FootnoteCharacters"/>
    <w:uiPriority w:val="99"/>
    <w:qFormat/>
    <w:rsid w:val="00C86ED3"/>
    <w:pPr>
      <w:spacing w:line="240" w:lineRule="exact"/>
    </w:pPr>
    <w:rPr>
      <w:vertAlign w:val="superscript"/>
    </w:rPr>
  </w:style>
  <w:style w:type="paragraph" w:customStyle="1" w:styleId="AAAAATEXT">
    <w:name w:val="AAAAATEXT"/>
    <w:basedOn w:val="Normal"/>
    <w:qFormat/>
    <w:rsid w:val="00BF4BFF"/>
    <w:pPr>
      <w:spacing w:after="0" w:line="240" w:lineRule="auto"/>
      <w:ind w:firstLine="284"/>
    </w:pPr>
    <w:rPr>
      <w:rFonts w:ascii="Garamond" w:hAnsi="Garamond"/>
      <w:sz w:val="24"/>
      <w:szCs w:val="24"/>
    </w:rPr>
  </w:style>
  <w:style w:type="paragraph" w:customStyle="1" w:styleId="xxxgmail-msolistparagraph">
    <w:name w:val="x_x_x_gmail-msolistparagraph"/>
    <w:basedOn w:val="Normal"/>
    <w:qFormat/>
    <w:rsid w:val="001A2D1B"/>
    <w:pPr>
      <w:spacing w:beforeAutospacing="1" w:afterAutospacing="1" w:line="240" w:lineRule="auto"/>
    </w:pPr>
    <w:rPr>
      <w:rFonts w:ascii="Times New Roman" w:hAnsi="Times New Roman"/>
      <w:sz w:val="24"/>
      <w:szCs w:val="24"/>
    </w:rPr>
  </w:style>
  <w:style w:type="paragraph" w:customStyle="1" w:styleId="xxxmsonormal">
    <w:name w:val="x_x_x_msonormal"/>
    <w:basedOn w:val="Normal"/>
    <w:qFormat/>
    <w:rsid w:val="001A2D1B"/>
    <w:pPr>
      <w:spacing w:beforeAutospacing="1" w:afterAutospacing="1" w:line="240" w:lineRule="auto"/>
    </w:pPr>
    <w:rPr>
      <w:rFonts w:ascii="Times New Roman" w:hAnsi="Times New Roman"/>
      <w:sz w:val="24"/>
      <w:szCs w:val="24"/>
    </w:rPr>
  </w:style>
  <w:style w:type="paragraph" w:styleId="NormalWeb">
    <w:name w:val="Normal (Web)"/>
    <w:basedOn w:val="Normal"/>
    <w:uiPriority w:val="99"/>
    <w:unhideWhenUsed/>
    <w:qFormat/>
    <w:rsid w:val="00305B95"/>
    <w:pPr>
      <w:spacing w:beforeAutospacing="1" w:afterAutospacing="1" w:line="240" w:lineRule="auto"/>
    </w:pPr>
    <w:rPr>
      <w:rFonts w:ascii="Times New Roman" w:hAnsi="Times New Roman"/>
      <w:sz w:val="24"/>
      <w:szCs w:val="24"/>
      <w:lang w:val="fr-FR" w:eastAsia="fr-FR"/>
    </w:rPr>
  </w:style>
  <w:style w:type="paragraph" w:customStyle="1" w:styleId="paragraph">
    <w:name w:val="paragraph"/>
    <w:basedOn w:val="Normal"/>
    <w:qFormat/>
    <w:rsid w:val="00E9162C"/>
    <w:pPr>
      <w:spacing w:beforeAutospacing="1" w:afterAutospacing="1" w:line="240" w:lineRule="auto"/>
    </w:pPr>
    <w:rPr>
      <w:rFonts w:ascii="Times New Roman" w:hAnsi="Times New Roman"/>
      <w:sz w:val="24"/>
      <w:szCs w:val="24"/>
    </w:rPr>
  </w:style>
  <w:style w:type="paragraph" w:styleId="EndnoteText">
    <w:name w:val="endnote text"/>
    <w:basedOn w:val="Normal"/>
    <w:link w:val="EndnoteTextChar"/>
    <w:uiPriority w:val="99"/>
    <w:semiHidden/>
    <w:unhideWhenUsed/>
    <w:rsid w:val="00862DC6"/>
    <w:pPr>
      <w:spacing w:after="0" w:line="240" w:lineRule="auto"/>
    </w:pPr>
    <w:rPr>
      <w:rFonts w:ascii="Times New Roman" w:hAnsi="Times New Roman"/>
    </w:rPr>
  </w:style>
  <w:style w:type="paragraph" w:styleId="Revision">
    <w:name w:val="Revision"/>
    <w:uiPriority w:val="99"/>
    <w:semiHidden/>
    <w:qFormat/>
    <w:rsid w:val="00190370"/>
    <w:pPr>
      <w:spacing w:before="100"/>
    </w:pPr>
  </w:style>
  <w:style w:type="paragraph" w:styleId="Title">
    <w:name w:val="Title"/>
    <w:basedOn w:val="Normal"/>
    <w:next w:val="Normal"/>
    <w:link w:val="TitleChar"/>
    <w:uiPriority w:val="10"/>
    <w:qFormat/>
    <w:rsid w:val="006653EE"/>
    <w:pPr>
      <w:spacing w:before="0" w:after="0"/>
    </w:pPr>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6653EE"/>
    <w:pPr>
      <w:spacing w:before="0" w:after="500" w:line="240" w:lineRule="auto"/>
    </w:pPr>
    <w:rPr>
      <w:caps/>
      <w:color w:val="595959" w:themeColor="text1" w:themeTint="A6"/>
      <w:spacing w:val="10"/>
      <w:sz w:val="21"/>
      <w:szCs w:val="21"/>
    </w:rPr>
  </w:style>
  <w:style w:type="paragraph" w:styleId="Quote">
    <w:name w:val="Quote"/>
    <w:basedOn w:val="Normal"/>
    <w:next w:val="Normal"/>
    <w:link w:val="QuoteChar"/>
    <w:uiPriority w:val="29"/>
    <w:qFormat/>
    <w:rsid w:val="006653EE"/>
    <w:rPr>
      <w:i/>
      <w:iCs/>
      <w:sz w:val="24"/>
      <w:szCs w:val="24"/>
    </w:rPr>
  </w:style>
  <w:style w:type="paragraph" w:styleId="IntenseQuote">
    <w:name w:val="Intense Quote"/>
    <w:basedOn w:val="Normal"/>
    <w:next w:val="Normal"/>
    <w:link w:val="IntenseQuoteChar"/>
    <w:uiPriority w:val="30"/>
    <w:qFormat/>
    <w:rsid w:val="006653EE"/>
    <w:pPr>
      <w:spacing w:before="240" w:after="240" w:line="240" w:lineRule="auto"/>
      <w:ind w:left="1080" w:right="1080"/>
      <w:jc w:val="center"/>
    </w:pPr>
    <w:rPr>
      <w:color w:val="F0A22E" w:themeColor="accent1"/>
      <w:sz w:val="24"/>
      <w:szCs w:val="24"/>
    </w:rPr>
  </w:style>
  <w:style w:type="paragraph" w:styleId="IndexHeading">
    <w:name w:val="index heading"/>
    <w:basedOn w:val="Heading"/>
  </w:style>
  <w:style w:type="paragraph" w:styleId="TOCHeading">
    <w:name w:val="TOC Heading"/>
    <w:basedOn w:val="Heading1"/>
    <w:next w:val="Normal"/>
    <w:uiPriority w:val="39"/>
    <w:unhideWhenUsed/>
    <w:qFormat/>
    <w:rsid w:val="006653EE"/>
    <w:pPr>
      <w:outlineLvl w:val="9"/>
    </w:pPr>
  </w:style>
  <w:style w:type="paragraph" w:customStyle="1" w:styleId="msonormal0">
    <w:name w:val="msonormal"/>
    <w:basedOn w:val="Normal"/>
    <w:qFormat/>
    <w:rsid w:val="007909AF"/>
    <w:pPr>
      <w:spacing w:beforeAutospacing="1" w:afterAutospacing="1" w:line="240" w:lineRule="auto"/>
    </w:pPr>
    <w:rPr>
      <w:rFonts w:ascii="Times New Roman" w:eastAsia="Times New Roman" w:hAnsi="Times New Roman" w:cs="Times New Roman"/>
      <w:sz w:val="24"/>
      <w:szCs w:val="24"/>
      <w:lang w:val="fr-FR" w:eastAsia="fr-FR"/>
    </w:rPr>
  </w:style>
  <w:style w:type="paragraph" w:styleId="TOC3">
    <w:name w:val="toc 3"/>
    <w:basedOn w:val="Normal"/>
    <w:next w:val="Normal"/>
    <w:autoRedefine/>
    <w:uiPriority w:val="39"/>
    <w:unhideWhenUsed/>
    <w:qFormat/>
    <w:rsid w:val="007163C2"/>
    <w:pPr>
      <w:spacing w:after="100"/>
      <w:ind w:left="400"/>
    </w:pPr>
  </w:style>
  <w:style w:type="paragraph" w:styleId="TOC1">
    <w:name w:val="toc 1"/>
    <w:basedOn w:val="Normal"/>
    <w:next w:val="Normal"/>
    <w:autoRedefine/>
    <w:uiPriority w:val="39"/>
    <w:unhideWhenUsed/>
    <w:qFormat/>
    <w:rsid w:val="007163C2"/>
    <w:pPr>
      <w:spacing w:after="100"/>
    </w:pPr>
  </w:style>
  <w:style w:type="paragraph" w:styleId="TOC2">
    <w:name w:val="toc 2"/>
    <w:basedOn w:val="Normal"/>
    <w:next w:val="Normal"/>
    <w:autoRedefine/>
    <w:uiPriority w:val="39"/>
    <w:unhideWhenUsed/>
    <w:qFormat/>
    <w:rsid w:val="00BB03F6"/>
    <w:pPr>
      <w:spacing w:before="0" w:after="100"/>
      <w:ind w:left="220"/>
    </w:pPr>
    <w:rPr>
      <w:sz w:val="22"/>
      <w:szCs w:val="22"/>
      <w:lang w:eastAsia="ja-JP"/>
    </w:rPr>
  </w:style>
  <w:style w:type="paragraph" w:styleId="TableofFigures">
    <w:name w:val="table of figures"/>
    <w:basedOn w:val="Normal"/>
    <w:next w:val="Normal"/>
    <w:uiPriority w:val="99"/>
    <w:unhideWhenUsed/>
    <w:rsid w:val="000533AD"/>
    <w:pPr>
      <w:spacing w:after="0"/>
    </w:pPr>
  </w:style>
  <w:style w:type="paragraph" w:customStyle="1" w:styleId="Default">
    <w:name w:val="Default"/>
    <w:qFormat/>
    <w:rsid w:val="006A419D"/>
    <w:rPr>
      <w:rFonts w:ascii="Times New Roman" w:eastAsia="MS PMincho" w:hAnsi="Times New Roman" w:cs="Times New Roman"/>
      <w:color w:val="000000"/>
      <w:sz w:val="24"/>
      <w:szCs w:val="24"/>
    </w:rPr>
  </w:style>
  <w:style w:type="paragraph" w:customStyle="1" w:styleId="BVIfnrCarCarCarCarChar">
    <w:name w:val="BVI fnr Car Car Car Car Char"/>
    <w:basedOn w:val="Normal"/>
    <w:uiPriority w:val="99"/>
    <w:qFormat/>
    <w:rsid w:val="00386342"/>
    <w:pPr>
      <w:spacing w:before="60" w:after="160" w:line="240" w:lineRule="exact"/>
      <w:jc w:val="both"/>
    </w:pPr>
    <w:rPr>
      <w:rFonts w:eastAsiaTheme="minorHAnsi"/>
      <w:sz w:val="22"/>
      <w:szCs w:val="24"/>
      <w:vertAlign w:val="superscript"/>
    </w:rPr>
  </w:style>
  <w:style w:type="paragraph" w:customStyle="1" w:styleId="Normal0">
    <w:name w:val="Normal_0"/>
    <w:qFormat/>
    <w:rsid w:val="00A11D16"/>
    <w:pPr>
      <w:numPr>
        <w:numId w:val="5"/>
      </w:numPr>
      <w:spacing w:after="60"/>
      <w:jc w:val="both"/>
    </w:pPr>
    <w:rPr>
      <w:rFonts w:ascii="Calibri" w:eastAsiaTheme="minorHAnsi" w:hAnsi="Calibri" w:cs="Calibri"/>
      <w:sz w:val="22"/>
      <w:szCs w:val="22"/>
    </w:rPr>
  </w:style>
  <w:style w:type="paragraph" w:customStyle="1" w:styleId="aaaaatexxxx">
    <w:name w:val="aaaaatexxxx"/>
    <w:basedOn w:val="Normal"/>
    <w:uiPriority w:val="99"/>
    <w:qFormat/>
    <w:rsid w:val="00113027"/>
    <w:pPr>
      <w:spacing w:before="0" w:after="0" w:line="240" w:lineRule="auto"/>
      <w:ind w:firstLine="284"/>
      <w:jc w:val="both"/>
    </w:pPr>
    <w:rPr>
      <w:rFonts w:ascii="Garamond" w:eastAsiaTheme="minorHAnsi" w:hAnsi="Garamond" w:cs="Times New Roman"/>
      <w:sz w:val="24"/>
      <w:szCs w:val="24"/>
      <w:lang w:val="sq-AL"/>
    </w:rPr>
  </w:style>
  <w:style w:type="paragraph" w:customStyle="1" w:styleId="FrameContents">
    <w:name w:val="Frame Contents"/>
    <w:basedOn w:val="Normal"/>
    <w:qFormat/>
  </w:style>
  <w:style w:type="paragraph" w:customStyle="1" w:styleId="HeaderLeft">
    <w:name w:val="Header Left"/>
    <w:basedOn w:val="Header"/>
    <w:qFormat/>
  </w:style>
  <w:style w:type="table" w:customStyle="1" w:styleId="GridTable5Dark-Accent11">
    <w:name w:val="Grid Table 5 Dark - Accent 11"/>
    <w:basedOn w:val="TableNormal"/>
    <w:uiPriority w:val="50"/>
    <w:rsid w:val="00C86E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22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22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22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22E" w:themeFill="accent1"/>
      </w:tcPr>
    </w:tblStylePr>
    <w:tblStylePr w:type="band1Vert">
      <w:tblPr/>
      <w:tcPr>
        <w:shd w:val="clear" w:color="auto" w:fill="F9D9AB" w:themeFill="accent1" w:themeFillTint="66"/>
      </w:tcPr>
    </w:tblStylePr>
    <w:tblStylePr w:type="band1Horz">
      <w:tblPr/>
      <w:tcPr>
        <w:shd w:val="clear" w:color="auto" w:fill="F9D9AB" w:themeFill="accent1" w:themeFillTint="66"/>
      </w:tcPr>
    </w:tblStylePr>
  </w:style>
  <w:style w:type="table" w:customStyle="1" w:styleId="GridTable4-Accent21">
    <w:name w:val="Grid Table 4 - Accent 21"/>
    <w:basedOn w:val="TableNormal"/>
    <w:uiPriority w:val="49"/>
    <w:rsid w:val="00C679DC"/>
    <w:tblPr>
      <w:tblStyleRowBandSize w:val="1"/>
      <w:tblStyleColBandSize w:val="1"/>
      <w:tblBorders>
        <w:top w:val="single" w:sz="4" w:space="0" w:color="CBA092" w:themeColor="accent2" w:themeTint="99"/>
        <w:left w:val="single" w:sz="4" w:space="0" w:color="CBA092" w:themeColor="accent2" w:themeTint="99"/>
        <w:bottom w:val="single" w:sz="4" w:space="0" w:color="CBA092" w:themeColor="accent2" w:themeTint="99"/>
        <w:right w:val="single" w:sz="4" w:space="0" w:color="CBA092" w:themeColor="accent2" w:themeTint="99"/>
        <w:insideH w:val="single" w:sz="4" w:space="0" w:color="CBA092" w:themeColor="accent2" w:themeTint="99"/>
        <w:insideV w:val="single" w:sz="4" w:space="0" w:color="CBA092" w:themeColor="accent2" w:themeTint="99"/>
      </w:tblBorders>
    </w:tblPr>
    <w:tblStylePr w:type="firstRow">
      <w:rPr>
        <w:b/>
        <w:bCs/>
        <w:color w:val="FFFFFF" w:themeColor="background1"/>
      </w:rPr>
      <w:tblPr/>
      <w:tcPr>
        <w:tcBorders>
          <w:top w:val="single" w:sz="4" w:space="0" w:color="A5644E" w:themeColor="accent2"/>
          <w:left w:val="single" w:sz="4" w:space="0" w:color="A5644E" w:themeColor="accent2"/>
          <w:bottom w:val="single" w:sz="4" w:space="0" w:color="A5644E" w:themeColor="accent2"/>
          <w:right w:val="single" w:sz="4" w:space="0" w:color="A5644E" w:themeColor="accent2"/>
          <w:insideH w:val="nil"/>
          <w:insideV w:val="nil"/>
        </w:tcBorders>
        <w:shd w:val="clear" w:color="auto" w:fill="A5644E" w:themeFill="accent2"/>
      </w:tcPr>
    </w:tblStylePr>
    <w:tblStylePr w:type="lastRow">
      <w:rPr>
        <w:b/>
        <w:bCs/>
      </w:rPr>
      <w:tblPr/>
      <w:tcPr>
        <w:tcBorders>
          <w:top w:val="double" w:sz="4" w:space="0" w:color="A5644E" w:themeColor="accent2"/>
        </w:tcBorders>
      </w:tcPr>
    </w:tblStylePr>
    <w:tblStylePr w:type="firstCol">
      <w:rPr>
        <w:b/>
        <w:bCs/>
      </w:rPr>
    </w:tblStylePr>
    <w:tblStylePr w:type="lastCol">
      <w:rPr>
        <w:b/>
        <w:bCs/>
      </w:rPr>
    </w:tblStylePr>
    <w:tblStylePr w:type="band1Vert">
      <w:tblPr/>
      <w:tcPr>
        <w:shd w:val="clear" w:color="auto" w:fill="EDDFDA" w:themeFill="accent2" w:themeFillTint="33"/>
      </w:tcPr>
    </w:tblStylePr>
    <w:tblStylePr w:type="band1Horz">
      <w:tblPr/>
      <w:tcPr>
        <w:shd w:val="clear" w:color="auto" w:fill="EDDFDA" w:themeFill="accent2" w:themeFillTint="33"/>
      </w:tcPr>
    </w:tblStylePr>
  </w:style>
  <w:style w:type="table" w:styleId="MediumGrid3-Accent4">
    <w:name w:val="Medium Grid 3 Accent 4"/>
    <w:basedOn w:val="TableNormal"/>
    <w:uiPriority w:val="69"/>
    <w:rsid w:val="007C28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E5DA"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3986D"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3986D"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3986D"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398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1CB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1CBB6" w:themeFill="accent4" w:themeFillTint="7F"/>
      </w:tcPr>
    </w:tblStylePr>
  </w:style>
  <w:style w:type="table" w:styleId="ColorfulGrid-Accent2">
    <w:name w:val="Colorful Grid Accent 2"/>
    <w:basedOn w:val="TableNormal"/>
    <w:uiPriority w:val="73"/>
    <w:rsid w:val="007C286F"/>
    <w:rPr>
      <w:color w:val="000000" w:themeColor="text1"/>
    </w:rPr>
    <w:tblPr>
      <w:tblStyleRowBandSize w:val="1"/>
      <w:tblStyleColBandSize w:val="1"/>
      <w:tblBorders>
        <w:insideH w:val="single" w:sz="4" w:space="0" w:color="FFFFFF" w:themeColor="background1"/>
      </w:tblBorders>
    </w:tblPr>
    <w:tcPr>
      <w:shd w:val="clear" w:color="auto" w:fill="EDDFDA" w:themeFill="accent2" w:themeFillTint="33"/>
    </w:tcPr>
    <w:tblStylePr w:type="firstRow">
      <w:rPr>
        <w:b/>
        <w:bCs/>
      </w:rPr>
      <w:tblPr/>
      <w:tcPr>
        <w:shd w:val="clear" w:color="auto" w:fill="DCBFB6" w:themeFill="accent2" w:themeFillTint="66"/>
      </w:tcPr>
    </w:tblStylePr>
    <w:tblStylePr w:type="lastRow">
      <w:rPr>
        <w:b/>
        <w:bCs/>
        <w:color w:val="000000" w:themeColor="text1"/>
      </w:rPr>
      <w:tblPr/>
      <w:tcPr>
        <w:shd w:val="clear" w:color="auto" w:fill="DCBFB6" w:themeFill="accent2" w:themeFillTint="66"/>
      </w:tcPr>
    </w:tblStylePr>
    <w:tblStylePr w:type="firstCol">
      <w:rPr>
        <w:color w:val="FFFFFF" w:themeColor="background1"/>
      </w:rPr>
      <w:tblPr/>
      <w:tcPr>
        <w:shd w:val="clear" w:color="auto" w:fill="7B4A3A" w:themeFill="accent2" w:themeFillShade="BF"/>
      </w:tcPr>
    </w:tblStylePr>
    <w:tblStylePr w:type="lastCol">
      <w:rPr>
        <w:color w:val="FFFFFF" w:themeColor="background1"/>
      </w:rPr>
      <w:tblPr/>
      <w:tcPr>
        <w:shd w:val="clear" w:color="auto" w:fill="7B4A3A" w:themeFill="accent2" w:themeFillShade="BF"/>
      </w:tcPr>
    </w:tblStylePr>
    <w:tblStylePr w:type="band1Vert">
      <w:tblPr/>
      <w:tcPr>
        <w:shd w:val="clear" w:color="auto" w:fill="D4B0A4" w:themeFill="accent2" w:themeFillTint="7F"/>
      </w:tcPr>
    </w:tblStylePr>
    <w:tblStylePr w:type="band1Horz">
      <w:tblPr/>
      <w:tcPr>
        <w:shd w:val="clear" w:color="auto" w:fill="D4B0A4" w:themeFill="accent2" w:themeFillTint="7F"/>
      </w:tcPr>
    </w:tblStylePr>
  </w:style>
  <w:style w:type="table" w:styleId="MediumGrid3-Accent2">
    <w:name w:val="Medium Grid 3 Accent 2"/>
    <w:basedOn w:val="TableNormal"/>
    <w:uiPriority w:val="69"/>
    <w:rsid w:val="007C286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D8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644E"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644E"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644E"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A5644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4B0A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4B0A4" w:themeFill="accent2" w:themeFillTint="7F"/>
      </w:tcPr>
    </w:tblStylePr>
  </w:style>
  <w:style w:type="table" w:styleId="MediumShading2-Accent3">
    <w:name w:val="Medium Shading 2 Accent 3"/>
    <w:basedOn w:val="TableNormal"/>
    <w:uiPriority w:val="64"/>
    <w:semiHidden/>
    <w:unhideWhenUsed/>
    <w:rsid w:val="00587EC1"/>
    <w:tblPr>
      <w:tblStyleRowBandSize w:val="1"/>
      <w:tblStyleColBandSize w:val="1"/>
      <w:tblBorders>
        <w:top w:val="single" w:sz="18" w:space="0" w:color="auto"/>
        <w:bottom w:val="single" w:sz="18" w:space="0" w:color="auto"/>
      </w:tblBorders>
    </w:tblPr>
    <w:tblStylePr w:type="firstRow">
      <w:pPr>
        <w:spacing w:beforeLines="0" w:before="0" w:afterLines="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58B80" w:themeFill="accent3"/>
      </w:tcPr>
    </w:tblStylePr>
    <w:tblStylePr w:type="lastRow">
      <w:pPr>
        <w:spacing w:beforeLines="0" w:before="0" w:afterLines="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58B80" w:themeFill="accent3"/>
      </w:tcPr>
    </w:tblStylePr>
    <w:tblStylePr w:type="lastCol">
      <w:rPr>
        <w:b/>
        <w:bCs/>
        <w:color w:val="FFFFFF" w:themeColor="background1"/>
      </w:rPr>
      <w:tblPr/>
      <w:tcPr>
        <w:tcBorders>
          <w:left w:val="nil"/>
          <w:right w:val="nil"/>
          <w:insideH w:val="nil"/>
          <w:insideV w:val="nil"/>
        </w:tcBorders>
        <w:shd w:val="clear" w:color="auto" w:fill="B58B8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41">
    <w:name w:val="Grid Table 5 Dark - Accent 41"/>
    <w:basedOn w:val="TableNormal"/>
    <w:uiPriority w:val="50"/>
    <w:rsid w:val="005A2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AE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986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3986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986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3986D" w:themeFill="accent4"/>
      </w:tcPr>
    </w:tblStylePr>
    <w:tblStylePr w:type="band1Vert">
      <w:tblPr/>
      <w:tcPr>
        <w:shd w:val="clear" w:color="auto" w:fill="E7D5C4" w:themeFill="accent4" w:themeFillTint="66"/>
      </w:tcPr>
    </w:tblStylePr>
    <w:tblStylePr w:type="band1Horz">
      <w:tblPr/>
      <w:tcPr>
        <w:shd w:val="clear" w:color="auto" w:fill="E7D5C4" w:themeFill="accent4" w:themeFillTint="66"/>
      </w:tcPr>
    </w:tblStylePr>
  </w:style>
  <w:style w:type="table" w:customStyle="1" w:styleId="GridTable5Dark-Accent21">
    <w:name w:val="Grid Table 5 Dark - Accent 21"/>
    <w:basedOn w:val="TableNormal"/>
    <w:uiPriority w:val="50"/>
    <w:rsid w:val="005A2BD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DF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644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644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644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644E" w:themeFill="accent2"/>
      </w:tcPr>
    </w:tblStylePr>
    <w:tblStylePr w:type="band1Vert">
      <w:tblPr/>
      <w:tcPr>
        <w:shd w:val="clear" w:color="auto" w:fill="DCBFB6" w:themeFill="accent2" w:themeFillTint="66"/>
      </w:tcPr>
    </w:tblStylePr>
    <w:tblStylePr w:type="band1Horz">
      <w:tblPr/>
      <w:tcPr>
        <w:shd w:val="clear" w:color="auto" w:fill="DCBFB6" w:themeFill="accent2" w:themeFillTint="66"/>
      </w:tcPr>
    </w:tblStylePr>
  </w:style>
  <w:style w:type="table" w:styleId="MediumGrid3-Accent1">
    <w:name w:val="Medium Grid 3 Accent 1"/>
    <w:basedOn w:val="TableNormal"/>
    <w:uiPriority w:val="69"/>
    <w:rsid w:val="0050665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7CB"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A22E"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A22E"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A22E"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0A22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D09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D096" w:themeFill="accent1" w:themeFillTint="7F"/>
      </w:tcPr>
    </w:tblStylePr>
  </w:style>
  <w:style w:type="table" w:styleId="TableGrid">
    <w:name w:val="Table Grid"/>
    <w:basedOn w:val="TableNormal"/>
    <w:uiPriority w:val="59"/>
    <w:rsid w:val="00D05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962E92"/>
    <w:rPr>
      <w:color w:val="605E5C"/>
      <w:shd w:val="clear" w:color="auto" w:fill="E1DFDD"/>
    </w:rPr>
  </w:style>
  <w:style w:type="paragraph" w:customStyle="1" w:styleId="font-claude-response-body">
    <w:name w:val="font-claude-response-body"/>
    <w:basedOn w:val="Normal"/>
    <w:rsid w:val="00CB59F2"/>
    <w:pPr>
      <w:suppressAutoHyphens w:val="0"/>
      <w:spacing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A16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734240">
      <w:bodyDiv w:val="1"/>
      <w:marLeft w:val="0"/>
      <w:marRight w:val="0"/>
      <w:marTop w:val="0"/>
      <w:marBottom w:val="0"/>
      <w:divBdr>
        <w:top w:val="none" w:sz="0" w:space="0" w:color="auto"/>
        <w:left w:val="none" w:sz="0" w:space="0" w:color="auto"/>
        <w:bottom w:val="none" w:sz="0" w:space="0" w:color="auto"/>
        <w:right w:val="none" w:sz="0" w:space="0" w:color="auto"/>
      </w:divBdr>
    </w:div>
    <w:div w:id="1304626187">
      <w:bodyDiv w:val="1"/>
      <w:marLeft w:val="0"/>
      <w:marRight w:val="0"/>
      <w:marTop w:val="0"/>
      <w:marBottom w:val="0"/>
      <w:divBdr>
        <w:top w:val="none" w:sz="0" w:space="0" w:color="auto"/>
        <w:left w:val="none" w:sz="0" w:space="0" w:color="auto"/>
        <w:bottom w:val="none" w:sz="0" w:space="0" w:color="auto"/>
        <w:right w:val="none" w:sz="0" w:space="0" w:color="auto"/>
      </w:divBdr>
    </w:div>
    <w:div w:id="1979718971">
      <w:bodyDiv w:val="1"/>
      <w:marLeft w:val="0"/>
      <w:marRight w:val="0"/>
      <w:marTop w:val="0"/>
      <w:marBottom w:val="0"/>
      <w:divBdr>
        <w:top w:val="none" w:sz="0" w:space="0" w:color="auto"/>
        <w:left w:val="none" w:sz="0" w:space="0" w:color="auto"/>
        <w:bottom w:val="none" w:sz="0" w:space="0" w:color="auto"/>
        <w:right w:val="none" w:sz="0" w:space="0" w:color="auto"/>
      </w:divBdr>
    </w:div>
    <w:div w:id="20618539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epunasociale.al" TargetMode="Externa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qbz.gov.al/previe&#235;/f61689e7-a6b0-4e0a-95a1-ec652c465d3f/fz" TargetMode="External"/><Relationship Id="rId3" Type="http://schemas.openxmlformats.org/officeDocument/2006/relationships/hyperlink" Target="https://konsultimipublik.gov.al/documents/RENJK_567_SKNDQV-2023-2030.pdf" TargetMode="External"/><Relationship Id="rId7" Type="http://schemas.openxmlformats.org/officeDocument/2006/relationships/hyperlink" Target="https://shendetesia.gov.al/&#235;p-content/uploads/2022/01/LGBTI-NAP-2021-2027-AL-final.pdf" TargetMode="External"/><Relationship Id="rId2" Type="http://schemas.openxmlformats.org/officeDocument/2006/relationships/hyperlink" Target="https://shendetesia.gov.al/sp-content/uploads/2021/07/Strategjia-Kombetare-per-Barazine-Gjinore-2021-2030.docx" TargetMode="External"/><Relationship Id="rId1" Type="http://schemas.openxmlformats.org/officeDocument/2006/relationships/hyperlink" Target="https://qbz.gov.al/eli/vendim/2022/02/09/91" TargetMode="External"/><Relationship Id="rId6" Type="http://schemas.openxmlformats.org/officeDocument/2006/relationships/hyperlink" Target="https://natlex.ilo.org/dyn/natlex2/natlex2/files/download/118177/ALB-118177.pdf" TargetMode="External"/><Relationship Id="rId5" Type="http://schemas.openxmlformats.org/officeDocument/2006/relationships/hyperlink" Target="https://www.undp.org/sites/g/files/zskgke326/files/migration/al/46eb57a0095aac6d46fe42b6cfb302f66368453e0c284a07c0c7c9fd8d43760b.pdf" TargetMode="External"/><Relationship Id="rId4" Type="http://schemas.openxmlformats.org/officeDocument/2006/relationships/hyperlink" Target="https://shendetesia.gov.al/&#235;p-content/uploads/2022/03/Plani-Kombetar-PAK-_2021-2025_AL.pdf" TargetMode="External"/><Relationship Id="rId9" Type="http://schemas.openxmlformats.org/officeDocument/2006/relationships/hyperlink" Target="https://www.konsultimipublik.gov.al/Konsultime/Detaje/561"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rot="0"/>
          <a:lstStyle/>
          <a:p>
            <a:pPr>
              <a:defRPr sz="1300" b="0" u="none" strike="noStrike">
                <a:uFillTx/>
                <a:latin typeface="Arial"/>
              </a:defRPr>
            </a:pPr>
            <a:r>
              <a:rPr lang="en-US" sz="1200"/>
              <a:t>Progress in the number and types of care of Centres/Services supported by the Social Fund</a:t>
            </a:r>
          </a:p>
        </c:rich>
      </c:tx>
      <c:layout>
        <c:manualLayout>
          <c:xMode val="edge"/>
          <c:yMode val="edge"/>
          <c:x val="0.118434522403339"/>
          <c:y val="0"/>
        </c:manualLayout>
      </c:layout>
      <c:overlay val="0"/>
      <c:spPr>
        <a:noFill/>
        <a:ln w="0">
          <a:noFill/>
        </a:ln>
      </c:spPr>
    </c:title>
    <c:autoTitleDeleted val="0"/>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col"/>
        <c:grouping val="clustered"/>
        <c:varyColors val="0"/>
        <c:ser>
          <c:idx val="0"/>
          <c:order val="0"/>
          <c:tx>
            <c:strRef>
              <c:f>Sheet1!$B$1</c:f>
              <c:strCache>
                <c:ptCount val="1"/>
                <c:pt idx="0">
                  <c:v>2022</c:v>
                </c:pt>
              </c:strCache>
            </c:strRef>
          </c:tx>
          <c:spPr>
            <a:solidFill>
              <a:srgbClr val="F0A22E"/>
            </a:solidFill>
            <a:ln w="0">
              <a:noFill/>
            </a:ln>
          </c:spPr>
          <c:invertIfNegative val="0"/>
          <c:dLbls>
            <c:numFmt formatCode="General" sourceLinked="0"/>
            <c:spPr>
              <a:noFill/>
              <a:ln>
                <a:noFill/>
              </a:ln>
              <a:effectLst/>
            </c:spPr>
            <c:txPr>
              <a:bodyPr wrap="square"/>
              <a:lstStyle/>
              <a:p>
                <a:pPr>
                  <a:defRPr sz="900" b="0" u="none" strike="noStrike">
                    <a:solidFill>
                      <a:srgbClr val="404040"/>
                    </a:solidFill>
                    <a:uFillTx/>
                    <a:latin typeface="Garamond"/>
                  </a:defRPr>
                </a:pPr>
                <a:endParaRPr lang="en-US"/>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Sheet1!$A$2:$A$5</c:f>
              <c:strCache>
                <c:ptCount val="4"/>
                <c:pt idx="0">
                  <c:v>No. of Services</c:v>
                </c:pt>
                <c:pt idx="1">
                  <c:v>Community Services</c:v>
                </c:pt>
                <c:pt idx="2">
                  <c:v>Residential Services</c:v>
                </c:pt>
                <c:pt idx="3">
                  <c:v>Emergency Services</c:v>
                </c:pt>
              </c:strCache>
            </c:strRef>
          </c:cat>
          <c:val>
            <c:numRef>
              <c:f>Sheet1!$B$2:$B$5</c:f>
              <c:numCache>
                <c:formatCode>General</c:formatCode>
                <c:ptCount val="4"/>
                <c:pt idx="0">
                  <c:v>26</c:v>
                </c:pt>
                <c:pt idx="1">
                  <c:v>18</c:v>
                </c:pt>
                <c:pt idx="2">
                  <c:v>5</c:v>
                </c:pt>
                <c:pt idx="3">
                  <c:v>3</c:v>
                </c:pt>
              </c:numCache>
            </c:numRef>
          </c:val>
          <c:extLst>
            <c:ext xmlns:c16="http://schemas.microsoft.com/office/drawing/2014/chart" uri="{C3380CC4-5D6E-409C-BE32-E72D297353CC}">
              <c16:uniqueId val="{00000000-6EDB-468C-8FAA-07E801F07DE8}"/>
            </c:ext>
          </c:extLst>
        </c:ser>
        <c:ser>
          <c:idx val="1"/>
          <c:order val="1"/>
          <c:tx>
            <c:strRef>
              <c:f>Sheet1!$C$1</c:f>
              <c:strCache>
                <c:ptCount val="1"/>
                <c:pt idx="0">
                  <c:v>2023</c:v>
                </c:pt>
              </c:strCache>
            </c:strRef>
          </c:tx>
          <c:spPr>
            <a:solidFill>
              <a:srgbClr val="A5644E"/>
            </a:solidFill>
            <a:ln w="0">
              <a:noFill/>
            </a:ln>
          </c:spPr>
          <c:invertIfNegative val="0"/>
          <c:dLbls>
            <c:numFmt formatCode="General" sourceLinked="0"/>
            <c:spPr>
              <a:noFill/>
              <a:ln>
                <a:noFill/>
              </a:ln>
              <a:effectLst/>
            </c:spPr>
            <c:txPr>
              <a:bodyPr wrap="square"/>
              <a:lstStyle/>
              <a:p>
                <a:pPr>
                  <a:defRPr sz="900" b="0" u="none" strike="noStrike">
                    <a:solidFill>
                      <a:srgbClr val="404040"/>
                    </a:solidFill>
                    <a:uFillTx/>
                    <a:latin typeface="Garamond"/>
                  </a:defRPr>
                </a:pPr>
                <a:endParaRPr lang="en-US"/>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Sheet1!$A$2:$A$5</c:f>
              <c:strCache>
                <c:ptCount val="4"/>
                <c:pt idx="0">
                  <c:v>No. of Services</c:v>
                </c:pt>
                <c:pt idx="1">
                  <c:v>Community Services</c:v>
                </c:pt>
                <c:pt idx="2">
                  <c:v>Residential Services</c:v>
                </c:pt>
                <c:pt idx="3">
                  <c:v>Emergency Services</c:v>
                </c:pt>
              </c:strCache>
            </c:strRef>
          </c:cat>
          <c:val>
            <c:numRef>
              <c:f>Sheet1!$C$2:$C$5</c:f>
              <c:numCache>
                <c:formatCode>General</c:formatCode>
                <c:ptCount val="4"/>
                <c:pt idx="0">
                  <c:v>33</c:v>
                </c:pt>
                <c:pt idx="1">
                  <c:v>23</c:v>
                </c:pt>
                <c:pt idx="2">
                  <c:v>6</c:v>
                </c:pt>
                <c:pt idx="3">
                  <c:v>4</c:v>
                </c:pt>
              </c:numCache>
            </c:numRef>
          </c:val>
          <c:extLst>
            <c:ext xmlns:c16="http://schemas.microsoft.com/office/drawing/2014/chart" uri="{C3380CC4-5D6E-409C-BE32-E72D297353CC}">
              <c16:uniqueId val="{00000001-6EDB-468C-8FAA-07E801F07DE8}"/>
            </c:ext>
          </c:extLst>
        </c:ser>
        <c:ser>
          <c:idx val="2"/>
          <c:order val="2"/>
          <c:tx>
            <c:strRef>
              <c:f>Sheet1!$D$1</c:f>
              <c:strCache>
                <c:ptCount val="1"/>
                <c:pt idx="0">
                  <c:v>2024</c:v>
                </c:pt>
              </c:strCache>
            </c:strRef>
          </c:tx>
          <c:spPr>
            <a:solidFill>
              <a:srgbClr val="C17529"/>
            </a:solidFill>
            <a:ln w="0">
              <a:noFill/>
            </a:ln>
          </c:spPr>
          <c:invertIfNegative val="0"/>
          <c:dLbls>
            <c:numFmt formatCode="General" sourceLinked="0"/>
            <c:spPr>
              <a:noFill/>
              <a:ln>
                <a:noFill/>
              </a:ln>
              <a:effectLst/>
            </c:spPr>
            <c:txPr>
              <a:bodyPr wrap="square"/>
              <a:lstStyle/>
              <a:p>
                <a:pPr>
                  <a:defRPr sz="900" b="0" u="none" strike="noStrike">
                    <a:solidFill>
                      <a:srgbClr val="404040"/>
                    </a:solidFill>
                    <a:uFillTx/>
                    <a:latin typeface="Garamond"/>
                  </a:defRPr>
                </a:pPr>
                <a:endParaRPr lang="en-US"/>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Sheet1!$A$2:$A$5</c:f>
              <c:strCache>
                <c:ptCount val="4"/>
                <c:pt idx="0">
                  <c:v>No. of Services</c:v>
                </c:pt>
                <c:pt idx="1">
                  <c:v>Community Services</c:v>
                </c:pt>
                <c:pt idx="2">
                  <c:v>Residential Services</c:v>
                </c:pt>
                <c:pt idx="3">
                  <c:v>Emergency Services</c:v>
                </c:pt>
              </c:strCache>
            </c:strRef>
          </c:cat>
          <c:val>
            <c:numRef>
              <c:f>Sheet1!$D$2:$D$5</c:f>
              <c:numCache>
                <c:formatCode>General</c:formatCode>
                <c:ptCount val="4"/>
                <c:pt idx="0">
                  <c:v>48</c:v>
                </c:pt>
                <c:pt idx="1">
                  <c:v>37</c:v>
                </c:pt>
                <c:pt idx="2">
                  <c:v>7</c:v>
                </c:pt>
                <c:pt idx="3">
                  <c:v>4</c:v>
                </c:pt>
              </c:numCache>
            </c:numRef>
          </c:val>
          <c:extLst>
            <c:ext xmlns:c16="http://schemas.microsoft.com/office/drawing/2014/chart" uri="{C3380CC4-5D6E-409C-BE32-E72D297353CC}">
              <c16:uniqueId val="{00000002-6EDB-468C-8FAA-07E801F07DE8}"/>
            </c:ext>
          </c:extLst>
        </c:ser>
        <c:ser>
          <c:idx val="3"/>
          <c:order val="3"/>
          <c:tx>
            <c:strRef>
              <c:f>Sheet1!$E$1</c:f>
              <c:strCache>
                <c:ptCount val="1"/>
                <c:pt idx="0">
                  <c:v>2025</c:v>
                </c:pt>
              </c:strCache>
            </c:strRef>
          </c:tx>
          <c:spPr>
            <a:solidFill>
              <a:srgbClr val="FFFF00"/>
            </a:solidFill>
            <a:ln w="0">
              <a:noFill/>
            </a:ln>
          </c:spPr>
          <c:invertIfNegative val="0"/>
          <c:dLbls>
            <c:numFmt formatCode="General" sourceLinked="0"/>
            <c:spPr>
              <a:noFill/>
              <a:ln>
                <a:noFill/>
              </a:ln>
              <a:effectLst/>
            </c:spPr>
            <c:txPr>
              <a:bodyPr wrap="square"/>
              <a:lstStyle/>
              <a:p>
                <a:pPr>
                  <a:defRPr sz="900" b="0" u="none" strike="noStrike">
                    <a:solidFill>
                      <a:srgbClr val="404040"/>
                    </a:solidFill>
                    <a:uFillTx/>
                    <a:latin typeface="Garamond"/>
                  </a:defRPr>
                </a:pPr>
                <a:endParaRPr lang="en-US"/>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strRef>
              <c:f>Sheet1!$A$2:$A$5</c:f>
              <c:strCache>
                <c:ptCount val="4"/>
                <c:pt idx="0">
                  <c:v>No. of Services</c:v>
                </c:pt>
                <c:pt idx="1">
                  <c:v>Community Services</c:v>
                </c:pt>
                <c:pt idx="2">
                  <c:v>Residential Services</c:v>
                </c:pt>
                <c:pt idx="3">
                  <c:v>Emergency Services</c:v>
                </c:pt>
              </c:strCache>
            </c:strRef>
          </c:cat>
          <c:val>
            <c:numRef>
              <c:f>Sheet1!$E$2:$E$5</c:f>
              <c:numCache>
                <c:formatCode>General</c:formatCode>
                <c:ptCount val="4"/>
                <c:pt idx="0">
                  <c:v>68</c:v>
                </c:pt>
                <c:pt idx="1">
                  <c:v>57</c:v>
                </c:pt>
                <c:pt idx="2">
                  <c:v>8</c:v>
                </c:pt>
                <c:pt idx="3">
                  <c:v>3</c:v>
                </c:pt>
              </c:numCache>
            </c:numRef>
          </c:val>
          <c:extLst>
            <c:ext xmlns:c16="http://schemas.microsoft.com/office/drawing/2014/chart" uri="{C3380CC4-5D6E-409C-BE32-E72D297353CC}">
              <c16:uniqueId val="{00000003-6EDB-468C-8FAA-07E801F07DE8}"/>
            </c:ext>
          </c:extLst>
        </c:ser>
        <c:dLbls>
          <c:showLegendKey val="0"/>
          <c:showVal val="0"/>
          <c:showCatName val="0"/>
          <c:showSerName val="0"/>
          <c:showPercent val="0"/>
          <c:showBubbleSize val="0"/>
        </c:dLbls>
        <c:gapWidth val="150"/>
        <c:shape val="box"/>
        <c:axId val="2106751736"/>
        <c:axId val="2107344312"/>
        <c:axId val="0"/>
      </c:bar3DChart>
      <c:catAx>
        <c:axId val="2106751736"/>
        <c:scaling>
          <c:orientation val="minMax"/>
        </c:scaling>
        <c:delete val="0"/>
        <c:axPos val="b"/>
        <c:numFmt formatCode="General" sourceLinked="0"/>
        <c:majorTickMark val="none"/>
        <c:minorTickMark val="none"/>
        <c:tickLblPos val="nextTo"/>
        <c:spPr>
          <a:ln w="6480">
            <a:noFill/>
          </a:ln>
        </c:spPr>
        <c:txPr>
          <a:bodyPr/>
          <a:lstStyle/>
          <a:p>
            <a:pPr>
              <a:defRPr sz="900" b="0" u="none" strike="noStrike">
                <a:solidFill>
                  <a:srgbClr val="595959"/>
                </a:solidFill>
                <a:uFillTx/>
                <a:latin typeface="Garamond"/>
              </a:defRPr>
            </a:pPr>
            <a:endParaRPr lang="en-US"/>
          </a:p>
        </c:txPr>
        <c:crossAx val="2107344312"/>
        <c:crosses val="autoZero"/>
        <c:auto val="1"/>
        <c:lblAlgn val="ctr"/>
        <c:lblOffset val="100"/>
        <c:noMultiLvlLbl val="0"/>
      </c:catAx>
      <c:valAx>
        <c:axId val="2107344312"/>
        <c:scaling>
          <c:orientation val="minMax"/>
        </c:scaling>
        <c:delete val="1"/>
        <c:axPos val="l"/>
        <c:numFmt formatCode="General" sourceLinked="1"/>
        <c:majorTickMark val="none"/>
        <c:minorTickMark val="none"/>
        <c:tickLblPos val="nextTo"/>
        <c:crossAx val="2106751736"/>
        <c:crosses val="autoZero"/>
        <c:crossBetween val="between"/>
      </c:valAx>
    </c:plotArea>
    <c:legend>
      <c:legendPos val="b"/>
      <c:layout>
        <c:manualLayout>
          <c:xMode val="edge"/>
          <c:yMode val="edge"/>
          <c:x val="0.229125"/>
          <c:y val="0.89788888888888896"/>
          <c:w val="0.51946996687293001"/>
          <c:h val="7.5230581175686206E-2"/>
        </c:manualLayout>
      </c:layout>
      <c:overlay val="0"/>
      <c:spPr>
        <a:noFill/>
        <a:ln w="0">
          <a:noFill/>
        </a:ln>
      </c:spPr>
      <c:txPr>
        <a:bodyPr/>
        <a:lstStyle/>
        <a:p>
          <a:pPr>
            <a:defRPr sz="900" b="1" u="none" strike="noStrike">
              <a:solidFill>
                <a:srgbClr val="595959"/>
              </a:solidFill>
              <a:uFillTx/>
              <a:latin typeface="Garamond"/>
            </a:defRPr>
          </a:pPr>
          <a:endParaRPr lang="en-US"/>
        </a:p>
      </c:txPr>
    </c:legend>
    <c:plotVisOnly val="1"/>
    <c:dispBlanksAs val="gap"/>
    <c:showDLblsOverMax val="1"/>
  </c:chart>
  <c:spPr>
    <a:solidFill>
      <a:srgbClr val="FFFFFF"/>
    </a:solidFill>
    <a:ln w="9360">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c:style val="2"/>
  <c:chart>
    <c:title>
      <c:tx>
        <c:rich>
          <a:bodyPr rot="0"/>
          <a:lstStyle/>
          <a:p>
            <a:pPr>
              <a:defRPr sz="1300" b="0" u="none" strike="noStrike">
                <a:uFillTx/>
                <a:latin typeface="Arial"/>
              </a:defRPr>
            </a:pPr>
            <a:r>
              <a:rPr lang="en-US" sz="1200">
                <a:effectLst/>
              </a:rPr>
              <a:t>Percentage ratio of inspections in Public and Non-Public entities</a:t>
            </a:r>
          </a:p>
        </c:rich>
      </c:tx>
      <c:overlay val="0"/>
      <c:spPr>
        <a:noFill/>
        <a:ln w="0">
          <a:noFill/>
        </a:ln>
      </c:spPr>
    </c:title>
    <c:autoTitleDeleted val="0"/>
    <c:view3D>
      <c:rotX val="15"/>
      <c:rotY val="20"/>
      <c:rAngAx val="1"/>
    </c:view3D>
    <c:floor>
      <c:thickness val="0"/>
      <c:spPr>
        <a:noFill/>
        <a:ln w="6480">
          <a:noFill/>
        </a:ln>
      </c:spPr>
    </c:floor>
    <c:sideWall>
      <c:thickness val="0"/>
      <c:spPr>
        <a:noFill/>
        <a:ln w="6480">
          <a:noFill/>
        </a:ln>
      </c:spPr>
    </c:sideWall>
    <c:backWall>
      <c:thickness val="0"/>
      <c:spPr>
        <a:noFill/>
        <a:ln w="6480">
          <a:noFill/>
        </a:ln>
      </c:spPr>
    </c:backWall>
    <c:plotArea>
      <c:layout/>
      <c:bar3DChart>
        <c:barDir val="col"/>
        <c:grouping val="clustered"/>
        <c:varyColors val="0"/>
        <c:ser>
          <c:idx val="0"/>
          <c:order val="0"/>
          <c:tx>
            <c:strRef>
              <c:f>Sheet1!$B$1</c:f>
              <c:strCache>
                <c:ptCount val="1"/>
                <c:pt idx="0">
                  <c:v>Non-Public Centres/Services</c:v>
                </c:pt>
              </c:strCache>
            </c:strRef>
          </c:tx>
          <c:spPr>
            <a:solidFill>
              <a:srgbClr val="F0A22E"/>
            </a:solidFill>
            <a:ln w="0">
              <a:noFill/>
            </a:ln>
          </c:spPr>
          <c:invertIfNegative val="0"/>
          <c:dLbls>
            <c:numFmt formatCode="0.0" sourceLinked="0"/>
            <c:spPr>
              <a:noFill/>
              <a:ln>
                <a:noFill/>
              </a:ln>
              <a:effectLst/>
            </c:spPr>
            <c:txPr>
              <a:bodyPr wrap="square"/>
              <a:lstStyle/>
              <a:p>
                <a:pPr>
                  <a:defRPr sz="1100" b="0" u="none" strike="noStrike">
                    <a:solidFill>
                      <a:srgbClr val="404040"/>
                    </a:solidFill>
                    <a:uFillTx/>
                    <a:latin typeface="Garamond"/>
                  </a:defRPr>
                </a:pPr>
                <a:endParaRPr lang="en-US"/>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numRef>
              <c:f>Sheet1!$A$2:$A$5</c:f>
              <c:numCache>
                <c:formatCode>General</c:formatCode>
                <c:ptCount val="4"/>
                <c:pt idx="0">
                  <c:v>2022</c:v>
                </c:pt>
                <c:pt idx="1">
                  <c:v>2023</c:v>
                </c:pt>
                <c:pt idx="2">
                  <c:v>2024</c:v>
                </c:pt>
                <c:pt idx="3">
                  <c:v>2025</c:v>
                </c:pt>
              </c:numCache>
            </c:numRef>
          </c:cat>
          <c:val>
            <c:numRef>
              <c:f>Sheet1!$B$2:$B$5</c:f>
              <c:numCache>
                <c:formatCode>General</c:formatCode>
                <c:ptCount val="4"/>
                <c:pt idx="0">
                  <c:v>58.620689655172391</c:v>
                </c:pt>
                <c:pt idx="1">
                  <c:v>37.962962962962997</c:v>
                </c:pt>
                <c:pt idx="2">
                  <c:v>42.063492063492092</c:v>
                </c:pt>
                <c:pt idx="3">
                  <c:v>43.283582089552198</c:v>
                </c:pt>
              </c:numCache>
            </c:numRef>
          </c:val>
          <c:extLst>
            <c:ext xmlns:c16="http://schemas.microsoft.com/office/drawing/2014/chart" uri="{C3380CC4-5D6E-409C-BE32-E72D297353CC}">
              <c16:uniqueId val="{00000000-1201-4E74-B860-B2A3F803842D}"/>
            </c:ext>
          </c:extLst>
        </c:ser>
        <c:ser>
          <c:idx val="1"/>
          <c:order val="1"/>
          <c:tx>
            <c:strRef>
              <c:f>Sheet1!$C$1</c:f>
              <c:strCache>
                <c:ptCount val="1"/>
                <c:pt idx="0">
                  <c:v>Public Centres/Services</c:v>
                </c:pt>
              </c:strCache>
            </c:strRef>
          </c:tx>
          <c:spPr>
            <a:solidFill>
              <a:srgbClr val="A5644E"/>
            </a:solidFill>
            <a:ln w="0">
              <a:noFill/>
            </a:ln>
          </c:spPr>
          <c:invertIfNegative val="0"/>
          <c:dLbls>
            <c:numFmt formatCode="0.0" sourceLinked="0"/>
            <c:spPr>
              <a:noFill/>
              <a:ln>
                <a:noFill/>
              </a:ln>
              <a:effectLst/>
            </c:spPr>
            <c:txPr>
              <a:bodyPr wrap="square"/>
              <a:lstStyle/>
              <a:p>
                <a:pPr>
                  <a:defRPr sz="1100" b="0" u="none" strike="noStrike">
                    <a:solidFill>
                      <a:srgbClr val="404040"/>
                    </a:solidFill>
                    <a:uFillTx/>
                    <a:latin typeface="Garamond"/>
                  </a:defRPr>
                </a:pPr>
                <a:endParaRPr lang="en-US"/>
              </a:p>
            </c:txPr>
            <c:showLegendKey val="0"/>
            <c:showVal val="1"/>
            <c:showCatName val="0"/>
            <c:showSerName val="0"/>
            <c:showPercent val="0"/>
            <c:showBubbleSize val="1"/>
            <c:separator>; </c:separator>
            <c:showLeaderLines val="0"/>
            <c:extLst>
              <c:ext xmlns:c15="http://schemas.microsoft.com/office/drawing/2012/chart" uri="{CE6537A1-D6FC-4f65-9D91-7224C49458BB}">
                <c15:showLeaderLines val="1"/>
              </c:ext>
            </c:extLst>
          </c:dLbls>
          <c:cat>
            <c:numRef>
              <c:f>Sheet1!$A$2:$A$5</c:f>
              <c:numCache>
                <c:formatCode>General</c:formatCode>
                <c:ptCount val="4"/>
                <c:pt idx="0">
                  <c:v>2022</c:v>
                </c:pt>
                <c:pt idx="1">
                  <c:v>2023</c:v>
                </c:pt>
                <c:pt idx="2">
                  <c:v>2024</c:v>
                </c:pt>
                <c:pt idx="3">
                  <c:v>2025</c:v>
                </c:pt>
              </c:numCache>
            </c:numRef>
          </c:cat>
          <c:val>
            <c:numRef>
              <c:f>Sheet1!$C$2:$C$5</c:f>
              <c:numCache>
                <c:formatCode>General</c:formatCode>
                <c:ptCount val="4"/>
                <c:pt idx="0">
                  <c:v>41.379310344827601</c:v>
                </c:pt>
                <c:pt idx="1">
                  <c:v>60.185185185185198</c:v>
                </c:pt>
                <c:pt idx="2">
                  <c:v>57.936507936507901</c:v>
                </c:pt>
                <c:pt idx="3">
                  <c:v>52.238805970149301</c:v>
                </c:pt>
              </c:numCache>
            </c:numRef>
          </c:val>
          <c:extLst>
            <c:ext xmlns:c16="http://schemas.microsoft.com/office/drawing/2014/chart" uri="{C3380CC4-5D6E-409C-BE32-E72D297353CC}">
              <c16:uniqueId val="{00000001-1201-4E74-B860-B2A3F803842D}"/>
            </c:ext>
          </c:extLst>
        </c:ser>
        <c:dLbls>
          <c:showLegendKey val="0"/>
          <c:showVal val="0"/>
          <c:showCatName val="0"/>
          <c:showSerName val="0"/>
          <c:showPercent val="0"/>
          <c:showBubbleSize val="0"/>
        </c:dLbls>
        <c:gapWidth val="150"/>
        <c:shape val="box"/>
        <c:axId val="2029532120"/>
        <c:axId val="2029506600"/>
        <c:axId val="0"/>
      </c:bar3DChart>
      <c:catAx>
        <c:axId val="2029532120"/>
        <c:scaling>
          <c:orientation val="minMax"/>
        </c:scaling>
        <c:delete val="0"/>
        <c:axPos val="b"/>
        <c:numFmt formatCode="General" sourceLinked="0"/>
        <c:majorTickMark val="none"/>
        <c:minorTickMark val="none"/>
        <c:tickLblPos val="nextTo"/>
        <c:spPr>
          <a:ln w="6480">
            <a:noFill/>
          </a:ln>
        </c:spPr>
        <c:txPr>
          <a:bodyPr/>
          <a:lstStyle/>
          <a:p>
            <a:pPr>
              <a:defRPr sz="1100" b="0" u="none" strike="noStrike">
                <a:solidFill>
                  <a:srgbClr val="595959"/>
                </a:solidFill>
                <a:uFillTx/>
                <a:latin typeface="Garamond"/>
              </a:defRPr>
            </a:pPr>
            <a:endParaRPr lang="en-US"/>
          </a:p>
        </c:txPr>
        <c:crossAx val="2029506600"/>
        <c:crosses val="autoZero"/>
        <c:auto val="1"/>
        <c:lblAlgn val="ctr"/>
        <c:lblOffset val="100"/>
        <c:noMultiLvlLbl val="0"/>
      </c:catAx>
      <c:valAx>
        <c:axId val="2029506600"/>
        <c:scaling>
          <c:orientation val="minMax"/>
        </c:scaling>
        <c:delete val="1"/>
        <c:axPos val="l"/>
        <c:numFmt formatCode="General" sourceLinked="1"/>
        <c:majorTickMark val="none"/>
        <c:minorTickMark val="none"/>
        <c:tickLblPos val="nextTo"/>
        <c:crossAx val="2029532120"/>
        <c:crosses val="autoZero"/>
        <c:crossBetween val="between"/>
      </c:valAx>
    </c:plotArea>
    <c:legend>
      <c:legendPos val="b"/>
      <c:overlay val="0"/>
      <c:spPr>
        <a:noFill/>
        <a:ln w="0">
          <a:noFill/>
        </a:ln>
      </c:spPr>
      <c:txPr>
        <a:bodyPr/>
        <a:lstStyle/>
        <a:p>
          <a:pPr>
            <a:defRPr sz="1100" b="0" u="none" strike="noStrike">
              <a:solidFill>
                <a:srgbClr val="595959"/>
              </a:solidFill>
              <a:uFillTx/>
              <a:latin typeface="Times New Roman"/>
            </a:defRPr>
          </a:pPr>
          <a:endParaRPr lang="en-US"/>
        </a:p>
      </c:txPr>
    </c:legend>
    <c:plotVisOnly val="1"/>
    <c:dispBlanksAs val="gap"/>
    <c:showDLblsOverMax val="1"/>
  </c:chart>
  <c:spPr>
    <a:solidFill>
      <a:srgbClr val="FFFFFF"/>
    </a:solidFill>
    <a:ln w="9360">
      <a:noFill/>
    </a:ln>
  </c:spPr>
  <c:externalData r:id="rId1">
    <c:autoUpdate val="0"/>
  </c:externalData>
</c:chartSpace>
</file>

<file path=word/theme/theme1.xml><?xml version="1.0" encoding="utf-8"?>
<a:theme xmlns:a="http://schemas.openxmlformats.org/drawingml/2006/main" name="Organic">
  <a:themeElements>
    <a:clrScheme name="Yellow Orange">
      <a:dk1>
        <a:srgbClr val="000000"/>
      </a:dk1>
      <a:lt1>
        <a:srgbClr val="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rganic">
      <a:majorFont>
        <a:latin typeface="Garamond"/>
        <a:ea typeface=""/>
        <a:cs typeface=""/>
      </a:majorFont>
      <a:minorFont>
        <a:latin typeface="Garamond"/>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gradFill>
          <a:gsLst>
            <a:gs pos="0">
              <a:schemeClr val="phClr">
                <a:tint val="90000"/>
                <a:lumMod val="110000"/>
              </a:schemeClr>
            </a:gs>
            <a:gs pos="100000">
              <a:schemeClr val="phClr">
                <a:shade val="88000"/>
                <a:lumMod val="98000"/>
              </a:schemeClr>
            </a:gs>
          </a:gsLst>
          <a:lin ang="5400000" scaled="0"/>
          <a:tileRect/>
        </a:gradFill>
        <a:blipFill rotWithShape="0">
          <a:srcRect/>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3A835-DF17-4181-B69C-2E03C799CEFC}">
  <ds:schemaRefs>
    <ds:schemaRef ds:uri="http://schemas.microsoft.com/office/2006/coverPageProps"/>
  </ds:schemaRefs>
</ds:datastoreItem>
</file>

<file path=customXml/itemProps2.xml><?xml version="1.0" encoding="utf-8"?>
<ds:datastoreItem xmlns:ds="http://schemas.openxmlformats.org/officeDocument/2006/customXml" ds:itemID="{06CC021C-9170-44BE-AA14-66649C364B41}">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22480</Words>
  <Characters>128142</Characters>
  <Application>Microsoft Office Word</Application>
  <DocSecurity>0</DocSecurity>
  <Lines>1067</Lines>
  <Paragraphs>300</Paragraphs>
  <ScaleCrop>false</ScaleCrop>
  <HeadingPairs>
    <vt:vector size="2" baseType="variant">
      <vt:variant>
        <vt:lpstr>Title</vt:lpstr>
      </vt:variant>
      <vt:variant>
        <vt:i4>1</vt:i4>
      </vt:variant>
    </vt:vector>
  </HeadingPairs>
  <TitlesOfParts>
    <vt:vector size="1" baseType="lpstr">
      <vt:lpstr>NATIONAL SOCIAL PROTECTION STRATEGY 2024-2030</vt:lpstr>
    </vt:vector>
  </TitlesOfParts>
  <Company/>
  <LinksUpToDate>false</LinksUpToDate>
  <CharactersWithSpaces>150322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SOCIAL PROTECTION STRATEGY 2024-2030</dc:title>
  <dc:subject>RAPORT PROGRESI VITI 2025</dc:subject>
  <dc:creator>Përgatitën  :Merita Xhafaj, Albana Ahmeti</dc:creator>
  <dc:description/>
  <cp:lastModifiedBy>Xhilda Papajani</cp:lastModifiedBy>
  <cp:revision>2</cp:revision>
  <cp:lastPrinted>2023-07-16T21:35:00Z</cp:lastPrinted>
  <dcterms:created xsi:type="dcterms:W3CDTF">2026-03-13T11:26:00Z</dcterms:created>
  <dcterms:modified xsi:type="dcterms:W3CDTF">2026-03-13T11:26:00Z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a91ebaa0846f1aac44a35fa8246177dd81018da0c0a39dd2e13b7be9ca559e2a</vt:lpwstr>
  </property>
</Properties>
</file>