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5" Type="http://schemas.microsoft.com/office/2020/02/relationships/classificationlabels" Target="docMetadata/LabelInfo.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925257719"/>
        <w:docPartObj>
          <w:docPartGallery w:val="Cover Pages"/>
          <w:docPartUnique/>
        </w:docPartObj>
      </w:sdtPr>
      <w:sdtEndPr/>
      <w:sdtContent>
        <w:bookmarkStart w:id="0" w:name="_GoBack" w:displacedByCustomXml="prev"/>
        <w:bookmarkEnd w:id="0" w:displacedByCustomXml="prev"/>
        <w:p w14:paraId="59D90F2A" w14:textId="249C5A73" w:rsidR="005F2AC9" w:rsidRDefault="00B56839">
          <w:pPr>
            <w:pStyle w:val="NoSpacing"/>
            <w:tabs>
              <w:tab w:val="center" w:pos="4815"/>
              <w:tab w:val="left" w:pos="7080"/>
            </w:tabs>
            <w:spacing w:before="1540" w:after="240"/>
            <w:rPr>
              <w:color w:val="000000" w:themeColor="text1"/>
            </w:rPr>
          </w:pPr>
          <w:r>
            <w:rPr>
              <w:color w:val="000000" w:themeColor="text1"/>
            </w:rPr>
            <w:tab/>
          </w:r>
          <w:r>
            <w:rPr>
              <w:noProof/>
            </w:rPr>
            <w:drawing>
              <wp:inline distT="0" distB="0" distL="0" distR="0" wp14:anchorId="15826613" wp14:editId="4692A3F8">
                <wp:extent cx="2247900" cy="179070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r:embed="rId10"/>
                        <a:stretch>
                          <a:fillRect/>
                        </a:stretch>
                      </pic:blipFill>
                      <pic:spPr bwMode="auto">
                        <a:xfrm>
                          <a:off x="0" y="0"/>
                          <a:ext cx="2247900" cy="1790700"/>
                        </a:xfrm>
                        <a:prstGeom prst="rect">
                          <a:avLst/>
                        </a:prstGeom>
                        <a:noFill/>
                      </pic:spPr>
                    </pic:pic>
                  </a:graphicData>
                </a:graphic>
              </wp:inline>
            </w:drawing>
          </w:r>
          <w:r w:rsidR="004F2BA4">
            <w:rPr>
              <w:noProof/>
            </w:rPr>
            <mc:AlternateContent>
              <mc:Choice Requires="wps">
                <w:drawing>
                  <wp:inline distT="0" distB="0" distL="0" distR="0" wp14:anchorId="10DF7620" wp14:editId="2CCBE1A6">
                    <wp:extent cx="304800" cy="304800"/>
                    <wp:effectExtent l="0" t="0" r="0" b="0"/>
                    <wp:docPr id="24364516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30480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29CD39" id="Rectangl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" filled="f" stroked="f" strokeweight="0">
                    <w10:anchorlock/>
                  </v:rect>
                </w:pict>
              </mc:Fallback>
            </mc:AlternateContent>
          </w:r>
          <w:r>
            <w:rPr>
              <w:color w:val="000000" w:themeColor="text1"/>
            </w:rPr>
            <w:tab/>
          </w:r>
        </w:p>
        <w:p w14:paraId="77279492" w14:textId="77777777" w:rsidR="005F2AC9" w:rsidRDefault="00BF7ED1">
          <w:pPr>
            <w:pStyle w:val="NoSpacing"/>
            <w:pBdr>
              <w:top w:val="single" w:sz="6" w:space="6" w:color="F0A22E" w:themeColor="accent1"/>
              <w:bottom w:val="single" w:sz="6" w:space="6" w:color="F0A22E" w:themeColor="accent1"/>
            </w:pBdr>
            <w:spacing w:after="240"/>
            <w:jc w:val="center"/>
            <w:rPr>
              <w:rFonts w:asciiTheme="majorHAnsi" w:eastAsiaTheme="majorEastAsia" w:hAnsiTheme="majorHAnsi" w:cstheme="majorBidi"/>
              <w:caps/>
              <w:color w:val="000000" w:themeColor="text1"/>
              <w:sz w:val="80"/>
              <w:szCs w:val="80"/>
              <w:lang w:val="fr-FR"/>
            </w:rPr>
          </w:pPr>
          <w:sdt>
            <w:sdtPr>
              <w:alias w:val="Title"/>
              <w:id w:val="1735040861"/>
              <w:dataBinding w:prefixMappings="xmlns:ns0='http://purl.org/dc/elements/1.1/' xmlns:ns1='http://schemas.openxmlformats.org/package/2006/metadata/core-properties' " w:xpath="/ns1:coreProperties[1]/ns0:title[1]" w:storeItemID="{6C3C8BC8-F283-45AE-878A-BAB7291924A1}"/>
              <w:text/>
            </w:sdtPr>
            <w:sdtEndPr/>
            <w:sdtContent>
              <w:r w:rsidR="00B56839">
                <w:rPr>
                  <w:rFonts w:eastAsiaTheme="majorEastAsia" w:cstheme="majorBidi"/>
                  <w:caps/>
                  <w:color w:val="000000" w:themeColor="text1"/>
                  <w:sz w:val="72"/>
                  <w:szCs w:val="72"/>
                  <w:lang w:val="fr-FR"/>
                </w:rPr>
                <w:t>STRATEGJIA KOMBËTARE E MBROJTJES SOCIALE        2024-2030</w:t>
              </w:r>
            </w:sdtContent>
          </w:sdt>
        </w:p>
      </w:sdtContent>
    </w:sdt>
    <w:p w14:paraId="447BAED5" w14:textId="77777777" w:rsidR="005F2AC9" w:rsidRDefault="00BF7ED1">
      <w:pPr>
        <w:pStyle w:val="NoSpacing"/>
        <w:jc w:val="center"/>
        <w:rPr>
          <w:color w:val="000000" w:themeColor="text1"/>
          <w:sz w:val="32"/>
          <w:szCs w:val="32"/>
          <w:lang w:val="fr-FR"/>
        </w:rPr>
      </w:pPr>
      <w:sdt>
        <w:sdtPr>
          <w:alias w:val="Subtitle"/>
          <w:id w:val="328029620"/>
          <w:dataBinding w:prefixMappings="xmlns:ns0='http://purl.org/dc/elements/1.1/' xmlns:ns1='http://schemas.openxmlformats.org/package/2006/metadata/core-properties' " w:xpath="/ns1:coreProperties[1]/ns0:subject[1]" w:storeItemID="{6C3C8BC8-F283-45AE-878A-BAB7291924A1}"/>
          <w:text/>
        </w:sdtPr>
        <w:sdtEndPr/>
        <w:sdtContent>
          <w:r w:rsidR="00B56839">
            <w:rPr>
              <w:color w:val="000000" w:themeColor="text1"/>
              <w:sz w:val="32"/>
              <w:szCs w:val="32"/>
              <w:lang w:val="fr-FR"/>
            </w:rPr>
            <w:t>RAPORT PROGRESI VITI 2025</w:t>
          </w:r>
        </w:sdtContent>
      </w:sdt>
    </w:p>
    <w:p w14:paraId="57EEFCB7" w14:textId="77777777" w:rsidR="005F2AC9" w:rsidRDefault="005F2AC9">
      <w:pPr>
        <w:pStyle w:val="NoSpacing"/>
        <w:spacing w:before="480"/>
        <w:jc w:val="center"/>
        <w:rPr>
          <w:color w:val="000000" w:themeColor="text1"/>
          <w:lang w:val="fr-FR"/>
        </w:rPr>
      </w:pPr>
    </w:p>
    <w:p w14:paraId="0661E26F" w14:textId="77777777" w:rsidR="005F2AC9" w:rsidRDefault="005F2AC9">
      <w:pPr>
        <w:pStyle w:val="NoSpacing"/>
        <w:spacing w:before="480"/>
        <w:jc w:val="center"/>
        <w:rPr>
          <w:color w:val="000000" w:themeColor="text1"/>
          <w:lang w:val="fr-FR"/>
        </w:rPr>
      </w:pPr>
    </w:p>
    <w:p w14:paraId="743869A7" w14:textId="77777777" w:rsidR="005F2AC9" w:rsidRDefault="005F2AC9">
      <w:pPr>
        <w:pStyle w:val="NoSpacing"/>
        <w:spacing w:before="480"/>
        <w:jc w:val="center"/>
        <w:rPr>
          <w:color w:val="000000" w:themeColor="text1"/>
          <w:lang w:val="fr-FR"/>
        </w:rPr>
      </w:pPr>
    </w:p>
    <w:p w14:paraId="333A27C0" w14:textId="77777777" w:rsidR="005F2AC9" w:rsidRDefault="005F2AC9">
      <w:pPr>
        <w:pStyle w:val="NoSpacing"/>
        <w:spacing w:before="480"/>
        <w:jc w:val="center"/>
        <w:rPr>
          <w:color w:val="000000" w:themeColor="text1"/>
          <w:lang w:val="fr-FR"/>
        </w:rPr>
      </w:pPr>
    </w:p>
    <w:p w14:paraId="5913C2CC" w14:textId="77777777" w:rsidR="005F2AC9" w:rsidRDefault="005F2AC9">
      <w:pPr>
        <w:pStyle w:val="NoSpacing"/>
        <w:spacing w:before="480"/>
        <w:jc w:val="center"/>
        <w:rPr>
          <w:color w:val="000000" w:themeColor="text1"/>
          <w:lang w:val="fr-FR"/>
        </w:rPr>
      </w:pPr>
    </w:p>
    <w:p w14:paraId="6624E1FA" w14:textId="77777777" w:rsidR="005F2AC9" w:rsidRDefault="005F2AC9">
      <w:pPr>
        <w:pStyle w:val="NoSpacing"/>
        <w:spacing w:before="480"/>
        <w:jc w:val="center"/>
        <w:rPr>
          <w:color w:val="000000" w:themeColor="text1"/>
          <w:lang w:val="fr-FR"/>
        </w:rPr>
      </w:pPr>
    </w:p>
    <w:p w14:paraId="2FFE13CE" w14:textId="77777777" w:rsidR="005F2AC9" w:rsidRDefault="005F2AC9">
      <w:pPr>
        <w:pStyle w:val="NoSpacing"/>
        <w:spacing w:before="480"/>
        <w:jc w:val="center"/>
        <w:rPr>
          <w:color w:val="000000" w:themeColor="text1"/>
          <w:lang w:val="fr-FR"/>
        </w:rPr>
      </w:pPr>
    </w:p>
    <w:p w14:paraId="076170EF" w14:textId="78D6BB1C" w:rsidR="005F2AC9" w:rsidRDefault="004F2BA4">
      <w:pPr>
        <w:pStyle w:val="NoSpacing"/>
        <w:spacing w:before="480"/>
        <w:rPr>
          <w:color w:val="000000" w:themeColor="text1"/>
          <w:lang w:val="fr-FR"/>
        </w:rPr>
      </w:pPr>
      <w:r>
        <w:rPr>
          <w:noProof/>
        </w:rPr>
        <w:lastRenderedPageBreak/>
        <mc:AlternateContent>
          <mc:Choice Requires="wps">
            <w:drawing>
              <wp:anchor distT="0" distB="12065" distL="0" distR="0" simplePos="0" relativeHeight="25" behindDoc="0" locked="0" layoutInCell="0" allowOverlap="1" wp14:anchorId="6E6115AA" wp14:editId="4C767E43">
                <wp:simplePos x="0" y="0"/>
                <wp:positionH relativeFrom="margin">
                  <wp:align>center</wp:align>
                </wp:positionH>
                <wp:positionV relativeFrom="page">
                  <wp:posOffset>8549640</wp:posOffset>
                </wp:positionV>
                <wp:extent cx="6115050" cy="212725"/>
                <wp:effectExtent l="0" t="0" r="0" b="0"/>
                <wp:wrapNone/>
                <wp:docPr id="59568135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050" cy="212725"/>
                        </a:xfrm>
                        <a:prstGeom prst="rect">
                          <a:avLst/>
                        </a:prstGeom>
                        <a:noFill/>
                        <a:ln w="6350">
                          <a:noFill/>
                        </a:ln>
                      </wps:spPr>
                      <wps:style>
                        <a:lnRef idx="0">
                          <a:schemeClr val="accent1"/>
                        </a:lnRef>
                        <a:fillRef idx="0">
                          <a:schemeClr val="accent1"/>
                        </a:fillRef>
                        <a:effectRef idx="0">
                          <a:schemeClr val="accent1"/>
                        </a:effectRef>
                        <a:fontRef idx="minor"/>
                      </wps:style>
                      <wps:txbx>
                        <w:txbxContent>
                          <w:p w14:paraId="7AC9213A" w14:textId="77777777" w:rsidR="00AC7D34" w:rsidRDefault="00AC7D34">
                            <w:pPr>
                              <w:pStyle w:val="NoSpacing"/>
                              <w:jc w:val="center"/>
                              <w:rPr>
                                <w:color w:val="F0A22E" w:themeColor="accent1"/>
                              </w:rPr>
                            </w:pPr>
                          </w:p>
                        </w:txbxContent>
                      </wps:txbx>
                      <wps:bodyPr lIns="0" tIns="0" rIns="0" bIns="0" anchor="b">
                        <a:prstTxWarp prst="textNoShape">
                          <a:avLst/>
                        </a:prstTxWarp>
                        <a:sp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6115AA" id="Rectangle 3" o:spid="_x0000_s1026" style="position:absolute;margin-left:0;margin-top:673.2pt;width:481.5pt;height:16.75pt;z-index:25;visibility:visible;mso-wrap-style:square;mso-width-percent:1000;mso-height-percent:0;mso-wrap-distance-left:0;mso-wrap-distance-top:0;mso-wrap-distance-right:0;mso-wrap-distance-bottom:.95pt;mso-position-horizontal:center;mso-position-horizontal-relative:margin;mso-position-vertical:absolute;mso-position-vertical-relative:page;mso-width-percent:100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" o:allowincell="f" filled="f" stroked="f" strokeweight=".5pt">
                <v:textbox style="mso-fit-shape-to-text:t" inset="0,0,0,0">
                  <w:txbxContent>
                    <w:p w14:paraId="7AC9213A" w14:textId="77777777" w:rsidR="00AC7D34" w:rsidRDefault="00AC7D34">
                      <w:pPr>
                        <w:pStyle w:val="NoSpacing"/>
                        <w:jc w:val="center"/>
                        <w:rPr>
                          <w:color w:val="F0A22E" w:themeColor="accent1"/>
                        </w:rPr>
                      </w:pPr>
                    </w:p>
                  </w:txbxContent>
                </v:textbox>
                <w10:wrap anchorx="margin" anchory="page"/>
              </v:rect>
            </w:pict>
          </mc:Fallback>
        </mc:AlternateContent>
      </w:r>
    </w:p>
    <w:p w14:paraId="7634B2F8" w14:textId="77777777" w:rsidR="005F2AC9" w:rsidRDefault="005F2AC9">
      <w:pPr>
        <w:keepNext/>
        <w:keepLines/>
        <w:spacing w:after="0"/>
        <w:outlineLvl w:val="2"/>
        <w:rPr>
          <w:rFonts w:ascii="Times New Roman" w:hAnsi="Times New Roman"/>
          <w:b/>
          <w:bCs/>
          <w:color w:val="000000" w:themeColor="text1"/>
          <w:sz w:val="18"/>
          <w:szCs w:val="18"/>
          <w:lang w:eastAsia="sq-AL"/>
        </w:rPr>
      </w:pPr>
    </w:p>
    <w:p w14:paraId="727143B3" w14:textId="0E0836ED" w:rsidR="005F2AC9" w:rsidRDefault="00B56839" w:rsidP="00DC3F96">
      <w:pPr>
        <w:rPr>
          <w:rFonts w:ascii="Times New Roman" w:hAnsi="Times New Roman"/>
          <w:b/>
          <w:bCs/>
          <w:color w:val="000000" w:themeColor="text1"/>
          <w:sz w:val="24"/>
          <w:szCs w:val="24"/>
          <w:lang w:eastAsia="sq-AL"/>
        </w:rPr>
      </w:pPr>
      <w:bookmarkStart w:id="1" w:name="_Toc136161820"/>
      <w:bookmarkStart w:id="2" w:name="_Toc136161809"/>
      <w:bookmarkStart w:id="3" w:name="_Toc136159064"/>
      <w:bookmarkStart w:id="4" w:name="_Toc52884874"/>
      <w:bookmarkStart w:id="5" w:name="_Toc140431361"/>
      <w:r>
        <w:rPr>
          <w:rFonts w:ascii="Times New Roman" w:hAnsi="Times New Roman"/>
          <w:b/>
          <w:bCs/>
          <w:color w:val="000000" w:themeColor="text1"/>
          <w:sz w:val="24"/>
          <w:szCs w:val="24"/>
          <w:lang w:eastAsia="sq-AL"/>
        </w:rPr>
        <w:t>SHKURTIMET</w:t>
      </w:r>
      <w:bookmarkEnd w:id="1"/>
      <w:bookmarkEnd w:id="2"/>
      <w:bookmarkEnd w:id="3"/>
      <w:bookmarkEnd w:id="4"/>
      <w:bookmarkEnd w:id="5"/>
    </w:p>
    <w:p w14:paraId="7E3F2129" w14:textId="77777777" w:rsidR="005F2AC9" w:rsidRDefault="005F2AC9">
      <w:pPr>
        <w:spacing w:after="0"/>
        <w:rPr>
          <w:rFonts w:ascii="Times New Roman" w:hAnsi="Times New Roman"/>
          <w:b/>
          <w:bCs/>
          <w:color w:val="000000" w:themeColor="text1"/>
          <w:sz w:val="24"/>
          <w:szCs w:val="24"/>
          <w:lang w:eastAsia="sq-AL"/>
        </w:rPr>
      </w:pPr>
    </w:p>
    <w:p w14:paraId="56E81AE7" w14:textId="77777777" w:rsidR="005F2AC9" w:rsidRDefault="00B56839">
      <w:pPr>
        <w:spacing w:after="0"/>
        <w:rPr>
          <w:rFonts w:ascii="Times New Roman" w:hAnsi="Times New Roman"/>
          <w:bCs/>
          <w:color w:val="000000" w:themeColor="text1"/>
          <w:sz w:val="24"/>
          <w:szCs w:val="24"/>
          <w:lang w:eastAsia="sq-AL"/>
        </w:rPr>
      </w:pPr>
      <w:r>
        <w:rPr>
          <w:rFonts w:ascii="Times New Roman" w:hAnsi="Times New Roman"/>
          <w:bCs/>
          <w:color w:val="000000" w:themeColor="text1"/>
          <w:sz w:val="24"/>
          <w:szCs w:val="24"/>
          <w:lang w:eastAsia="sq-AL"/>
        </w:rPr>
        <w:t>MSHMS</w:t>
      </w:r>
      <w:r>
        <w:rPr>
          <w:rFonts w:ascii="Times New Roman" w:hAnsi="Times New Roman"/>
          <w:bCs/>
          <w:color w:val="000000" w:themeColor="text1"/>
          <w:sz w:val="24"/>
          <w:szCs w:val="24"/>
          <w:lang w:eastAsia="sq-AL"/>
        </w:rPr>
        <w:tab/>
      </w:r>
      <w:r>
        <w:rPr>
          <w:rFonts w:ascii="Times New Roman" w:hAnsi="Times New Roman"/>
          <w:bCs/>
          <w:color w:val="000000" w:themeColor="text1"/>
          <w:sz w:val="24"/>
          <w:szCs w:val="24"/>
          <w:lang w:eastAsia="sq-AL"/>
        </w:rPr>
        <w:tab/>
        <w:t>Ministria e Shëndetësisë dhe Mirëqenies Sociale</w:t>
      </w:r>
    </w:p>
    <w:p w14:paraId="215CF73F" w14:textId="77777777" w:rsidR="005F2AC9" w:rsidRDefault="00B56839">
      <w:pPr>
        <w:spacing w:after="0"/>
        <w:rPr>
          <w:rFonts w:ascii="Times New Roman" w:hAnsi="Times New Roman"/>
          <w:bCs/>
          <w:color w:val="000000" w:themeColor="text1"/>
          <w:sz w:val="24"/>
          <w:szCs w:val="24"/>
          <w:lang w:val="it-IT" w:eastAsia="sq-AL"/>
        </w:rPr>
      </w:pPr>
      <w:r>
        <w:rPr>
          <w:rFonts w:ascii="Times New Roman" w:hAnsi="Times New Roman"/>
          <w:bCs/>
          <w:color w:val="000000" w:themeColor="text1"/>
          <w:sz w:val="24"/>
          <w:szCs w:val="24"/>
          <w:lang w:val="it-IT" w:eastAsia="sq-AL"/>
        </w:rPr>
        <w:t>MF</w:t>
      </w:r>
      <w:r>
        <w:rPr>
          <w:rFonts w:ascii="Times New Roman" w:hAnsi="Times New Roman"/>
          <w:bCs/>
          <w:color w:val="000000" w:themeColor="text1"/>
          <w:sz w:val="24"/>
          <w:szCs w:val="24"/>
          <w:lang w:val="it-IT" w:eastAsia="sq-AL"/>
        </w:rPr>
        <w:tab/>
      </w:r>
      <w:r>
        <w:rPr>
          <w:rFonts w:ascii="Times New Roman" w:hAnsi="Times New Roman"/>
          <w:bCs/>
          <w:color w:val="000000" w:themeColor="text1"/>
          <w:sz w:val="24"/>
          <w:szCs w:val="24"/>
          <w:lang w:val="it-IT" w:eastAsia="sq-AL"/>
        </w:rPr>
        <w:tab/>
      </w:r>
      <w:r>
        <w:rPr>
          <w:rFonts w:ascii="Times New Roman" w:hAnsi="Times New Roman"/>
          <w:bCs/>
          <w:color w:val="000000" w:themeColor="text1"/>
          <w:sz w:val="24"/>
          <w:szCs w:val="24"/>
          <w:lang w:val="it-IT" w:eastAsia="sq-AL"/>
        </w:rPr>
        <w:tab/>
        <w:t xml:space="preserve">Ministria e Financave </w:t>
      </w:r>
    </w:p>
    <w:p w14:paraId="0685F1E0" w14:textId="77777777" w:rsidR="005F2AC9" w:rsidRDefault="00B56839">
      <w:pPr>
        <w:spacing w:after="0"/>
        <w:rPr>
          <w:rFonts w:ascii="Times New Roman" w:hAnsi="Times New Roman"/>
          <w:bCs/>
          <w:color w:val="000000" w:themeColor="text1"/>
          <w:sz w:val="24"/>
          <w:szCs w:val="24"/>
          <w:lang w:val="it-IT" w:eastAsia="sq-AL"/>
        </w:rPr>
      </w:pPr>
      <w:r>
        <w:rPr>
          <w:rFonts w:ascii="Times New Roman" w:hAnsi="Times New Roman"/>
          <w:bCs/>
          <w:color w:val="000000" w:themeColor="text1"/>
          <w:sz w:val="24"/>
          <w:szCs w:val="24"/>
          <w:lang w:val="it-IT" w:eastAsia="sq-AL"/>
        </w:rPr>
        <w:t>SHSSH</w:t>
      </w:r>
      <w:r>
        <w:rPr>
          <w:rFonts w:ascii="Times New Roman" w:hAnsi="Times New Roman"/>
          <w:bCs/>
          <w:color w:val="000000" w:themeColor="text1"/>
          <w:sz w:val="24"/>
          <w:szCs w:val="24"/>
          <w:lang w:val="it-IT" w:eastAsia="sq-AL"/>
        </w:rPr>
        <w:tab/>
      </w:r>
      <w:r>
        <w:rPr>
          <w:rFonts w:ascii="Times New Roman" w:hAnsi="Times New Roman"/>
          <w:bCs/>
          <w:color w:val="000000" w:themeColor="text1"/>
          <w:sz w:val="24"/>
          <w:szCs w:val="24"/>
          <w:lang w:val="it-IT" w:eastAsia="sq-AL"/>
        </w:rPr>
        <w:tab/>
        <w:t>Shërbimi Social Shtetëror</w:t>
      </w:r>
    </w:p>
    <w:p w14:paraId="5B9CC483" w14:textId="77777777" w:rsidR="005F2AC9" w:rsidRDefault="00B56839">
      <w:pPr>
        <w:spacing w:after="0"/>
        <w:rPr>
          <w:rFonts w:ascii="Times New Roman" w:hAnsi="Times New Roman"/>
          <w:bCs/>
          <w:color w:val="000000" w:themeColor="text1"/>
          <w:sz w:val="24"/>
          <w:szCs w:val="24"/>
          <w:lang w:val="it-IT" w:eastAsia="sq-AL"/>
        </w:rPr>
      </w:pPr>
      <w:r>
        <w:rPr>
          <w:rFonts w:ascii="Times New Roman" w:hAnsi="Times New Roman"/>
          <w:bCs/>
          <w:color w:val="000000" w:themeColor="text1"/>
          <w:sz w:val="24"/>
          <w:szCs w:val="24"/>
          <w:lang w:val="it-IT" w:eastAsia="sq-AL"/>
        </w:rPr>
        <w:t>NJQV</w:t>
      </w:r>
      <w:r>
        <w:rPr>
          <w:rFonts w:ascii="Times New Roman" w:hAnsi="Times New Roman"/>
          <w:bCs/>
          <w:color w:val="000000" w:themeColor="text1"/>
          <w:sz w:val="24"/>
          <w:szCs w:val="24"/>
          <w:lang w:val="it-IT" w:eastAsia="sq-AL"/>
        </w:rPr>
        <w:tab/>
      </w:r>
      <w:r>
        <w:rPr>
          <w:rFonts w:ascii="Times New Roman" w:hAnsi="Times New Roman"/>
          <w:bCs/>
          <w:color w:val="000000" w:themeColor="text1"/>
          <w:sz w:val="24"/>
          <w:szCs w:val="24"/>
          <w:lang w:val="it-IT" w:eastAsia="sq-AL"/>
        </w:rPr>
        <w:tab/>
      </w:r>
      <w:r>
        <w:rPr>
          <w:rFonts w:ascii="Times New Roman" w:hAnsi="Times New Roman"/>
          <w:bCs/>
          <w:color w:val="000000" w:themeColor="text1"/>
          <w:sz w:val="24"/>
          <w:szCs w:val="24"/>
          <w:lang w:val="it-IT" w:eastAsia="sq-AL"/>
        </w:rPr>
        <w:tab/>
        <w:t>Njësitë e Qeverisjes Vendore</w:t>
      </w:r>
    </w:p>
    <w:p w14:paraId="282BC0E4" w14:textId="77777777" w:rsidR="005F2AC9" w:rsidRDefault="00B56839">
      <w:pPr>
        <w:spacing w:after="0"/>
        <w:rPr>
          <w:rFonts w:ascii="Times New Roman" w:hAnsi="Times New Roman"/>
          <w:bCs/>
          <w:color w:val="000000" w:themeColor="text1"/>
          <w:sz w:val="24"/>
          <w:szCs w:val="24"/>
          <w:lang w:val="it-IT" w:eastAsia="sq-AL"/>
        </w:rPr>
      </w:pPr>
      <w:r>
        <w:rPr>
          <w:rFonts w:ascii="Times New Roman" w:hAnsi="Times New Roman"/>
          <w:bCs/>
          <w:color w:val="000000" w:themeColor="text1"/>
          <w:sz w:val="24"/>
          <w:szCs w:val="24"/>
          <w:lang w:val="it-IT" w:eastAsia="sq-AL"/>
        </w:rPr>
        <w:t>NJVNR                       Njësia e Vlerësimit të Nevojave Rajonale</w:t>
      </w:r>
    </w:p>
    <w:p w14:paraId="3193A280" w14:textId="77777777" w:rsidR="005F2AC9" w:rsidRDefault="00B56839">
      <w:pPr>
        <w:spacing w:after="0"/>
        <w:rPr>
          <w:rFonts w:ascii="Times New Roman" w:hAnsi="Times New Roman"/>
          <w:bCs/>
          <w:color w:val="000000" w:themeColor="text1"/>
          <w:sz w:val="24"/>
          <w:szCs w:val="24"/>
          <w:lang w:val="it-IT" w:eastAsia="sq-AL"/>
        </w:rPr>
      </w:pPr>
      <w:r>
        <w:rPr>
          <w:rFonts w:ascii="Times New Roman" w:hAnsi="Times New Roman"/>
          <w:bCs/>
          <w:color w:val="000000" w:themeColor="text1"/>
          <w:sz w:val="24"/>
          <w:szCs w:val="24"/>
          <w:lang w:val="it-IT" w:eastAsia="sq-AL"/>
        </w:rPr>
        <w:t>SPSHS</w:t>
      </w:r>
      <w:r>
        <w:rPr>
          <w:rFonts w:ascii="Times New Roman" w:hAnsi="Times New Roman"/>
          <w:bCs/>
          <w:color w:val="000000" w:themeColor="text1"/>
          <w:sz w:val="24"/>
          <w:szCs w:val="24"/>
          <w:lang w:val="it-IT" w:eastAsia="sq-AL"/>
        </w:rPr>
        <w:tab/>
      </w:r>
      <w:r>
        <w:rPr>
          <w:rFonts w:ascii="Times New Roman" w:hAnsi="Times New Roman"/>
          <w:bCs/>
          <w:color w:val="000000" w:themeColor="text1"/>
          <w:sz w:val="24"/>
          <w:szCs w:val="24"/>
          <w:lang w:val="it-IT" w:eastAsia="sq-AL"/>
        </w:rPr>
        <w:tab/>
      </w:r>
      <w:r>
        <w:rPr>
          <w:rFonts w:ascii="Times New Roman" w:hAnsi="Times New Roman"/>
          <w:bCs/>
          <w:color w:val="000000" w:themeColor="text1"/>
          <w:sz w:val="24"/>
          <w:szCs w:val="24"/>
          <w:lang w:val="it-IT" w:eastAsia="sq-AL"/>
        </w:rPr>
        <w:tab/>
        <w:t>Strukturat e posaçme të shërbimeve sociale</w:t>
      </w:r>
    </w:p>
    <w:p w14:paraId="07CDE0C5" w14:textId="77777777" w:rsidR="005F2AC9" w:rsidRDefault="00B56839">
      <w:pPr>
        <w:spacing w:after="0"/>
        <w:rPr>
          <w:rFonts w:ascii="Times New Roman" w:hAnsi="Times New Roman"/>
          <w:bCs/>
          <w:color w:val="000000" w:themeColor="text1"/>
          <w:sz w:val="24"/>
          <w:szCs w:val="24"/>
          <w:lang w:val="it-IT" w:eastAsia="sq-AL"/>
        </w:rPr>
      </w:pPr>
      <w:r>
        <w:rPr>
          <w:rFonts w:ascii="Times New Roman" w:hAnsi="Times New Roman"/>
          <w:bCs/>
          <w:color w:val="000000" w:themeColor="text1"/>
          <w:sz w:val="24"/>
          <w:szCs w:val="24"/>
          <w:lang w:val="it-IT" w:eastAsia="sq-AL"/>
        </w:rPr>
        <w:t>AKPA                         Agjensia Kombëtare e Punësimit dhe Aftësimit Profesional</w:t>
      </w:r>
    </w:p>
    <w:p w14:paraId="71E5AB61" w14:textId="3598E988" w:rsidR="00845E90" w:rsidRDefault="00845E90">
      <w:pPr>
        <w:spacing w:after="0"/>
        <w:rPr>
          <w:rFonts w:ascii="Times New Roman" w:hAnsi="Times New Roman"/>
          <w:bCs/>
          <w:color w:val="000000" w:themeColor="text1"/>
          <w:sz w:val="24"/>
          <w:szCs w:val="24"/>
          <w:lang w:val="it-IT" w:eastAsia="sq-AL"/>
        </w:rPr>
      </w:pPr>
      <w:r>
        <w:rPr>
          <w:rFonts w:ascii="Times New Roman" w:hAnsi="Times New Roman"/>
          <w:bCs/>
          <w:color w:val="000000" w:themeColor="text1"/>
          <w:sz w:val="24"/>
          <w:szCs w:val="24"/>
          <w:lang w:val="it-IT" w:eastAsia="sq-AL"/>
        </w:rPr>
        <w:t>INSTAT</w:t>
      </w:r>
      <w:r>
        <w:rPr>
          <w:rFonts w:ascii="Times New Roman" w:hAnsi="Times New Roman"/>
          <w:bCs/>
          <w:color w:val="000000" w:themeColor="text1"/>
          <w:sz w:val="24"/>
          <w:szCs w:val="24"/>
          <w:lang w:val="it-IT" w:eastAsia="sq-AL"/>
        </w:rPr>
        <w:tab/>
      </w:r>
      <w:r>
        <w:rPr>
          <w:rFonts w:ascii="Times New Roman" w:hAnsi="Times New Roman"/>
          <w:bCs/>
          <w:color w:val="000000" w:themeColor="text1"/>
          <w:sz w:val="24"/>
          <w:szCs w:val="24"/>
          <w:lang w:val="it-IT" w:eastAsia="sq-AL"/>
        </w:rPr>
        <w:tab/>
        <w:t>Instituti i Statistikave</w:t>
      </w:r>
    </w:p>
    <w:p w14:paraId="7CB7CE7A" w14:textId="77777777" w:rsidR="005F2AC9" w:rsidRDefault="00B56839">
      <w:pPr>
        <w:spacing w:after="0"/>
        <w:rPr>
          <w:rFonts w:ascii="Times New Roman" w:hAnsi="Times New Roman"/>
          <w:bCs/>
          <w:color w:val="000000" w:themeColor="text1"/>
          <w:sz w:val="24"/>
          <w:szCs w:val="24"/>
          <w:lang w:val="it-IT" w:eastAsia="sq-AL"/>
        </w:rPr>
      </w:pPr>
      <w:r>
        <w:rPr>
          <w:rFonts w:ascii="Times New Roman" w:hAnsi="Times New Roman"/>
          <w:bCs/>
          <w:color w:val="000000" w:themeColor="text1"/>
          <w:sz w:val="24"/>
          <w:szCs w:val="24"/>
          <w:lang w:val="it-IT" w:eastAsia="sq-AL"/>
        </w:rPr>
        <w:t>PAK</w:t>
      </w:r>
      <w:r>
        <w:rPr>
          <w:rFonts w:ascii="Times New Roman" w:hAnsi="Times New Roman"/>
          <w:bCs/>
          <w:color w:val="000000" w:themeColor="text1"/>
          <w:sz w:val="24"/>
          <w:szCs w:val="24"/>
          <w:lang w:val="it-IT" w:eastAsia="sq-AL"/>
        </w:rPr>
        <w:tab/>
      </w:r>
      <w:r>
        <w:rPr>
          <w:rFonts w:ascii="Times New Roman" w:hAnsi="Times New Roman"/>
          <w:bCs/>
          <w:color w:val="000000" w:themeColor="text1"/>
          <w:sz w:val="24"/>
          <w:szCs w:val="24"/>
          <w:lang w:val="it-IT" w:eastAsia="sq-AL"/>
        </w:rPr>
        <w:tab/>
      </w:r>
      <w:r>
        <w:rPr>
          <w:rFonts w:ascii="Times New Roman" w:hAnsi="Times New Roman"/>
          <w:bCs/>
          <w:color w:val="000000" w:themeColor="text1"/>
          <w:sz w:val="24"/>
          <w:szCs w:val="24"/>
          <w:lang w:val="it-IT" w:eastAsia="sq-AL"/>
        </w:rPr>
        <w:tab/>
        <w:t>Persona me Aftësi të Kufizuar</w:t>
      </w:r>
    </w:p>
    <w:p w14:paraId="32790B0B" w14:textId="77777777" w:rsidR="005F2AC9" w:rsidRDefault="00B56839">
      <w:pPr>
        <w:spacing w:after="0"/>
        <w:rPr>
          <w:rFonts w:ascii="Times New Roman" w:hAnsi="Times New Roman"/>
          <w:bCs/>
          <w:color w:val="000000" w:themeColor="text1"/>
          <w:sz w:val="24"/>
          <w:szCs w:val="24"/>
          <w:lang w:val="it-IT" w:eastAsia="sq-AL"/>
        </w:rPr>
      </w:pPr>
      <w:r>
        <w:rPr>
          <w:rFonts w:ascii="Times New Roman" w:hAnsi="Times New Roman"/>
          <w:bCs/>
          <w:color w:val="000000" w:themeColor="text1"/>
          <w:sz w:val="24"/>
          <w:szCs w:val="24"/>
          <w:lang w:val="it-IT" w:eastAsia="sq-AL"/>
        </w:rPr>
        <w:t>NE</w:t>
      </w:r>
      <w:r>
        <w:rPr>
          <w:rFonts w:ascii="Times New Roman" w:hAnsi="Times New Roman"/>
          <w:bCs/>
          <w:color w:val="000000" w:themeColor="text1"/>
          <w:sz w:val="24"/>
          <w:szCs w:val="24"/>
          <w:lang w:val="it-IT" w:eastAsia="sq-AL"/>
        </w:rPr>
        <w:tab/>
      </w:r>
      <w:r>
        <w:rPr>
          <w:rFonts w:ascii="Times New Roman" w:hAnsi="Times New Roman"/>
          <w:bCs/>
          <w:color w:val="000000" w:themeColor="text1"/>
          <w:sz w:val="24"/>
          <w:szCs w:val="24"/>
          <w:lang w:val="it-IT" w:eastAsia="sq-AL"/>
        </w:rPr>
        <w:tab/>
      </w:r>
      <w:r>
        <w:rPr>
          <w:rFonts w:ascii="Times New Roman" w:hAnsi="Times New Roman"/>
          <w:bCs/>
          <w:color w:val="000000" w:themeColor="text1"/>
          <w:sz w:val="24"/>
          <w:szCs w:val="24"/>
          <w:lang w:val="it-IT" w:eastAsia="sq-AL"/>
        </w:rPr>
        <w:tab/>
        <w:t>Ndihma Ekonomike</w:t>
      </w:r>
    </w:p>
    <w:p w14:paraId="68A97C6F" w14:textId="77777777" w:rsidR="005F2AC9" w:rsidRDefault="00B56839">
      <w:pPr>
        <w:spacing w:after="0"/>
        <w:rPr>
          <w:rFonts w:ascii="Times New Roman" w:hAnsi="Times New Roman"/>
          <w:bCs/>
          <w:color w:val="000000" w:themeColor="text1"/>
          <w:sz w:val="24"/>
          <w:szCs w:val="24"/>
          <w:lang w:val="it-IT" w:eastAsia="sq-AL"/>
        </w:rPr>
      </w:pPr>
      <w:r>
        <w:rPr>
          <w:rFonts w:ascii="Times New Roman" w:hAnsi="Times New Roman"/>
          <w:bCs/>
          <w:color w:val="000000" w:themeColor="text1"/>
          <w:sz w:val="24"/>
          <w:szCs w:val="24"/>
          <w:lang w:val="it-IT" w:eastAsia="sq-AL"/>
        </w:rPr>
        <w:t>SHIS</w:t>
      </w:r>
      <w:r>
        <w:rPr>
          <w:rFonts w:ascii="Times New Roman" w:hAnsi="Times New Roman"/>
          <w:bCs/>
          <w:color w:val="000000" w:themeColor="text1"/>
          <w:sz w:val="24"/>
          <w:szCs w:val="24"/>
          <w:lang w:val="it-IT" w:eastAsia="sq-AL"/>
        </w:rPr>
        <w:tab/>
      </w:r>
      <w:r>
        <w:rPr>
          <w:rFonts w:ascii="Times New Roman" w:hAnsi="Times New Roman"/>
          <w:bCs/>
          <w:color w:val="000000" w:themeColor="text1"/>
          <w:sz w:val="24"/>
          <w:szCs w:val="24"/>
          <w:lang w:val="it-IT" w:eastAsia="sq-AL"/>
        </w:rPr>
        <w:tab/>
      </w:r>
      <w:r>
        <w:rPr>
          <w:rFonts w:ascii="Times New Roman" w:hAnsi="Times New Roman"/>
          <w:bCs/>
          <w:color w:val="000000" w:themeColor="text1"/>
          <w:sz w:val="24"/>
          <w:szCs w:val="24"/>
          <w:lang w:val="it-IT" w:eastAsia="sq-AL"/>
        </w:rPr>
        <w:tab/>
        <w:t>Shërbime të Integruara Sociale</w:t>
      </w:r>
    </w:p>
    <w:p w14:paraId="4917AD8D" w14:textId="6B6D5696" w:rsidR="005F2AC9" w:rsidRDefault="00B56839">
      <w:pPr>
        <w:spacing w:after="0"/>
        <w:rPr>
          <w:rFonts w:ascii="Times New Roman" w:hAnsi="Times New Roman"/>
          <w:bCs/>
          <w:color w:val="000000" w:themeColor="text1"/>
          <w:sz w:val="24"/>
          <w:szCs w:val="24"/>
          <w:lang w:eastAsia="sq-AL"/>
        </w:rPr>
      </w:pPr>
      <w:r>
        <w:rPr>
          <w:rFonts w:ascii="Times New Roman" w:hAnsi="Times New Roman"/>
          <w:color w:val="000000" w:themeColor="text1"/>
          <w:sz w:val="24"/>
          <w:szCs w:val="24"/>
        </w:rPr>
        <w:t>SIL</w:t>
      </w:r>
      <w:r w:rsidR="00F404F6">
        <w:rPr>
          <w:rFonts w:ascii="Times New Roman" w:hAnsi="Times New Roman"/>
          <w:color w:val="000000" w:themeColor="text1"/>
          <w:sz w:val="24"/>
          <w:szCs w:val="24"/>
        </w:rPr>
        <w:t>C</w:t>
      </w:r>
      <w:r>
        <w:rPr>
          <w:rFonts w:ascii="Times New Roman" w:hAnsi="Times New Roman"/>
          <w:bCs/>
          <w:color w:val="000000" w:themeColor="text1"/>
          <w:sz w:val="24"/>
          <w:szCs w:val="24"/>
          <w:lang w:eastAsia="sq-AL"/>
        </w:rPr>
        <w:t xml:space="preserve"> </w:t>
      </w:r>
      <w:r>
        <w:rPr>
          <w:rFonts w:ascii="Times New Roman" w:hAnsi="Times New Roman"/>
          <w:bCs/>
          <w:color w:val="000000" w:themeColor="text1"/>
          <w:sz w:val="24"/>
          <w:szCs w:val="24"/>
          <w:lang w:eastAsia="sq-AL"/>
        </w:rPr>
        <w:tab/>
      </w:r>
      <w:r>
        <w:rPr>
          <w:rFonts w:ascii="Times New Roman" w:hAnsi="Times New Roman"/>
          <w:bCs/>
          <w:color w:val="000000" w:themeColor="text1"/>
          <w:sz w:val="24"/>
          <w:szCs w:val="24"/>
          <w:lang w:eastAsia="sq-AL"/>
        </w:rPr>
        <w:tab/>
      </w:r>
      <w:r>
        <w:rPr>
          <w:rFonts w:ascii="Times New Roman" w:hAnsi="Times New Roman"/>
          <w:bCs/>
          <w:color w:val="000000" w:themeColor="text1"/>
          <w:sz w:val="24"/>
          <w:szCs w:val="24"/>
          <w:lang w:eastAsia="sq-AL"/>
        </w:rPr>
        <w:tab/>
      </w:r>
      <w:r w:rsidR="00845E90">
        <w:rPr>
          <w:rFonts w:ascii="Times New Roman" w:hAnsi="Times New Roman"/>
          <w:bCs/>
          <w:color w:val="000000" w:themeColor="text1"/>
          <w:sz w:val="24"/>
          <w:szCs w:val="24"/>
          <w:lang w:eastAsia="sq-AL"/>
        </w:rPr>
        <w:t>Anketa e të ardhurave dhe nivelit të jetesës</w:t>
      </w:r>
    </w:p>
    <w:p w14:paraId="2C69E466" w14:textId="77777777" w:rsidR="005F2AC9" w:rsidRDefault="00B56839">
      <w:pPr>
        <w:spacing w:after="0"/>
        <w:rPr>
          <w:rFonts w:ascii="Times New Roman" w:hAnsi="Times New Roman"/>
          <w:b/>
          <w:bCs/>
          <w:color w:val="000000" w:themeColor="text1"/>
          <w:sz w:val="24"/>
          <w:szCs w:val="24"/>
          <w:lang w:val="fr-FR" w:eastAsia="sq-AL"/>
        </w:rPr>
      </w:pPr>
      <w:r>
        <w:rPr>
          <w:rFonts w:ascii="Times New Roman" w:hAnsi="Times New Roman"/>
          <w:color w:val="000000" w:themeColor="text1"/>
          <w:sz w:val="24"/>
          <w:szCs w:val="24"/>
          <w:lang w:val="fr-FR"/>
        </w:rPr>
        <w:t>PPA</w:t>
      </w:r>
      <w:r>
        <w:rPr>
          <w:rFonts w:ascii="Times New Roman" w:hAnsi="Times New Roman"/>
          <w:color w:val="000000" w:themeColor="text1"/>
          <w:sz w:val="24"/>
          <w:szCs w:val="24"/>
          <w:lang w:val="fr-FR"/>
        </w:rPr>
        <w:tab/>
      </w:r>
      <w:r>
        <w:rPr>
          <w:rFonts w:ascii="Times New Roman" w:hAnsi="Times New Roman"/>
          <w:color w:val="000000" w:themeColor="text1"/>
          <w:sz w:val="24"/>
          <w:szCs w:val="24"/>
          <w:lang w:val="fr-FR"/>
        </w:rPr>
        <w:tab/>
      </w:r>
      <w:r>
        <w:rPr>
          <w:rFonts w:ascii="Times New Roman" w:hAnsi="Times New Roman"/>
          <w:color w:val="000000" w:themeColor="text1"/>
          <w:sz w:val="24"/>
          <w:szCs w:val="24"/>
          <w:lang w:val="fr-FR"/>
        </w:rPr>
        <w:tab/>
        <w:t>Përfitimi i Pagesës së Aftësisë</w:t>
      </w:r>
    </w:p>
    <w:p w14:paraId="756BDF4A" w14:textId="77777777" w:rsidR="005F2AC9" w:rsidRDefault="00B56839">
      <w:pPr>
        <w:spacing w:after="0"/>
        <w:rPr>
          <w:rFonts w:ascii="Times New Roman" w:hAnsi="Times New Roman"/>
          <w:color w:val="000000" w:themeColor="text1"/>
          <w:sz w:val="24"/>
          <w:szCs w:val="24"/>
          <w:lang w:val="fr-FR"/>
        </w:rPr>
      </w:pPr>
      <w:r>
        <w:rPr>
          <w:rFonts w:ascii="Times New Roman" w:hAnsi="Times New Roman"/>
          <w:color w:val="000000" w:themeColor="text1"/>
          <w:sz w:val="24"/>
          <w:szCs w:val="24"/>
          <w:lang w:val="fr-FR"/>
        </w:rPr>
        <w:t>PBA</w:t>
      </w:r>
      <w:r>
        <w:rPr>
          <w:rFonts w:ascii="Times New Roman" w:hAnsi="Times New Roman"/>
          <w:color w:val="000000" w:themeColor="text1"/>
          <w:sz w:val="24"/>
          <w:szCs w:val="24"/>
          <w:lang w:val="fr-FR"/>
        </w:rPr>
        <w:tab/>
      </w:r>
      <w:r>
        <w:rPr>
          <w:rFonts w:ascii="Times New Roman" w:hAnsi="Times New Roman"/>
          <w:color w:val="000000" w:themeColor="text1"/>
          <w:sz w:val="24"/>
          <w:szCs w:val="24"/>
          <w:lang w:val="fr-FR"/>
        </w:rPr>
        <w:tab/>
      </w:r>
      <w:r>
        <w:rPr>
          <w:rFonts w:ascii="Times New Roman" w:hAnsi="Times New Roman"/>
          <w:color w:val="000000" w:themeColor="text1"/>
          <w:sz w:val="24"/>
          <w:szCs w:val="24"/>
          <w:lang w:val="fr-FR"/>
        </w:rPr>
        <w:tab/>
        <w:t>Projekt Buxheti Afatmesëm</w:t>
      </w:r>
    </w:p>
    <w:p w14:paraId="4662099A" w14:textId="77777777" w:rsidR="005F2AC9" w:rsidRDefault="00B56839">
      <w:pPr>
        <w:spacing w:after="0"/>
        <w:rPr>
          <w:rFonts w:ascii="Times New Roman" w:hAnsi="Times New Roman"/>
          <w:color w:val="000000" w:themeColor="text1"/>
          <w:sz w:val="24"/>
          <w:szCs w:val="24"/>
          <w:lang w:val="fr-FR"/>
        </w:rPr>
      </w:pPr>
      <w:r>
        <w:rPr>
          <w:rFonts w:ascii="Times New Roman" w:hAnsi="Times New Roman"/>
          <w:color w:val="000000" w:themeColor="text1"/>
          <w:sz w:val="24"/>
          <w:szCs w:val="24"/>
          <w:lang w:val="fr-FR"/>
        </w:rPr>
        <w:t xml:space="preserve">PNUD   </w:t>
      </w:r>
      <w:r>
        <w:rPr>
          <w:rFonts w:ascii="Times New Roman" w:hAnsi="Times New Roman"/>
          <w:color w:val="000000" w:themeColor="text1"/>
          <w:sz w:val="24"/>
          <w:szCs w:val="24"/>
          <w:lang w:val="fr-FR"/>
        </w:rPr>
        <w:tab/>
      </w:r>
      <w:r>
        <w:rPr>
          <w:rFonts w:ascii="Times New Roman" w:hAnsi="Times New Roman"/>
          <w:color w:val="000000" w:themeColor="text1"/>
          <w:sz w:val="24"/>
          <w:szCs w:val="24"/>
          <w:lang w:val="fr-FR"/>
        </w:rPr>
        <w:tab/>
        <w:t>Programi i Zhvillimit të Kombeve të Bashkuara</w:t>
      </w:r>
    </w:p>
    <w:p w14:paraId="3A172C31" w14:textId="77777777" w:rsidR="005F2AC9" w:rsidRDefault="00B56839">
      <w:pPr>
        <w:spacing w:after="0"/>
        <w:ind w:left="2160" w:hanging="2160"/>
        <w:rPr>
          <w:rFonts w:ascii="Times New Roman" w:hAnsi="Times New Roman"/>
          <w:color w:val="000000" w:themeColor="text1"/>
          <w:sz w:val="24"/>
          <w:szCs w:val="24"/>
          <w:lang w:val="fr-FR"/>
        </w:rPr>
      </w:pPr>
      <w:r>
        <w:rPr>
          <w:rFonts w:ascii="Times New Roman" w:hAnsi="Times New Roman"/>
          <w:color w:val="000000" w:themeColor="text1"/>
          <w:sz w:val="24"/>
          <w:szCs w:val="24"/>
          <w:lang w:val="fr-FR"/>
        </w:rPr>
        <w:t>UNICEF</w:t>
      </w:r>
      <w:r>
        <w:rPr>
          <w:rFonts w:ascii="Arial" w:hAnsi="Arial" w:cs="Arial"/>
          <w:color w:val="000000" w:themeColor="text1"/>
          <w:sz w:val="21"/>
          <w:szCs w:val="21"/>
          <w:shd w:val="clear" w:color="auto" w:fill="FFFFFF"/>
          <w:lang w:val="fr-FR"/>
        </w:rPr>
        <w:t xml:space="preserve"> </w:t>
      </w:r>
      <w:r>
        <w:rPr>
          <w:rFonts w:ascii="Arial" w:hAnsi="Arial" w:cs="Arial"/>
          <w:color w:val="000000" w:themeColor="text1"/>
          <w:sz w:val="21"/>
          <w:szCs w:val="21"/>
          <w:shd w:val="clear" w:color="auto" w:fill="FFFFFF"/>
          <w:lang w:val="fr-FR"/>
        </w:rPr>
        <w:tab/>
      </w:r>
      <w:r>
        <w:rPr>
          <w:rFonts w:ascii="Times New Roman" w:hAnsi="Times New Roman"/>
          <w:color w:val="000000" w:themeColor="text1"/>
          <w:sz w:val="24"/>
          <w:szCs w:val="24"/>
          <w:lang w:val="fr-FR"/>
        </w:rPr>
        <w:t xml:space="preserve">Fondi Ndërkombëtar i Emergjencës i Kombeve të Bashkuara për Fëmijët </w:t>
      </w:r>
      <w:bookmarkStart w:id="6" w:name="_Toc136161821"/>
      <w:bookmarkStart w:id="7" w:name="_Toc136161810"/>
      <w:bookmarkStart w:id="8" w:name="_Toc136159065"/>
    </w:p>
    <w:p w14:paraId="26072613" w14:textId="77777777" w:rsidR="005F2AC9" w:rsidRDefault="005F2AC9">
      <w:pPr>
        <w:spacing w:after="0"/>
        <w:ind w:left="2160" w:hanging="2160"/>
        <w:rPr>
          <w:rFonts w:ascii="Times New Roman" w:hAnsi="Times New Roman"/>
          <w:color w:val="000000" w:themeColor="text1"/>
          <w:sz w:val="24"/>
          <w:szCs w:val="24"/>
          <w:lang w:val="fr-FR"/>
        </w:rPr>
      </w:pPr>
    </w:p>
    <w:p w14:paraId="7B4C6B4F" w14:textId="77777777" w:rsidR="005F2AC9" w:rsidRDefault="005F2AC9">
      <w:pPr>
        <w:spacing w:after="0"/>
        <w:ind w:left="2160" w:hanging="2160"/>
        <w:rPr>
          <w:rFonts w:ascii="Times New Roman" w:hAnsi="Times New Roman"/>
          <w:b/>
          <w:bCs/>
          <w:color w:val="000000" w:themeColor="text1"/>
          <w:sz w:val="24"/>
          <w:szCs w:val="24"/>
          <w:lang w:val="fr-FR" w:eastAsia="sq-AL"/>
        </w:rPr>
      </w:pPr>
    </w:p>
    <w:p w14:paraId="3DBDAFAF" w14:textId="77777777" w:rsidR="005F2AC9" w:rsidRDefault="005F2AC9">
      <w:pPr>
        <w:spacing w:after="0"/>
        <w:rPr>
          <w:rFonts w:ascii="Times New Roman" w:hAnsi="Times New Roman"/>
          <w:b/>
          <w:bCs/>
          <w:color w:val="000000" w:themeColor="text1"/>
          <w:sz w:val="24"/>
          <w:szCs w:val="24"/>
          <w:lang w:val="fr-FR" w:eastAsia="sq-AL"/>
        </w:rPr>
      </w:pPr>
    </w:p>
    <w:p w14:paraId="31099B53" w14:textId="77777777" w:rsidR="005F2AC9" w:rsidRDefault="005F2AC9">
      <w:pPr>
        <w:spacing w:after="0"/>
        <w:rPr>
          <w:rFonts w:ascii="Times New Roman" w:hAnsi="Times New Roman"/>
          <w:b/>
          <w:bCs/>
          <w:color w:val="000000" w:themeColor="text1"/>
          <w:sz w:val="24"/>
          <w:szCs w:val="24"/>
          <w:lang w:val="fr-FR" w:eastAsia="sq-AL"/>
        </w:rPr>
      </w:pPr>
    </w:p>
    <w:p w14:paraId="58989552" w14:textId="77777777" w:rsidR="005F2AC9" w:rsidRDefault="005F2AC9">
      <w:pPr>
        <w:spacing w:after="0"/>
        <w:rPr>
          <w:rFonts w:ascii="Times New Roman" w:hAnsi="Times New Roman"/>
          <w:b/>
          <w:bCs/>
          <w:color w:val="000000" w:themeColor="text1"/>
          <w:sz w:val="24"/>
          <w:szCs w:val="24"/>
          <w:lang w:val="fr-FR" w:eastAsia="sq-AL"/>
        </w:rPr>
      </w:pPr>
    </w:p>
    <w:p w14:paraId="70A54048" w14:textId="77777777" w:rsidR="005F2AC9" w:rsidRDefault="005F2AC9">
      <w:pPr>
        <w:spacing w:after="0"/>
        <w:rPr>
          <w:rFonts w:ascii="Times New Roman" w:hAnsi="Times New Roman"/>
          <w:b/>
          <w:bCs/>
          <w:color w:val="000000" w:themeColor="text1"/>
          <w:sz w:val="24"/>
          <w:szCs w:val="24"/>
          <w:lang w:val="fr-FR" w:eastAsia="sq-AL"/>
        </w:rPr>
      </w:pPr>
    </w:p>
    <w:p w14:paraId="0E9FEDAA" w14:textId="77777777" w:rsidR="005F2AC9" w:rsidRDefault="005F2AC9">
      <w:pPr>
        <w:spacing w:after="0"/>
        <w:rPr>
          <w:rFonts w:ascii="Times New Roman" w:hAnsi="Times New Roman"/>
          <w:b/>
          <w:bCs/>
          <w:color w:val="000000" w:themeColor="text1"/>
          <w:sz w:val="24"/>
          <w:szCs w:val="24"/>
          <w:lang w:val="fr-FR" w:eastAsia="sq-AL"/>
        </w:rPr>
      </w:pPr>
    </w:p>
    <w:p w14:paraId="15694883" w14:textId="77777777" w:rsidR="008E3291" w:rsidRDefault="008E3291">
      <w:pPr>
        <w:spacing w:after="0"/>
        <w:rPr>
          <w:rFonts w:ascii="Times New Roman" w:hAnsi="Times New Roman"/>
          <w:b/>
          <w:bCs/>
          <w:color w:val="000000" w:themeColor="text1"/>
          <w:sz w:val="24"/>
          <w:szCs w:val="24"/>
          <w:lang w:val="fr-FR" w:eastAsia="sq-AL"/>
        </w:rPr>
      </w:pPr>
    </w:p>
    <w:p w14:paraId="03241387" w14:textId="77777777" w:rsidR="008E3291" w:rsidRDefault="008E3291">
      <w:pPr>
        <w:spacing w:after="0"/>
        <w:rPr>
          <w:rFonts w:ascii="Times New Roman" w:hAnsi="Times New Roman"/>
          <w:b/>
          <w:bCs/>
          <w:color w:val="000000" w:themeColor="text1"/>
          <w:sz w:val="24"/>
          <w:szCs w:val="24"/>
          <w:lang w:val="fr-FR" w:eastAsia="sq-AL"/>
        </w:rPr>
      </w:pPr>
    </w:p>
    <w:p w14:paraId="1CFC5810" w14:textId="77777777" w:rsidR="008E3291" w:rsidRDefault="008E3291">
      <w:pPr>
        <w:spacing w:after="0"/>
        <w:rPr>
          <w:rFonts w:ascii="Times New Roman" w:hAnsi="Times New Roman"/>
          <w:b/>
          <w:bCs/>
          <w:color w:val="000000" w:themeColor="text1"/>
          <w:sz w:val="24"/>
          <w:szCs w:val="24"/>
          <w:lang w:val="fr-FR" w:eastAsia="sq-AL"/>
        </w:rPr>
      </w:pPr>
    </w:p>
    <w:p w14:paraId="658060B3" w14:textId="77777777" w:rsidR="008E3291" w:rsidRDefault="008E3291">
      <w:pPr>
        <w:spacing w:after="0"/>
        <w:rPr>
          <w:rFonts w:ascii="Times New Roman" w:hAnsi="Times New Roman"/>
          <w:b/>
          <w:bCs/>
          <w:color w:val="000000" w:themeColor="text1"/>
          <w:sz w:val="24"/>
          <w:szCs w:val="24"/>
          <w:lang w:val="fr-FR" w:eastAsia="sq-AL"/>
        </w:rPr>
      </w:pPr>
    </w:p>
    <w:p w14:paraId="7668DFB2" w14:textId="77777777" w:rsidR="008E3291" w:rsidRDefault="008E3291">
      <w:pPr>
        <w:spacing w:after="0"/>
        <w:rPr>
          <w:rFonts w:ascii="Times New Roman" w:hAnsi="Times New Roman"/>
          <w:b/>
          <w:bCs/>
          <w:color w:val="000000" w:themeColor="text1"/>
          <w:sz w:val="24"/>
          <w:szCs w:val="24"/>
          <w:lang w:val="fr-FR" w:eastAsia="sq-AL"/>
        </w:rPr>
      </w:pPr>
    </w:p>
    <w:p w14:paraId="286D4EA1" w14:textId="77777777" w:rsidR="005F2AC9" w:rsidRDefault="005F2AC9">
      <w:pPr>
        <w:spacing w:after="0"/>
        <w:rPr>
          <w:rFonts w:ascii="Times New Roman" w:hAnsi="Times New Roman"/>
          <w:b/>
          <w:bCs/>
          <w:color w:val="000000" w:themeColor="text1"/>
          <w:sz w:val="24"/>
          <w:szCs w:val="24"/>
          <w:lang w:val="fr-FR" w:eastAsia="sq-AL"/>
        </w:rPr>
      </w:pPr>
    </w:p>
    <w:p w14:paraId="046E2EFD" w14:textId="77777777" w:rsidR="005F2AC9" w:rsidRDefault="005F2AC9">
      <w:pPr>
        <w:spacing w:after="0"/>
        <w:rPr>
          <w:rFonts w:ascii="Times New Roman" w:hAnsi="Times New Roman"/>
          <w:b/>
          <w:bCs/>
          <w:color w:val="000000" w:themeColor="text1"/>
          <w:sz w:val="24"/>
          <w:szCs w:val="24"/>
          <w:lang w:val="fr-FR" w:eastAsia="sq-AL"/>
        </w:rPr>
      </w:pPr>
    </w:p>
    <w:p w14:paraId="746F1BB6" w14:textId="77777777" w:rsidR="005F2AC9" w:rsidRDefault="00B56839">
      <w:pPr>
        <w:spacing w:after="0"/>
        <w:rPr>
          <w:rFonts w:ascii="Times New Roman" w:hAnsi="Times New Roman"/>
          <w:b/>
          <w:bCs/>
          <w:color w:val="000000" w:themeColor="text1"/>
          <w:sz w:val="24"/>
          <w:szCs w:val="24"/>
          <w:lang w:val="fr-FR" w:eastAsia="sq-AL"/>
        </w:rPr>
      </w:pPr>
      <w:r>
        <w:rPr>
          <w:rFonts w:ascii="Times New Roman" w:hAnsi="Times New Roman"/>
          <w:b/>
          <w:bCs/>
          <w:color w:val="000000" w:themeColor="text1"/>
          <w:sz w:val="24"/>
          <w:szCs w:val="24"/>
          <w:lang w:val="fr-FR" w:eastAsia="sq-AL"/>
        </w:rPr>
        <w:t>PARATHËNIE</w:t>
      </w:r>
      <w:bookmarkEnd w:id="6"/>
      <w:bookmarkEnd w:id="7"/>
      <w:bookmarkEnd w:id="8"/>
      <w:r>
        <w:rPr>
          <w:rFonts w:ascii="Times New Roman" w:hAnsi="Times New Roman"/>
          <w:b/>
          <w:bCs/>
          <w:color w:val="000000" w:themeColor="text1"/>
          <w:sz w:val="24"/>
          <w:szCs w:val="24"/>
          <w:lang w:val="fr-FR" w:eastAsia="sq-AL"/>
        </w:rPr>
        <w:t xml:space="preserve"> </w:t>
      </w:r>
    </w:p>
    <w:p w14:paraId="65871983" w14:textId="07B02104" w:rsidR="005F2AC9" w:rsidRDefault="00B56839">
      <w:pPr>
        <w:spacing w:beforeAutospacing="1" w:afterAutospacing="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Strategjia e </w:t>
      </w:r>
      <w:r w:rsidR="00BA4B59">
        <w:rPr>
          <w:rFonts w:ascii="Times New Roman" w:eastAsia="Times New Roman" w:hAnsi="Times New Roman" w:cs="Times New Roman"/>
          <w:color w:val="000000" w:themeColor="text1"/>
          <w:sz w:val="24"/>
          <w:szCs w:val="24"/>
        </w:rPr>
        <w:t xml:space="preserve">Kombëtare e </w:t>
      </w:r>
      <w:r>
        <w:rPr>
          <w:rFonts w:ascii="Times New Roman" w:eastAsia="Times New Roman" w:hAnsi="Times New Roman" w:cs="Times New Roman"/>
          <w:color w:val="000000" w:themeColor="text1"/>
          <w:sz w:val="24"/>
          <w:szCs w:val="24"/>
        </w:rPr>
        <w:t>Mbrojtjes Sociale 2024–2030, miratuar me VKM nr. 152/2024, përfaqëson kuadrin kryesor politik për forcimin e sistemit të mbrojtjes sociale në Shqipëri, duke synuar garantimin e jetesës dinjitoze, reduktimin e varfërisë dhe përfshirjen sociale të individëve dhe familjeve në nevojë përgjatë gjithë ciklit të jetës. Në thelb të saj qëndron kalimi nga qasja thjesht mbështetëse drejt një sistemi më aktiv, parandalues dhe fuqizues, i cili kombinon përfitimet financiare me shërbimet e integruara dhe mekanizmat e riintegrimit social dhe ekonomik.</w:t>
      </w:r>
    </w:p>
    <w:p w14:paraId="0AEAB54C" w14:textId="761EFE80" w:rsidR="005F2AC9" w:rsidRDefault="00B56839">
      <w:pPr>
        <w:spacing w:beforeAutospacing="1" w:afterAutospacing="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Ky raport monitorimi vlerëso</w:t>
      </w:r>
      <w:r w:rsidR="00962E92">
        <w:rPr>
          <w:rFonts w:ascii="Times New Roman" w:eastAsia="Times New Roman" w:hAnsi="Times New Roman" w:cs="Times New Roman"/>
          <w:color w:val="000000" w:themeColor="text1"/>
          <w:sz w:val="24"/>
          <w:szCs w:val="24"/>
        </w:rPr>
        <w:t>n</w:t>
      </w:r>
      <w:r>
        <w:rPr>
          <w:rFonts w:ascii="Times New Roman" w:eastAsia="Times New Roman" w:hAnsi="Times New Roman" w:cs="Times New Roman"/>
          <w:color w:val="000000" w:themeColor="text1"/>
          <w:sz w:val="24"/>
          <w:szCs w:val="24"/>
        </w:rPr>
        <w:t xml:space="preserve"> progresin e arritur në zbatimin e saj gjatë periudhës së raportimit, duke analizuar nivelin e realizimit të objektivave, masave prioritare dhe treguesve të performancës. Raporti fokusohet në tre dimensione kryesore: (i) funksionimin dhe efektivitetin e skemave të mbrojtjes në të ardhura, (ii) zgjerimin dhe cilësinë e shërbimeve të kujdesit shoqëror në nivel vendor, dhe (iii) forcimin e mekanizmave ndërsektorialë që lidhin mbrojtjen sociale me punësimin, arsimin, shëndetësinë dhe drejtësinë.</w:t>
      </w:r>
    </w:p>
    <w:p w14:paraId="6939DE01" w14:textId="0AC45395" w:rsidR="005F2AC9" w:rsidRDefault="00B56839">
      <w:pPr>
        <w:spacing w:beforeAutospacing="1" w:afterAutospacing="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Në përputhje me </w:t>
      </w:r>
      <w:r w:rsidR="00F41361">
        <w:rPr>
          <w:rFonts w:ascii="Times New Roman" w:eastAsia="Times New Roman" w:hAnsi="Times New Roman" w:cs="Times New Roman"/>
          <w:color w:val="000000" w:themeColor="text1"/>
          <w:sz w:val="24"/>
          <w:szCs w:val="24"/>
        </w:rPr>
        <w:t>drejtimet strategjike të</w:t>
      </w:r>
      <w:r>
        <w:rPr>
          <w:rFonts w:ascii="Times New Roman" w:eastAsia="Times New Roman" w:hAnsi="Times New Roman" w:cs="Times New Roman"/>
          <w:color w:val="000000" w:themeColor="text1"/>
          <w:sz w:val="24"/>
          <w:szCs w:val="24"/>
        </w:rPr>
        <w:t xml:space="preserve"> SKZHIE 2030 dhe angazhimet në kuadër të procesit të integrimit evropian, monitorimi i </w:t>
      </w:r>
      <w:r w:rsidR="00B45658">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trategjisë vendos theks të veçantë tek ndikimi real i ndërhyrjeve në jetën e përfituesve, jo vetëm tek realizimi formal i aktiviteteve. Për këtë arsye, analiza përfshin jo vetëm të dhëna administrative mbi mbulimin dhe shpenzimet, por edhe elementë të cilësisë së shërbimeve, aksesit për grupet më të rrezikuara dhe funksionimit të mekanizmave të referimit dhe koordinimit ndërinstitucional.</w:t>
      </w:r>
    </w:p>
    <w:p w14:paraId="6C06AB72" w14:textId="77777777" w:rsidR="005F2AC9" w:rsidRDefault="00B56839">
      <w:pPr>
        <w:spacing w:beforeAutospacing="1" w:afterAutospacing="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Një vëmendje e posaçme i kushtohet grupeve që përballen me rrezik më të lartë përjashtimi social, përfshirë fëmijët pa kujdes prindëror, personat me aftësi të kufizuara, familjet në varfëri të thelluar, viktimat e dhunës dhe trafikimit, si dhe individët e prekur nga kriza ekonomike apo emergjenca. Monitorimi analizon nëse masat e ndërmarra kanë kontribuar në rritjen e aksesit në shërbime të integruara, në përmirësimin e koordinimit mes strukturave vendore dhe qendrore, si dhe në forcimin e qasjes me në qendër individin dhe familjen.</w:t>
      </w:r>
    </w:p>
    <w:p w14:paraId="56EC2182" w14:textId="77777777" w:rsidR="005F2AC9" w:rsidRDefault="00B56839">
      <w:pPr>
        <w:spacing w:beforeAutospacing="1" w:afterAutospacing="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Raporti gjithashtu shqyrton kapacitetet institucionale për zbatimin e Strategjisë, duke përfshirë rolin e pushtetit vendor në planifikimin dhe ofrimin e shërbimeve, funksionimin e mekanizmave të financimit, si dhe partneritetin me organizatat e shoqërisë civile dhe ofruesit jopublikë. Në këtë kuadër, vlerësohet progresi drejt një sistemi më të decentralizuar, të balancuar territorial dhe më të ndjeshëm ndaj nevojave specifike të komuniteteve.</w:t>
      </w:r>
    </w:p>
    <w:p w14:paraId="3BCE640D" w14:textId="77777777" w:rsidR="005F2AC9" w:rsidRDefault="00B56839">
      <w:pPr>
        <w:spacing w:beforeAutospacing="1" w:afterAutospacing="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Një element i rëndësishëm i këtij monitorimi është analiza e reagimit të sistemit të mbrojtjes sociale ndaj situatave të krizave dhe goditjeve të jashtme. Përvoja e viteve të fundit ka theksuar nevojën për mekanizma fleksibël dhe të shpejtë mbështetjeje, dhe raporti vlerëson në çfarë mase instrumentet e parashikuara nga Strategjia kanë rritur gatishmërinë dhe qëndrueshmërinë e sistemit.</w:t>
      </w:r>
    </w:p>
    <w:p w14:paraId="77E108CE" w14:textId="77777777" w:rsidR="005F2AC9" w:rsidRDefault="005F2AC9">
      <w:pPr>
        <w:spacing w:beforeAutospacing="1" w:afterAutospacing="1"/>
        <w:jc w:val="both"/>
        <w:rPr>
          <w:rFonts w:ascii="Times New Roman" w:eastAsia="Times New Roman" w:hAnsi="Times New Roman" w:cs="Times New Roman"/>
          <w:color w:val="000000" w:themeColor="text1"/>
          <w:sz w:val="24"/>
          <w:szCs w:val="24"/>
        </w:rPr>
      </w:pPr>
    </w:p>
    <w:p w14:paraId="0F1BCEFC" w14:textId="77777777" w:rsidR="005F2AC9" w:rsidRDefault="00B56839">
      <w:pPr>
        <w:spacing w:beforeAutospacing="1" w:afterAutospacing="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Në përfundim, raporti identifikon sfidat kryesore që kanë ndikuar në ritmin dhe cilësinë e zbatimit të masave, përfshirë boshllëqet në burime njerëzore dhe financiare, nevojën për përmirësim të sistemeve të të dhënave dhe forcimin e bashkëpunimit ndërinstitucional. Gjetjet dhe rekomandimet e këtij raporti synojnë të mbështesin përmirësimin e mëtejshëm të politikave dhe instrumenteve të mbrojtjes sociale, duke kontribuar në një sistem më efektiv, më gjithëpërfshirës dhe më të qëndrueshëm.</w:t>
      </w:r>
    </w:p>
    <w:p w14:paraId="38E04EAC" w14:textId="77777777" w:rsidR="005F2AC9" w:rsidRDefault="005F2AC9">
      <w:pPr>
        <w:spacing w:after="0"/>
        <w:jc w:val="both"/>
        <w:rPr>
          <w:rFonts w:ascii="Times New Roman" w:hAnsi="Times New Roman"/>
          <w:color w:val="000000" w:themeColor="text1"/>
          <w:sz w:val="24"/>
          <w:szCs w:val="24"/>
          <w:lang w:val="pt-BR"/>
        </w:rPr>
      </w:pPr>
    </w:p>
    <w:p w14:paraId="26558E2E" w14:textId="1E167BD3" w:rsidR="005F2AC9" w:rsidRPr="00962E92" w:rsidRDefault="00B56839" w:rsidP="00962E92">
      <w:pPr>
        <w:keepNext/>
        <w:keepLines/>
        <w:spacing w:after="0"/>
        <w:jc w:val="both"/>
        <w:outlineLvl w:val="2"/>
        <w:rPr>
          <w:color w:val="000000" w:themeColor="text1"/>
          <w:lang w:val="pt-BR"/>
        </w:rPr>
      </w:pPr>
      <w:r>
        <w:rPr>
          <w:color w:val="000000" w:themeColor="text1"/>
          <w:lang w:val="pt-BR"/>
        </w:rPr>
        <w:t xml:space="preserve"> </w:t>
      </w:r>
      <w:bookmarkStart w:id="9" w:name="_Toc136161823"/>
      <w:bookmarkStart w:id="10" w:name="_Toc136161812"/>
      <w:bookmarkStart w:id="11" w:name="_Toc136159067"/>
      <w:r>
        <w:rPr>
          <w:rFonts w:ascii="Times New Roman" w:eastAsia="Calibri" w:hAnsi="Times New Roman" w:cs="Times New Roman"/>
          <w:b/>
          <w:color w:val="000000" w:themeColor="text1"/>
          <w:sz w:val="24"/>
          <w:szCs w:val="24"/>
          <w:lang w:val="pt-BR"/>
        </w:rPr>
        <w:t>KUADRI STRATEGJIK</w:t>
      </w:r>
    </w:p>
    <w:p w14:paraId="707CFC94" w14:textId="77777777" w:rsidR="00A50E95" w:rsidRDefault="00A50E95">
      <w:pPr>
        <w:widowControl w:val="0"/>
        <w:spacing w:before="60" w:after="0"/>
        <w:jc w:val="both"/>
        <w:rPr>
          <w:rFonts w:ascii="Times New Roman" w:eastAsia="Calibri" w:hAnsi="Times New Roman" w:cs="Times New Roman"/>
          <w:color w:val="000000" w:themeColor="text1"/>
          <w:sz w:val="24"/>
          <w:szCs w:val="24"/>
          <w:lang w:val="pt-BR"/>
        </w:rPr>
      </w:pPr>
    </w:p>
    <w:p w14:paraId="3B3C512E" w14:textId="5E800343" w:rsidR="005F2AC9" w:rsidRDefault="00B56839">
      <w:pPr>
        <w:widowControl w:val="0"/>
        <w:spacing w:before="60" w:after="0"/>
        <w:jc w:val="both"/>
        <w:rPr>
          <w:rFonts w:ascii="Times New Roman" w:eastAsia="Calibri" w:hAnsi="Times New Roman" w:cs="Times New Roman"/>
          <w:color w:val="000000" w:themeColor="text1"/>
          <w:sz w:val="24"/>
          <w:szCs w:val="24"/>
          <w:lang w:val="pt-BR"/>
        </w:rPr>
      </w:pPr>
      <w:r>
        <w:rPr>
          <w:rFonts w:ascii="Times New Roman" w:eastAsia="Calibri" w:hAnsi="Times New Roman" w:cs="Times New Roman"/>
          <w:color w:val="000000" w:themeColor="text1"/>
          <w:sz w:val="24"/>
          <w:szCs w:val="24"/>
          <w:lang w:val="pt-BR"/>
        </w:rPr>
        <w:t xml:space="preserve">Strategjia </w:t>
      </w:r>
      <w:r w:rsidR="00BA4B59">
        <w:rPr>
          <w:rFonts w:ascii="Times New Roman" w:eastAsia="Calibri" w:hAnsi="Times New Roman" w:cs="Times New Roman"/>
          <w:color w:val="000000" w:themeColor="text1"/>
          <w:sz w:val="24"/>
          <w:szCs w:val="24"/>
          <w:lang w:val="pt-BR"/>
        </w:rPr>
        <w:t xml:space="preserve">Kombëtare </w:t>
      </w:r>
      <w:r>
        <w:rPr>
          <w:rFonts w:ascii="Times New Roman" w:eastAsia="Calibri" w:hAnsi="Times New Roman" w:cs="Times New Roman"/>
          <w:color w:val="000000" w:themeColor="text1"/>
          <w:sz w:val="24"/>
          <w:szCs w:val="24"/>
          <w:lang w:val="pt-BR"/>
        </w:rPr>
        <w:t>e Mbrojtjes S</w:t>
      </w:r>
      <w:r w:rsidR="008E3291">
        <w:rPr>
          <w:rFonts w:ascii="Times New Roman" w:eastAsia="Calibri" w:hAnsi="Times New Roman" w:cs="Times New Roman"/>
          <w:color w:val="000000" w:themeColor="text1"/>
          <w:sz w:val="24"/>
          <w:szCs w:val="24"/>
          <w:lang w:val="pt-BR"/>
        </w:rPr>
        <w:t>ociale 2024-2030</w:t>
      </w:r>
      <w:r>
        <w:rPr>
          <w:rFonts w:ascii="Times New Roman" w:eastAsia="Calibri" w:hAnsi="Times New Roman" w:cs="Times New Roman"/>
          <w:color w:val="000000" w:themeColor="text1"/>
          <w:sz w:val="24"/>
          <w:szCs w:val="24"/>
          <w:lang w:val="pt-BR"/>
        </w:rPr>
        <w:t xml:space="preserve"> lidhet drejtpërdrejtë me 16 strategji, dokumente politikash apo plane veprimi komb</w:t>
      </w:r>
      <w:r>
        <w:rPr>
          <w:rFonts w:ascii="Times New Roman" w:eastAsia="Times New Roman" w:hAnsi="Times New Roman" w:cs="Times New Roman"/>
          <w:color w:val="000000" w:themeColor="text1"/>
          <w:sz w:val="24"/>
          <w:szCs w:val="24"/>
          <w:lang w:val="sq-AL" w:eastAsia="en-GB"/>
        </w:rPr>
        <w:t>ëtare</w:t>
      </w:r>
      <w:r>
        <w:rPr>
          <w:rFonts w:ascii="Times New Roman" w:eastAsia="Calibri" w:hAnsi="Times New Roman" w:cs="Times New Roman"/>
          <w:color w:val="000000" w:themeColor="text1"/>
          <w:sz w:val="24"/>
          <w:szCs w:val="24"/>
          <w:lang w:val="pt-BR"/>
        </w:rPr>
        <w:t xml:space="preserve">. Konkretisht: </w:t>
      </w:r>
    </w:p>
    <w:p w14:paraId="10C8554C" w14:textId="77777777" w:rsidR="00A50E95" w:rsidRDefault="00A50E95">
      <w:pPr>
        <w:widowControl w:val="0"/>
        <w:spacing w:before="60" w:after="0"/>
        <w:jc w:val="both"/>
        <w:rPr>
          <w:rFonts w:ascii="Times New Roman" w:eastAsia="Calibri" w:hAnsi="Times New Roman" w:cs="Times New Roman"/>
          <w:color w:val="000000" w:themeColor="text1"/>
          <w:sz w:val="24"/>
          <w:szCs w:val="24"/>
          <w:lang w:val="pt-BR"/>
        </w:rPr>
      </w:pPr>
    </w:p>
    <w:p w14:paraId="14031CB8" w14:textId="160B6269" w:rsidR="005F2AC9" w:rsidRDefault="00B56839">
      <w:pPr>
        <w:widowControl w:val="0"/>
        <w:spacing w:before="60" w:after="0"/>
        <w:jc w:val="both"/>
        <w:rPr>
          <w:rFonts w:ascii="Times New Roman" w:eastAsia="Calibri" w:hAnsi="Times New Roman" w:cs="Times New Roman"/>
          <w:color w:val="000000" w:themeColor="text1"/>
          <w:sz w:val="24"/>
          <w:szCs w:val="24"/>
          <w:lang w:val="pt-BR"/>
        </w:rPr>
      </w:pPr>
      <w:r>
        <w:rPr>
          <w:rFonts w:ascii="Times New Roman" w:eastAsia="Calibri" w:hAnsi="Times New Roman" w:cs="Times New Roman"/>
          <w:color w:val="000000" w:themeColor="text1"/>
          <w:sz w:val="24"/>
          <w:szCs w:val="24"/>
          <w:lang w:val="pt-BR"/>
        </w:rPr>
        <w:t xml:space="preserve">(i) </w:t>
      </w:r>
      <w:r>
        <w:rPr>
          <w:rFonts w:ascii="Times New Roman" w:eastAsia="Calibri" w:hAnsi="Times New Roman" w:cs="Times New Roman"/>
          <w:b/>
          <w:bCs/>
          <w:color w:val="000000" w:themeColor="text1"/>
          <w:sz w:val="24"/>
          <w:szCs w:val="24"/>
          <w:lang w:val="pt-BR"/>
        </w:rPr>
        <w:t>Strategjia Kombëtare për Zhvillim dhe Integrim 2030</w:t>
      </w:r>
      <w:r>
        <w:rPr>
          <w:rStyle w:val="FootnoteReference"/>
          <w:rFonts w:ascii="Times New Roman" w:eastAsia="Calibri" w:hAnsi="Times New Roman" w:cs="Times New Roman"/>
          <w:b/>
          <w:bCs/>
          <w:color w:val="000000" w:themeColor="text1"/>
          <w:sz w:val="24"/>
          <w:szCs w:val="24"/>
          <w:lang w:val="pt-BR"/>
        </w:rPr>
        <w:footnoteReference w:id="1"/>
      </w:r>
      <w:r>
        <w:rPr>
          <w:rFonts w:ascii="Times New Roman" w:eastAsia="Calibri" w:hAnsi="Times New Roman" w:cs="Times New Roman"/>
          <w:b/>
          <w:bCs/>
          <w:color w:val="000000" w:themeColor="text1"/>
          <w:sz w:val="24"/>
          <w:szCs w:val="24"/>
          <w:lang w:val="pt-BR"/>
        </w:rPr>
        <w:t xml:space="preserve"> </w:t>
      </w:r>
      <w:r>
        <w:rPr>
          <w:rFonts w:ascii="Times New Roman" w:eastAsia="Calibri" w:hAnsi="Times New Roman" w:cs="Times New Roman"/>
          <w:color w:val="000000" w:themeColor="text1"/>
          <w:sz w:val="24"/>
          <w:szCs w:val="24"/>
          <w:lang w:val="pt-BR"/>
        </w:rPr>
        <w:t xml:space="preserve">shtylla e tretë e së cilës ka në qendër burimet njerëzore si kapitalin më të cmuar në vend, duke synuar ofrimin e shërbimeve bazë publike, luftën kundër varfërisë dhe nxitjen e punësimit ,fuqizimit të sistemit të mbrojtjes </w:t>
      </w:r>
      <w:r w:rsidR="000D3687">
        <w:rPr>
          <w:rFonts w:ascii="Times New Roman" w:eastAsia="Calibri" w:hAnsi="Times New Roman" w:cs="Times New Roman"/>
          <w:color w:val="000000" w:themeColor="text1"/>
          <w:sz w:val="24"/>
          <w:szCs w:val="24"/>
          <w:lang w:val="pt-BR"/>
        </w:rPr>
        <w:t>sociale</w:t>
      </w:r>
      <w:r>
        <w:rPr>
          <w:rFonts w:ascii="Times New Roman" w:eastAsia="Calibri" w:hAnsi="Times New Roman" w:cs="Times New Roman"/>
          <w:color w:val="000000" w:themeColor="text1"/>
          <w:sz w:val="24"/>
          <w:szCs w:val="24"/>
          <w:lang w:val="pt-BR"/>
        </w:rPr>
        <w:t xml:space="preserve"> dhe mbështetjen e shtresave të veçanta më në nevojë të shoqërisë. </w:t>
      </w:r>
    </w:p>
    <w:p w14:paraId="56716B80" w14:textId="77777777" w:rsidR="005F2AC9" w:rsidRDefault="00B56839">
      <w:pPr>
        <w:widowControl w:val="0"/>
        <w:spacing w:before="60" w:after="0"/>
        <w:jc w:val="both"/>
        <w:rPr>
          <w:rFonts w:ascii="Times New Roman" w:eastAsia="Calibri" w:hAnsi="Times New Roman" w:cs="Times New Roman"/>
          <w:color w:val="000000" w:themeColor="text1"/>
          <w:sz w:val="24"/>
          <w:szCs w:val="24"/>
          <w:lang w:val="pt-BR"/>
        </w:rPr>
      </w:pPr>
      <w:r>
        <w:rPr>
          <w:rFonts w:ascii="Times New Roman" w:eastAsia="Calibri" w:hAnsi="Times New Roman" w:cs="Times New Roman"/>
          <w:color w:val="000000" w:themeColor="text1"/>
          <w:sz w:val="24"/>
          <w:szCs w:val="24"/>
          <w:lang w:val="pt-BR"/>
        </w:rPr>
        <w:t xml:space="preserve">Një nga drejtimet e Mbrojtjes Sociale nën shtyllën e Kohezionit Social është </w:t>
      </w:r>
      <w:r>
        <w:rPr>
          <w:rFonts w:ascii="Times New Roman" w:eastAsia="Calibri" w:hAnsi="Times New Roman" w:cs="Times New Roman"/>
          <w:i/>
          <w:iCs/>
          <w:color w:val="000000" w:themeColor="text1"/>
          <w:sz w:val="24"/>
          <w:szCs w:val="24"/>
          <w:lang w:val="pt-BR"/>
        </w:rPr>
        <w:t xml:space="preserve">Zhvillimi i Shërbimeve Shoqërore të Integruara; </w:t>
      </w:r>
    </w:p>
    <w:p w14:paraId="0946C610" w14:textId="77777777" w:rsidR="00A50E95" w:rsidRDefault="00A50E95">
      <w:pPr>
        <w:widowControl w:val="0"/>
        <w:spacing w:before="60" w:after="0"/>
        <w:jc w:val="both"/>
        <w:rPr>
          <w:rFonts w:ascii="Times New Roman" w:eastAsia="Calibri" w:hAnsi="Times New Roman" w:cs="Times New Roman"/>
          <w:i/>
          <w:iCs/>
          <w:color w:val="000000" w:themeColor="text1"/>
          <w:sz w:val="24"/>
          <w:szCs w:val="24"/>
          <w:lang w:val="pt-BR"/>
        </w:rPr>
      </w:pPr>
    </w:p>
    <w:p w14:paraId="5835F13A" w14:textId="77777777" w:rsidR="005F2AC9" w:rsidRDefault="00B56839">
      <w:pPr>
        <w:widowControl w:val="0"/>
        <w:spacing w:before="60" w:after="0"/>
        <w:jc w:val="both"/>
        <w:rPr>
          <w:rFonts w:ascii="Times New Roman" w:eastAsia="Calibri" w:hAnsi="Times New Roman" w:cs="Times New Roman"/>
          <w:color w:val="000000" w:themeColor="text1"/>
          <w:sz w:val="24"/>
          <w:szCs w:val="24"/>
          <w:lang w:val="pt-BR"/>
        </w:rPr>
      </w:pPr>
      <w:r>
        <w:rPr>
          <w:rFonts w:ascii="Times New Roman" w:eastAsia="Calibri" w:hAnsi="Times New Roman" w:cs="Times New Roman"/>
          <w:i/>
          <w:iCs/>
          <w:color w:val="000000" w:themeColor="text1"/>
          <w:sz w:val="24"/>
          <w:szCs w:val="24"/>
          <w:lang w:val="pt-BR"/>
        </w:rPr>
        <w:t xml:space="preserve">(ii) </w:t>
      </w:r>
      <w:r>
        <w:rPr>
          <w:rFonts w:ascii="Times New Roman" w:eastAsia="Calibri" w:hAnsi="Times New Roman" w:cs="Times New Roman"/>
          <w:b/>
          <w:bCs/>
          <w:color w:val="000000" w:themeColor="text1"/>
          <w:sz w:val="24"/>
          <w:szCs w:val="24"/>
          <w:lang w:val="pt-BR"/>
        </w:rPr>
        <w:t>Plani Kombëtar për Integrim Europian (PKIE)2023</w:t>
      </w:r>
      <w:r>
        <w:rPr>
          <w:rStyle w:val="FootnoteReference"/>
          <w:rFonts w:ascii="Times New Roman" w:eastAsia="Calibri" w:hAnsi="Times New Roman" w:cs="Times New Roman"/>
          <w:b/>
          <w:bCs/>
          <w:color w:val="000000" w:themeColor="text1"/>
          <w:sz w:val="24"/>
          <w:szCs w:val="24"/>
          <w:lang w:val="pt-BR"/>
        </w:rPr>
        <w:footnoteReference w:id="2"/>
      </w:r>
      <w:r>
        <w:rPr>
          <w:rFonts w:ascii="Times New Roman" w:eastAsia="Calibri" w:hAnsi="Times New Roman" w:cs="Times New Roman"/>
          <w:b/>
          <w:bCs/>
          <w:color w:val="000000" w:themeColor="text1"/>
          <w:sz w:val="24"/>
          <w:szCs w:val="24"/>
          <w:lang w:val="pt-BR"/>
        </w:rPr>
        <w:t>, Kapitulli 19</w:t>
      </w:r>
      <w:r>
        <w:rPr>
          <w:rFonts w:ascii="Times New Roman" w:eastAsia="Calibri" w:hAnsi="Times New Roman" w:cs="Times New Roman"/>
          <w:color w:val="000000" w:themeColor="text1"/>
          <w:sz w:val="24"/>
          <w:szCs w:val="24"/>
          <w:lang w:val="pt-BR"/>
        </w:rPr>
        <w:t xml:space="preserve"> “Politikat sociale dhe punësimi” , nënkapitulli mundësi të barabarta dhe antidiskrimi, përfshirja sociale, mbrojtja sociale , aftësia e kufizuar, mundësi punësimi që i kushton një fokus të ve</w:t>
      </w:r>
      <w:bookmarkStart w:id="12" w:name="_Hlk136218351"/>
      <w:r>
        <w:rPr>
          <w:rFonts w:ascii="Times New Roman" w:eastAsia="Calibri" w:hAnsi="Times New Roman" w:cs="Times New Roman"/>
          <w:color w:val="000000" w:themeColor="text1"/>
          <w:sz w:val="24"/>
          <w:szCs w:val="24"/>
          <w:lang w:val="pt-BR"/>
        </w:rPr>
        <w:t>ç</w:t>
      </w:r>
      <w:bookmarkEnd w:id="12"/>
      <w:r>
        <w:rPr>
          <w:rFonts w:ascii="Times New Roman" w:eastAsia="Calibri" w:hAnsi="Times New Roman" w:cs="Times New Roman"/>
          <w:color w:val="000000" w:themeColor="text1"/>
          <w:sz w:val="24"/>
          <w:szCs w:val="24"/>
          <w:lang w:val="pt-BR"/>
        </w:rPr>
        <w:t xml:space="preserve">antë decentralizimit lokal dhe zhvillimit të shërbimeve të integruara të kujdesit shoqëror dhe komunitar për të gjitha kategoritë vulnerabël, </w:t>
      </w:r>
      <w:r>
        <w:rPr>
          <w:rFonts w:ascii="Times New Roman" w:eastAsia="Calibri" w:hAnsi="Times New Roman" w:cs="Times New Roman"/>
          <w:b/>
          <w:bCs/>
          <w:color w:val="000000" w:themeColor="text1"/>
          <w:sz w:val="24"/>
          <w:szCs w:val="24"/>
          <w:lang w:val="pt-BR"/>
        </w:rPr>
        <w:t>Kapitulli 23</w:t>
      </w:r>
      <w:r>
        <w:rPr>
          <w:rFonts w:ascii="Times New Roman" w:eastAsia="Calibri" w:hAnsi="Times New Roman" w:cs="Times New Roman"/>
          <w:color w:val="000000" w:themeColor="text1"/>
          <w:sz w:val="24"/>
          <w:szCs w:val="24"/>
          <w:lang w:val="pt-BR"/>
        </w:rPr>
        <w:t xml:space="preserve">” Gjyqësori dhe të Drejtat Themelore” , që thekson nevojën për zgjerimin e rrjetit të  shërbimeve të kujdesit shoqëror të integruara me synim formimin profesional dhe punësimin e shtresave në nevojë ( përfitues të ndihmës ekonomike, persona me aftësi të kufizuar, gratë e dhunuara, personat LGBTI+, Romët dhe Egjiptianët, etj.), </w:t>
      </w:r>
      <w:r>
        <w:rPr>
          <w:rFonts w:ascii="Times New Roman" w:eastAsia="Calibri" w:hAnsi="Times New Roman" w:cs="Times New Roman"/>
          <w:b/>
          <w:bCs/>
          <w:color w:val="000000" w:themeColor="text1"/>
          <w:sz w:val="24"/>
          <w:szCs w:val="24"/>
          <w:lang w:val="pt-BR"/>
        </w:rPr>
        <w:t>Kapitulli 28</w:t>
      </w:r>
      <w:r>
        <w:rPr>
          <w:rFonts w:ascii="Times New Roman" w:eastAsia="Calibri" w:hAnsi="Times New Roman" w:cs="Times New Roman"/>
          <w:color w:val="000000" w:themeColor="text1"/>
          <w:sz w:val="24"/>
          <w:szCs w:val="24"/>
          <w:lang w:val="pt-BR"/>
        </w:rPr>
        <w:t xml:space="preserve"> – “Shëndeti dhe Mbrojtja e Konsumatorit ku theksohet nevoja për të garantuar akses të barabartë në shërbimet cilësore të integruara socio- shëndetësore për shtresat vulnerabël, përfshirë minoritetin Rom dhe Egjiptian, të moshuarit, personat me probleme të shëndetit mendor, personat me aftësi të kufizuara, popullsinë rurale dhe që jeton në zona të largëta, dhe në veçanti gratë dhe vajzat që i përkasin grupeve që shpesh herë janë subjekti formave të shumëfishta të diskriminimit; </w:t>
      </w:r>
    </w:p>
    <w:p w14:paraId="7B28FD65" w14:textId="77777777" w:rsidR="00A50E95" w:rsidRDefault="00A50E95">
      <w:pPr>
        <w:widowControl w:val="0"/>
        <w:spacing w:before="60" w:after="0"/>
        <w:jc w:val="both"/>
        <w:rPr>
          <w:rFonts w:ascii="Times New Roman" w:eastAsia="Calibri" w:hAnsi="Times New Roman" w:cs="Times New Roman"/>
          <w:color w:val="000000" w:themeColor="text1"/>
          <w:sz w:val="24"/>
          <w:szCs w:val="24"/>
          <w:lang w:val="pt-BR"/>
        </w:rPr>
      </w:pPr>
    </w:p>
    <w:p w14:paraId="31C2C7CE" w14:textId="77777777" w:rsidR="00845E90" w:rsidRDefault="00845E90">
      <w:pPr>
        <w:widowControl w:val="0"/>
        <w:spacing w:before="60" w:after="0"/>
        <w:jc w:val="both"/>
        <w:rPr>
          <w:rFonts w:ascii="Times New Roman" w:eastAsia="Calibri" w:hAnsi="Times New Roman" w:cs="Times New Roman"/>
          <w:color w:val="000000" w:themeColor="text1"/>
          <w:sz w:val="24"/>
          <w:szCs w:val="24"/>
          <w:lang w:val="pt-BR"/>
        </w:rPr>
      </w:pPr>
    </w:p>
    <w:p w14:paraId="28743535" w14:textId="77777777" w:rsidR="005F2AC9" w:rsidRDefault="00B56839">
      <w:pPr>
        <w:widowControl w:val="0"/>
        <w:spacing w:before="60" w:after="0"/>
        <w:jc w:val="both"/>
        <w:rPr>
          <w:rFonts w:ascii="Times New Roman" w:eastAsia="Calibri" w:hAnsi="Times New Roman" w:cs="Times New Roman"/>
          <w:color w:val="000000" w:themeColor="text1"/>
          <w:sz w:val="24"/>
          <w:szCs w:val="24"/>
          <w:lang w:val="pt-BR"/>
        </w:rPr>
      </w:pPr>
      <w:r>
        <w:rPr>
          <w:rFonts w:ascii="Times New Roman" w:eastAsia="Calibri" w:hAnsi="Times New Roman" w:cs="Times New Roman"/>
          <w:color w:val="000000" w:themeColor="text1"/>
          <w:sz w:val="24"/>
          <w:szCs w:val="24"/>
          <w:lang w:val="pt-BR"/>
        </w:rPr>
        <w:lastRenderedPageBreak/>
        <w:t xml:space="preserve">(iii) </w:t>
      </w:r>
      <w:r>
        <w:rPr>
          <w:rFonts w:ascii="Times New Roman" w:eastAsia="Calibri" w:hAnsi="Times New Roman" w:cs="Times New Roman"/>
          <w:b/>
          <w:bCs/>
          <w:color w:val="000000" w:themeColor="text1"/>
          <w:sz w:val="24"/>
          <w:szCs w:val="24"/>
          <w:lang w:val="pt-BR"/>
        </w:rPr>
        <w:t>Strategjia Kombëtare për Barazinë Gjinore 2021-2030</w:t>
      </w:r>
      <w:r>
        <w:rPr>
          <w:rFonts w:ascii="Times New Roman" w:eastAsia="Calibri" w:hAnsi="Times New Roman" w:cs="Times New Roman"/>
          <w:color w:val="000000" w:themeColor="text1"/>
          <w:sz w:val="24"/>
          <w:szCs w:val="24"/>
          <w:lang w:val="pt-BR"/>
        </w:rPr>
        <w:t xml:space="preserve"> </w:t>
      </w:r>
      <w:r>
        <w:rPr>
          <w:rFonts w:ascii="Times New Roman" w:eastAsia="Calibri" w:hAnsi="Times New Roman" w:cs="Times New Roman"/>
          <w:b/>
          <w:bCs/>
          <w:color w:val="000000" w:themeColor="text1"/>
          <w:sz w:val="24"/>
          <w:szCs w:val="24"/>
          <w:lang w:val="pt-BR"/>
        </w:rPr>
        <w:t>dhe Planin e saj të Veprimit</w:t>
      </w:r>
      <w:r>
        <w:rPr>
          <w:rStyle w:val="FootnoteReference"/>
          <w:rFonts w:ascii="Times New Roman" w:eastAsia="Calibri" w:hAnsi="Times New Roman" w:cs="Times New Roman"/>
          <w:color w:val="000000" w:themeColor="text1"/>
          <w:sz w:val="24"/>
          <w:szCs w:val="24"/>
          <w:lang w:val="pt-BR"/>
        </w:rPr>
        <w:footnoteReference w:id="3"/>
      </w:r>
      <w:r>
        <w:rPr>
          <w:rFonts w:ascii="Times New Roman" w:eastAsia="Calibri" w:hAnsi="Times New Roman" w:cs="Times New Roman"/>
          <w:color w:val="000000" w:themeColor="text1"/>
          <w:sz w:val="24"/>
          <w:szCs w:val="24"/>
          <w:lang w:val="pt-BR"/>
        </w:rPr>
        <w:t xml:space="preserve"> drejtimi strategjik 3 “ Zvogëlimi i të gjitha formave dhe praktikave të dëmshme , dhunës me bazë gjinore dhe dhunës në familje”, objektivi specifik II.2 “ Rritja e aksesit në shërbimet mbështetëse të specializuara për gratë , burrat, të rinjtë, vajzat dhe djemtë nga të gjitha grupet , të cilat përjetojnë praktika të dëmshme , dhunë seksuale dhe forma të tjera të dhunës me bazë gjinore e dhunës në familje , si në situatë normale ashtu dhe në situatë të krizave humanitare e gjendjeve të fatkeqësive natyrore”. Disa prej masave të parashikuara janë shtimi/ përmirësimi i shërbimeve mbështetëse të specializuara për të mbijetuarit e sulmeve seksuale dhe trafikimit për qëllime të shfrytëzimit seksual, nga të gjithë grupet; shtimin/përmirësimi i shërbimeve mbështetëse te specializuara të strehimit emergjent;shtimi/përmirësimi i shërbimeve mbështetëse të specializuara të strehimit afatgjatë; mbështetja financiare për OJF, të cilat ofrojnë shërbime të specializuara të formave të ndryshme, për rastet e dhunës me bazë gjinore , dhunës në familje e trafikimit; </w:t>
      </w:r>
    </w:p>
    <w:p w14:paraId="6E8E04A0" w14:textId="77777777" w:rsidR="00A50E95" w:rsidRDefault="00A50E95">
      <w:pPr>
        <w:widowControl w:val="0"/>
        <w:spacing w:before="60" w:after="0"/>
        <w:jc w:val="both"/>
        <w:rPr>
          <w:rFonts w:ascii="Times New Roman" w:eastAsia="Calibri" w:hAnsi="Times New Roman" w:cs="Times New Roman"/>
          <w:color w:val="000000" w:themeColor="text1"/>
          <w:sz w:val="24"/>
          <w:szCs w:val="24"/>
          <w:lang w:val="pt-BR"/>
        </w:rPr>
      </w:pPr>
    </w:p>
    <w:p w14:paraId="59544E8E" w14:textId="77777777" w:rsidR="00A50E95" w:rsidRDefault="00B56839">
      <w:pPr>
        <w:widowControl w:val="0"/>
        <w:spacing w:before="60" w:after="0"/>
        <w:jc w:val="both"/>
        <w:rPr>
          <w:rFonts w:ascii="Times New Roman" w:eastAsia="Calibri" w:hAnsi="Times New Roman" w:cs="Times New Roman"/>
          <w:color w:val="000000" w:themeColor="text1"/>
          <w:sz w:val="24"/>
          <w:szCs w:val="24"/>
          <w:lang w:val="pt-BR"/>
        </w:rPr>
      </w:pPr>
      <w:r>
        <w:rPr>
          <w:rFonts w:ascii="Times New Roman" w:eastAsia="Calibri" w:hAnsi="Times New Roman" w:cs="Times New Roman"/>
          <w:color w:val="000000" w:themeColor="text1"/>
          <w:sz w:val="24"/>
          <w:szCs w:val="24"/>
          <w:lang w:val="pt-BR"/>
        </w:rPr>
        <w:t xml:space="preserve">(iv) </w:t>
      </w:r>
      <w:r>
        <w:rPr>
          <w:rFonts w:ascii="Times New Roman" w:eastAsia="Calibri" w:hAnsi="Times New Roman" w:cs="Times New Roman"/>
          <w:b/>
          <w:bCs/>
          <w:color w:val="000000" w:themeColor="text1"/>
          <w:sz w:val="24"/>
          <w:szCs w:val="24"/>
          <w:lang w:val="pt-BR"/>
        </w:rPr>
        <w:t>Strategjia Ndërsektoriale për Decentralizimin dhe Qeverisjen Vendore 2023-2030</w:t>
      </w:r>
      <w:r>
        <w:rPr>
          <w:rStyle w:val="FootnoteReference"/>
          <w:rFonts w:ascii="Times New Roman" w:eastAsia="Calibri" w:hAnsi="Times New Roman" w:cs="Times New Roman"/>
          <w:b/>
          <w:bCs/>
          <w:color w:val="000000" w:themeColor="text1"/>
          <w:sz w:val="24"/>
          <w:szCs w:val="24"/>
          <w:lang w:val="pt-BR"/>
        </w:rPr>
        <w:footnoteReference w:id="4"/>
      </w:r>
      <w:r>
        <w:rPr>
          <w:rFonts w:ascii="Times New Roman" w:eastAsia="Calibri" w:hAnsi="Times New Roman" w:cs="Times New Roman"/>
          <w:color w:val="000000" w:themeColor="text1"/>
          <w:sz w:val="24"/>
          <w:szCs w:val="24"/>
          <w:lang w:val="pt-BR"/>
        </w:rPr>
        <w:t>, drejtimi i dytë strategjik - ofrimi cilësor i shërbimeve vendore sipas standarteve kombëtare, shoqëruar me rritje të performancës së bashkive dhe manaxhimit të burimeve njerëzore. Konsolidimi i rolit të Njësive të Vetëqeverisjes Vendore në ushtrimin e funksioneve të tyre, duke qartësuar mangësitë dhe mbivendosjet ligjore, institucionale dhe mekanizmat e financimit në marëdhëniet ndërqeveritare; përmirësimi i manaxhimit të burimeve njerëzore në nivel vendor , shoqëruar me rritje të kapaciteteve administrative vendore me qëllim përmirësimin e ofrimit të shërbimeve publike; përmirësimin e eficiencës së shërbimeve , përmirësimi i përformancës së qeverisjes vendore janë disa prej objektivave. Në këtë strategji janë vendosur tregues  specifik të lidhur me ngritjen e shërbimeve sociale në nivel vendor nëpërmjet financimit nga Fondi Social; (</w:t>
      </w:r>
    </w:p>
    <w:p w14:paraId="640DC906" w14:textId="77777777" w:rsidR="00A50E95" w:rsidRDefault="00A50E95">
      <w:pPr>
        <w:widowControl w:val="0"/>
        <w:spacing w:before="60" w:after="0"/>
        <w:jc w:val="both"/>
        <w:rPr>
          <w:rFonts w:ascii="Times New Roman" w:eastAsia="Calibri" w:hAnsi="Times New Roman" w:cs="Times New Roman"/>
          <w:color w:val="000000" w:themeColor="text1"/>
          <w:sz w:val="24"/>
          <w:szCs w:val="24"/>
          <w:lang w:val="pt-BR"/>
        </w:rPr>
      </w:pPr>
    </w:p>
    <w:p w14:paraId="20051311" w14:textId="2E620FDE" w:rsidR="005F2AC9" w:rsidRDefault="00A50E95">
      <w:pPr>
        <w:widowControl w:val="0"/>
        <w:spacing w:before="60" w:after="0"/>
        <w:jc w:val="both"/>
        <w:rPr>
          <w:rFonts w:ascii="Times New Roman" w:eastAsia="Calibri" w:hAnsi="Times New Roman" w:cs="Times New Roman"/>
          <w:color w:val="000000" w:themeColor="text1"/>
          <w:sz w:val="24"/>
          <w:szCs w:val="24"/>
          <w:lang w:val="pt-BR"/>
        </w:rPr>
      </w:pPr>
      <w:r>
        <w:rPr>
          <w:rFonts w:ascii="Times New Roman" w:eastAsia="Calibri" w:hAnsi="Times New Roman" w:cs="Times New Roman"/>
          <w:color w:val="000000" w:themeColor="text1"/>
          <w:sz w:val="24"/>
          <w:szCs w:val="24"/>
          <w:lang w:val="pt-BR"/>
        </w:rPr>
        <w:t>(v</w:t>
      </w:r>
      <w:r w:rsidR="00B56839">
        <w:rPr>
          <w:rFonts w:ascii="Times New Roman" w:eastAsia="Calibri" w:hAnsi="Times New Roman" w:cs="Times New Roman"/>
          <w:color w:val="000000" w:themeColor="text1"/>
          <w:sz w:val="24"/>
          <w:szCs w:val="24"/>
          <w:lang w:val="pt-BR"/>
        </w:rPr>
        <w:t xml:space="preserve">) </w:t>
      </w:r>
      <w:r w:rsidR="00B56839">
        <w:rPr>
          <w:rFonts w:ascii="Times New Roman" w:eastAsia="Calibri" w:hAnsi="Times New Roman" w:cs="Times New Roman"/>
          <w:b/>
          <w:bCs/>
          <w:color w:val="000000" w:themeColor="text1"/>
          <w:sz w:val="24"/>
          <w:szCs w:val="24"/>
          <w:lang w:val="pt-BR"/>
        </w:rPr>
        <w:t>Plani Kombëtar për Personat me Aftësi të Kufizuar 2021-2025</w:t>
      </w:r>
      <w:r w:rsidR="00B56839">
        <w:rPr>
          <w:rStyle w:val="FootnoteReference"/>
          <w:rFonts w:ascii="Times New Roman" w:eastAsia="Calibri" w:hAnsi="Times New Roman" w:cs="Times New Roman"/>
          <w:b/>
          <w:bCs/>
          <w:color w:val="000000" w:themeColor="text1"/>
          <w:sz w:val="24"/>
          <w:szCs w:val="24"/>
          <w:lang w:val="pt-BR"/>
        </w:rPr>
        <w:footnoteReference w:id="5"/>
      </w:r>
      <w:r w:rsidR="00B56839">
        <w:rPr>
          <w:rFonts w:ascii="Times New Roman" w:eastAsia="Calibri" w:hAnsi="Times New Roman" w:cs="Times New Roman"/>
          <w:b/>
          <w:bCs/>
          <w:color w:val="000000" w:themeColor="text1"/>
          <w:sz w:val="24"/>
          <w:szCs w:val="24"/>
          <w:lang w:val="pt-BR"/>
        </w:rPr>
        <w:t xml:space="preserve"> ,</w:t>
      </w:r>
      <w:r w:rsidR="00B56839">
        <w:rPr>
          <w:rFonts w:ascii="Times New Roman" w:eastAsia="Calibri" w:hAnsi="Times New Roman" w:cs="Times New Roman"/>
          <w:color w:val="000000" w:themeColor="text1"/>
          <w:sz w:val="24"/>
          <w:szCs w:val="24"/>
          <w:lang w:val="pt-BR"/>
        </w:rPr>
        <w:t xml:space="preserve"> i cili është i orientuar drejt 8 objektivave strategjike për përmirësimin e kushteve të jetesës dhe aksesueshmërinë e personave me aftësi të kufizuar. Objektivi strategjik 5 “ Përmirësimi i cilësisë së jetesës së personave me aftësi të kufizuara nëpërmjet shërbimeve /përfitimeve të aksesueshme ,të përballueshme financiarisht dhe që kanë në qendër klientin”,  parashikon disa objektiva si monitorimi i efekteve të vlerësimit të aftësisë së kufizuar nga komisionet e reja, sipas modelit të të drejtave të njeriut që përcakton KDPAK-um, ofrimi i shërbimeve të integruara sociale me anë të kombinimit të pagesave me para në dorë (cash) me kujdesin social cilësor, promovimi dhe nxitja e jetesës së pavarur nëpërmjet ofrimit të llojeve të reja të shërbimeve komunitare; </w:t>
      </w:r>
    </w:p>
    <w:p w14:paraId="03077F36" w14:textId="77777777" w:rsidR="00A50E95" w:rsidRDefault="00A50E95">
      <w:pPr>
        <w:widowControl w:val="0"/>
        <w:spacing w:before="60" w:after="0"/>
        <w:jc w:val="both"/>
        <w:rPr>
          <w:rFonts w:ascii="Times New Roman" w:eastAsia="Calibri" w:hAnsi="Times New Roman" w:cs="Times New Roman"/>
          <w:color w:val="000000" w:themeColor="text1"/>
          <w:sz w:val="24"/>
          <w:szCs w:val="24"/>
          <w:lang w:val="pt-BR"/>
        </w:rPr>
      </w:pPr>
    </w:p>
    <w:p w14:paraId="4EC49A6F" w14:textId="77777777" w:rsidR="00845E90" w:rsidRDefault="00845E90">
      <w:pPr>
        <w:widowControl w:val="0"/>
        <w:spacing w:before="60" w:after="0"/>
        <w:jc w:val="both"/>
        <w:rPr>
          <w:rFonts w:ascii="Times New Roman" w:eastAsia="Calibri" w:hAnsi="Times New Roman" w:cs="Times New Roman"/>
          <w:color w:val="000000" w:themeColor="text1"/>
          <w:sz w:val="24"/>
          <w:szCs w:val="24"/>
          <w:lang w:val="pt-BR"/>
        </w:rPr>
      </w:pPr>
    </w:p>
    <w:p w14:paraId="39A78E46" w14:textId="77777777" w:rsidR="00845E90" w:rsidRDefault="00845E90">
      <w:pPr>
        <w:widowControl w:val="0"/>
        <w:spacing w:before="60" w:after="0"/>
        <w:jc w:val="both"/>
        <w:rPr>
          <w:rFonts w:ascii="Times New Roman" w:eastAsia="Calibri" w:hAnsi="Times New Roman" w:cs="Times New Roman"/>
          <w:color w:val="000000" w:themeColor="text1"/>
          <w:sz w:val="24"/>
          <w:szCs w:val="24"/>
          <w:lang w:val="pt-BR"/>
        </w:rPr>
      </w:pPr>
    </w:p>
    <w:p w14:paraId="7DB93A6E" w14:textId="2F5523B3" w:rsidR="005F2AC9" w:rsidRDefault="00A50E95">
      <w:pPr>
        <w:widowControl w:val="0"/>
        <w:spacing w:before="60" w:after="0"/>
        <w:jc w:val="both"/>
        <w:rPr>
          <w:rFonts w:ascii="Times New Roman" w:eastAsia="Calibri" w:hAnsi="Times New Roman" w:cs="Times New Roman"/>
          <w:color w:val="000000" w:themeColor="text1"/>
          <w:sz w:val="24"/>
          <w:szCs w:val="24"/>
          <w:lang w:val="pt-BR"/>
        </w:rPr>
      </w:pPr>
      <w:r>
        <w:rPr>
          <w:rFonts w:ascii="Times New Roman" w:eastAsia="Calibri" w:hAnsi="Times New Roman" w:cs="Times New Roman"/>
          <w:color w:val="000000" w:themeColor="text1"/>
          <w:sz w:val="24"/>
          <w:szCs w:val="24"/>
          <w:lang w:val="pt-BR"/>
        </w:rPr>
        <w:lastRenderedPageBreak/>
        <w:t>(vi</w:t>
      </w:r>
      <w:r w:rsidR="00B56839">
        <w:rPr>
          <w:rFonts w:ascii="Times New Roman" w:eastAsia="Calibri" w:hAnsi="Times New Roman" w:cs="Times New Roman"/>
          <w:color w:val="000000" w:themeColor="text1"/>
          <w:sz w:val="24"/>
          <w:szCs w:val="24"/>
          <w:lang w:val="pt-BR"/>
        </w:rPr>
        <w:t xml:space="preserve">) </w:t>
      </w:r>
      <w:r w:rsidR="00B56839">
        <w:rPr>
          <w:rFonts w:ascii="Times New Roman" w:eastAsia="Calibri" w:hAnsi="Times New Roman" w:cs="Times New Roman"/>
          <w:b/>
          <w:bCs/>
          <w:color w:val="000000" w:themeColor="text1"/>
          <w:sz w:val="24"/>
          <w:szCs w:val="24"/>
          <w:lang w:val="pt-BR"/>
        </w:rPr>
        <w:t>Plani Kombëtar i Veprimit për Barazi, Përfshirje dhe Pjesëmarrjen e Romëve dhe Egjiptianëve 2021-2025</w:t>
      </w:r>
      <w:r w:rsidR="00B56839">
        <w:rPr>
          <w:rStyle w:val="FootnoteReference"/>
          <w:rFonts w:ascii="Times New Roman" w:eastAsia="Calibri" w:hAnsi="Times New Roman" w:cs="Times New Roman"/>
          <w:b/>
          <w:bCs/>
          <w:color w:val="000000" w:themeColor="text1"/>
          <w:sz w:val="24"/>
          <w:szCs w:val="24"/>
          <w:lang w:val="pt-BR"/>
        </w:rPr>
        <w:footnoteReference w:id="6"/>
      </w:r>
      <w:r w:rsidR="00B56839">
        <w:rPr>
          <w:rFonts w:ascii="Times New Roman" w:eastAsia="Calibri" w:hAnsi="Times New Roman" w:cs="Times New Roman"/>
          <w:b/>
          <w:bCs/>
          <w:color w:val="000000" w:themeColor="text1"/>
          <w:sz w:val="24"/>
          <w:szCs w:val="24"/>
          <w:lang w:val="pt-BR"/>
        </w:rPr>
        <w:t>, o</w:t>
      </w:r>
      <w:r w:rsidR="00B56839">
        <w:rPr>
          <w:rFonts w:ascii="Times New Roman" w:eastAsia="Calibri" w:hAnsi="Times New Roman" w:cs="Times New Roman"/>
          <w:color w:val="000000" w:themeColor="text1"/>
          <w:sz w:val="24"/>
          <w:szCs w:val="24"/>
          <w:lang w:val="pt-BR"/>
        </w:rPr>
        <w:t xml:space="preserve">bjektivi strategjik 6  që parashikon Përmirësimin e qasjes dhe rriten e aksesit të romëve dhe egjiptianëve në programet e mbrojtjes sociale dhe objektivit specifik 3, rritjen e aksesit të romëve dhe egjitpianëve në shërbimet e kujdesit shoqëror dhe modelimi i shërbimeve të reja të ofruara në komunitet; </w:t>
      </w:r>
    </w:p>
    <w:p w14:paraId="70476091" w14:textId="77777777" w:rsidR="00A50E95" w:rsidRDefault="00A50E95">
      <w:pPr>
        <w:widowControl w:val="0"/>
        <w:spacing w:before="60" w:after="0"/>
        <w:jc w:val="both"/>
        <w:rPr>
          <w:rFonts w:ascii="Times New Roman" w:eastAsia="Calibri" w:hAnsi="Times New Roman" w:cs="Times New Roman"/>
          <w:color w:val="000000" w:themeColor="text1"/>
          <w:sz w:val="24"/>
          <w:szCs w:val="24"/>
          <w:lang w:val="pt-BR"/>
        </w:rPr>
      </w:pPr>
    </w:p>
    <w:p w14:paraId="46038433" w14:textId="7775D85A" w:rsidR="005F2AC9" w:rsidRDefault="00A50E95">
      <w:pPr>
        <w:widowControl w:val="0"/>
        <w:spacing w:before="60" w:after="0"/>
        <w:jc w:val="both"/>
        <w:rPr>
          <w:rFonts w:ascii="Times New Roman" w:eastAsia="Calibri" w:hAnsi="Times New Roman" w:cs="Times New Roman"/>
          <w:color w:val="000000" w:themeColor="text1"/>
          <w:sz w:val="24"/>
          <w:szCs w:val="24"/>
          <w:lang w:val="pt-BR"/>
        </w:rPr>
      </w:pPr>
      <w:r>
        <w:rPr>
          <w:rFonts w:ascii="Times New Roman" w:eastAsia="Calibri" w:hAnsi="Times New Roman" w:cs="Times New Roman"/>
          <w:color w:val="000000" w:themeColor="text1"/>
          <w:sz w:val="24"/>
          <w:szCs w:val="24"/>
          <w:lang w:val="pt-BR"/>
        </w:rPr>
        <w:t>(vii</w:t>
      </w:r>
      <w:r w:rsidR="00B56839">
        <w:rPr>
          <w:rFonts w:ascii="Times New Roman" w:eastAsia="Calibri" w:hAnsi="Times New Roman" w:cs="Times New Roman"/>
          <w:color w:val="000000" w:themeColor="text1"/>
          <w:sz w:val="24"/>
          <w:szCs w:val="24"/>
          <w:lang w:val="pt-BR"/>
        </w:rPr>
        <w:t xml:space="preserve">) </w:t>
      </w:r>
      <w:r w:rsidR="00B56839">
        <w:rPr>
          <w:rFonts w:ascii="Times New Roman" w:eastAsia="Calibri" w:hAnsi="Times New Roman" w:cs="Times New Roman"/>
          <w:b/>
          <w:bCs/>
          <w:color w:val="000000" w:themeColor="text1"/>
          <w:sz w:val="24"/>
          <w:szCs w:val="24"/>
          <w:lang w:val="pt-BR"/>
        </w:rPr>
        <w:t>Dokumenti Politik për Moshimin 2025-2030</w:t>
      </w:r>
      <w:r w:rsidR="00B56839">
        <w:rPr>
          <w:rStyle w:val="FootnoteReference"/>
          <w:rFonts w:ascii="Times New Roman" w:eastAsia="Calibri" w:hAnsi="Times New Roman" w:cs="Times New Roman"/>
          <w:b/>
          <w:bCs/>
          <w:color w:val="000000" w:themeColor="text1"/>
          <w:sz w:val="24"/>
          <w:szCs w:val="24"/>
          <w:lang w:val="pt-BR"/>
        </w:rPr>
        <w:footnoteReference w:id="7"/>
      </w:r>
      <w:r w:rsidR="00B56839">
        <w:rPr>
          <w:rFonts w:ascii="Times New Roman" w:eastAsia="Calibri" w:hAnsi="Times New Roman" w:cs="Times New Roman"/>
          <w:color w:val="000000" w:themeColor="text1"/>
          <w:sz w:val="24"/>
          <w:szCs w:val="24"/>
          <w:lang w:val="pt-BR"/>
        </w:rPr>
        <w:t xml:space="preserve">  miratuar me VKM 315/2025, që parashikon që shërbimet sociale për të moshuarit realizohen nëpërmjet Shërbimeve të kujdesit shoqëror , që ofrohen në qendrat publike të shërbimeve si; qendrat komunitare, qendrat rezidenciale, qendrat ditore ose shërbime në shtëpi dhe financohen nga buxheti i shtetit dhe nga buxhetet vendore të organeve të qeverisjes vendore si dhe shërbimet e kujdesit shoqëror</w:t>
      </w:r>
      <w:r>
        <w:rPr>
          <w:rFonts w:ascii="Times New Roman" w:eastAsia="Calibri" w:hAnsi="Times New Roman" w:cs="Times New Roman"/>
          <w:color w:val="000000" w:themeColor="text1"/>
          <w:sz w:val="24"/>
          <w:szCs w:val="24"/>
          <w:lang w:val="pt-BR"/>
        </w:rPr>
        <w:t xml:space="preserve"> që ofrohen në qendra jopublike</w:t>
      </w:r>
      <w:r w:rsidR="00B56839">
        <w:rPr>
          <w:rFonts w:ascii="Times New Roman" w:eastAsia="Calibri" w:hAnsi="Times New Roman" w:cs="Times New Roman"/>
          <w:color w:val="000000" w:themeColor="text1"/>
          <w:sz w:val="24"/>
          <w:szCs w:val="24"/>
          <w:lang w:val="pt-BR"/>
        </w:rPr>
        <w:t>, nga organizata fitimprurëse dhe jofitimprurëse ;</w:t>
      </w:r>
    </w:p>
    <w:p w14:paraId="7EF9FC16" w14:textId="77777777" w:rsidR="00A50E95" w:rsidRDefault="00A50E95">
      <w:pPr>
        <w:widowControl w:val="0"/>
        <w:spacing w:before="60" w:after="0"/>
        <w:jc w:val="both"/>
        <w:rPr>
          <w:rFonts w:ascii="Times New Roman" w:eastAsia="Calibri" w:hAnsi="Times New Roman" w:cs="Times New Roman"/>
          <w:color w:val="000000" w:themeColor="text1"/>
          <w:sz w:val="24"/>
          <w:szCs w:val="24"/>
          <w:lang w:val="pt-BR"/>
        </w:rPr>
      </w:pPr>
    </w:p>
    <w:p w14:paraId="0FF36448" w14:textId="0536D487" w:rsidR="005F2AC9" w:rsidRDefault="00A50E95">
      <w:pPr>
        <w:widowControl w:val="0"/>
        <w:spacing w:before="60" w:after="0"/>
        <w:jc w:val="both"/>
        <w:rPr>
          <w:rFonts w:ascii="Times New Roman" w:eastAsia="Calibri" w:hAnsi="Times New Roman" w:cs="Times New Roman"/>
          <w:color w:val="000000" w:themeColor="text1"/>
          <w:sz w:val="24"/>
          <w:szCs w:val="24"/>
          <w:lang w:val="pt-BR"/>
        </w:rPr>
      </w:pPr>
      <w:r>
        <w:rPr>
          <w:rFonts w:ascii="Times New Roman" w:eastAsia="Calibri" w:hAnsi="Times New Roman" w:cs="Times New Roman"/>
          <w:color w:val="000000" w:themeColor="text1"/>
          <w:sz w:val="24"/>
          <w:szCs w:val="24"/>
          <w:lang w:val="pt-BR"/>
        </w:rPr>
        <w:t>(viii</w:t>
      </w:r>
      <w:r w:rsidR="00B56839">
        <w:rPr>
          <w:rFonts w:ascii="Times New Roman" w:eastAsia="Calibri" w:hAnsi="Times New Roman" w:cs="Times New Roman"/>
          <w:color w:val="000000" w:themeColor="text1"/>
          <w:sz w:val="24"/>
          <w:szCs w:val="24"/>
          <w:lang w:val="pt-BR"/>
        </w:rPr>
        <w:t xml:space="preserve">) </w:t>
      </w:r>
      <w:r w:rsidR="00B56839">
        <w:rPr>
          <w:rFonts w:ascii="Times New Roman" w:eastAsia="Calibri" w:hAnsi="Times New Roman" w:cs="Times New Roman"/>
          <w:b/>
          <w:bCs/>
          <w:color w:val="000000" w:themeColor="text1"/>
          <w:sz w:val="24"/>
          <w:szCs w:val="24"/>
          <w:lang w:val="pt-BR"/>
        </w:rPr>
        <w:t>Plani Kombëtar i Veprimit për Personat LGBTI+</w:t>
      </w:r>
      <w:r w:rsidR="00B56839">
        <w:rPr>
          <w:rStyle w:val="FootnoteReference"/>
          <w:rFonts w:ascii="Times New Roman" w:eastAsia="Calibri" w:hAnsi="Times New Roman" w:cs="Times New Roman"/>
          <w:b/>
          <w:bCs/>
          <w:color w:val="000000" w:themeColor="text1"/>
          <w:sz w:val="24"/>
          <w:szCs w:val="24"/>
          <w:lang w:val="pt-BR"/>
        </w:rPr>
        <w:footnoteReference w:id="8"/>
      </w:r>
      <w:r w:rsidR="00B56839">
        <w:rPr>
          <w:rFonts w:ascii="Times New Roman" w:eastAsia="Calibri" w:hAnsi="Times New Roman" w:cs="Times New Roman"/>
          <w:b/>
          <w:bCs/>
          <w:color w:val="000000" w:themeColor="text1"/>
          <w:sz w:val="24"/>
          <w:szCs w:val="24"/>
          <w:lang w:val="pt-BR"/>
        </w:rPr>
        <w:t xml:space="preserve">, 2021-2027, </w:t>
      </w:r>
      <w:r w:rsidR="00B56839">
        <w:rPr>
          <w:rFonts w:ascii="Times New Roman" w:eastAsia="Calibri" w:hAnsi="Times New Roman" w:cs="Times New Roman"/>
          <w:color w:val="000000" w:themeColor="text1"/>
          <w:sz w:val="24"/>
          <w:szCs w:val="24"/>
          <w:lang w:val="pt-BR"/>
        </w:rPr>
        <w:t xml:space="preserve">shtylla e </w:t>
      </w:r>
      <w:r w:rsidR="00B56839">
        <w:rPr>
          <w:rFonts w:ascii="Times New Roman" w:eastAsia="Calibri" w:hAnsi="Times New Roman" w:cs="Times New Roman"/>
          <w:color w:val="000000" w:themeColor="text1"/>
          <w:sz w:val="24"/>
          <w:szCs w:val="24"/>
        </w:rPr>
        <w:t>p</w:t>
      </w:r>
      <w:r w:rsidR="00B56839">
        <w:rPr>
          <w:rFonts w:ascii="Times New Roman" w:eastAsia="Calibri" w:hAnsi="Times New Roman" w:cs="Times New Roman"/>
          <w:color w:val="000000" w:themeColor="text1"/>
          <w:sz w:val="24"/>
          <w:szCs w:val="24"/>
          <w:lang w:val="pt-BR"/>
        </w:rPr>
        <w:t xml:space="preserve">are “përmirësimi i aksesit të personave LGBTI+ në shërbime publike dhe shërbime mbështetëse të specializuara efektive , cilësore dhe të disponueshme në mbarë vendin, në përputhje me nevojat specifike të tyre dhe me standartet kombëtare të harmonizuara me ato evropiane/ndërkombëtare”; </w:t>
      </w:r>
    </w:p>
    <w:p w14:paraId="5748E0E3" w14:textId="77777777" w:rsidR="00A50E95" w:rsidRDefault="00A50E95">
      <w:pPr>
        <w:widowControl w:val="0"/>
        <w:spacing w:before="60" w:after="0"/>
        <w:jc w:val="both"/>
        <w:rPr>
          <w:rFonts w:ascii="Times New Roman" w:eastAsia="Calibri" w:hAnsi="Times New Roman" w:cs="Times New Roman"/>
          <w:color w:val="000000" w:themeColor="text1"/>
          <w:sz w:val="24"/>
          <w:szCs w:val="24"/>
          <w:lang w:val="pt-BR"/>
        </w:rPr>
      </w:pPr>
    </w:p>
    <w:p w14:paraId="075AEA23" w14:textId="2383FBD0" w:rsidR="005F2AC9" w:rsidRDefault="00B56839">
      <w:pPr>
        <w:widowControl w:val="0"/>
        <w:spacing w:before="60" w:after="0"/>
        <w:jc w:val="both"/>
        <w:rPr>
          <w:rFonts w:ascii="Times New Roman" w:eastAsia="Calibri" w:hAnsi="Times New Roman" w:cs="Times New Roman"/>
          <w:color w:val="000000" w:themeColor="text1"/>
          <w:sz w:val="24"/>
          <w:szCs w:val="24"/>
          <w:lang w:val="pt-BR"/>
        </w:rPr>
      </w:pPr>
      <w:r>
        <w:rPr>
          <w:rFonts w:ascii="Times New Roman" w:eastAsia="Calibri" w:hAnsi="Times New Roman" w:cs="Times New Roman"/>
          <w:color w:val="000000" w:themeColor="text1"/>
          <w:sz w:val="24"/>
          <w:szCs w:val="24"/>
          <w:lang w:val="pt-BR"/>
        </w:rPr>
        <w:t>(</w:t>
      </w:r>
      <w:r w:rsidR="00A50E95">
        <w:rPr>
          <w:rFonts w:ascii="Times New Roman" w:eastAsia="Calibri" w:hAnsi="Times New Roman" w:cs="Times New Roman"/>
          <w:color w:val="000000" w:themeColor="text1"/>
          <w:sz w:val="24"/>
          <w:szCs w:val="24"/>
          <w:lang w:val="pt-BR"/>
        </w:rPr>
        <w:t>i</w:t>
      </w:r>
      <w:r>
        <w:rPr>
          <w:rFonts w:ascii="Times New Roman" w:eastAsia="Calibri" w:hAnsi="Times New Roman" w:cs="Times New Roman"/>
          <w:color w:val="000000" w:themeColor="text1"/>
          <w:sz w:val="24"/>
          <w:szCs w:val="24"/>
          <w:lang w:val="pt-BR"/>
        </w:rPr>
        <w:t xml:space="preserve">x) </w:t>
      </w:r>
      <w:r>
        <w:rPr>
          <w:rFonts w:ascii="Times New Roman" w:eastAsia="Calibri" w:hAnsi="Times New Roman" w:cs="Times New Roman"/>
          <w:b/>
          <w:bCs/>
          <w:color w:val="000000" w:themeColor="text1"/>
          <w:sz w:val="24"/>
          <w:szCs w:val="24"/>
          <w:lang w:val="pt-BR"/>
        </w:rPr>
        <w:t>Strategjia e Zhvillimit të Shërbimeve të Kujdesit Shëndetësor Parësor në Shqipëri 2020-2025</w:t>
      </w:r>
      <w:r>
        <w:rPr>
          <w:rStyle w:val="FootnoteReference"/>
          <w:rFonts w:ascii="Times New Roman" w:eastAsia="Calibri" w:hAnsi="Times New Roman" w:cs="Times New Roman"/>
          <w:b/>
          <w:bCs/>
          <w:color w:val="000000" w:themeColor="text1"/>
          <w:sz w:val="24"/>
          <w:szCs w:val="24"/>
          <w:lang w:val="pt-BR"/>
        </w:rPr>
        <w:footnoteReference w:id="9"/>
      </w:r>
      <w:r>
        <w:rPr>
          <w:rFonts w:ascii="Times New Roman" w:eastAsia="Calibri" w:hAnsi="Times New Roman" w:cs="Times New Roman"/>
          <w:b/>
          <w:bCs/>
          <w:color w:val="000000" w:themeColor="text1"/>
          <w:sz w:val="24"/>
          <w:szCs w:val="24"/>
          <w:lang w:val="pt-BR"/>
        </w:rPr>
        <w:t>,</w:t>
      </w:r>
      <w:r>
        <w:rPr>
          <w:rFonts w:ascii="Times New Roman" w:eastAsia="Calibri" w:hAnsi="Times New Roman" w:cs="Times New Roman"/>
          <w:color w:val="000000" w:themeColor="text1"/>
          <w:sz w:val="24"/>
          <w:szCs w:val="24"/>
          <w:lang w:val="pt-BR"/>
        </w:rPr>
        <w:t xml:space="preserve"> objektivin Strategjik 5 “Mbulim shëndetësor universal“, shtimi shërbimeve të reja dhe integrimi i shërbimeve shëndetësore me shërbimet psiko-sociale (kujdesi paliativ, kujdesi psikologjik,rehabilitimi fizik (fizioterapia), sigurimi i një bashkëpunimi të qëndrueshëm mes individëve , familjeve , komuniteteve dhe Kujdesit Shëndetësor Parësor si dhe objektivi VII.1 “ Të organizojmë shërbimet e Kujdesit shëndetësor Parësor , gjithmonë e më të integruara me kujdesin social në nivel vendor; </w:t>
      </w:r>
    </w:p>
    <w:p w14:paraId="21E838E9" w14:textId="77777777" w:rsidR="00A50E95" w:rsidRDefault="00A50E95">
      <w:pPr>
        <w:widowControl w:val="0"/>
        <w:spacing w:before="60" w:after="0"/>
        <w:jc w:val="both"/>
        <w:rPr>
          <w:rFonts w:ascii="Times New Roman" w:eastAsia="Calibri" w:hAnsi="Times New Roman" w:cs="Times New Roman"/>
          <w:color w:val="000000" w:themeColor="text1"/>
          <w:sz w:val="24"/>
          <w:szCs w:val="24"/>
          <w:lang w:val="pt-BR"/>
        </w:rPr>
      </w:pPr>
    </w:p>
    <w:p w14:paraId="45D4FB3C" w14:textId="16D072BF" w:rsidR="005F2AC9" w:rsidRDefault="00A50E95">
      <w:pPr>
        <w:widowControl w:val="0"/>
        <w:spacing w:before="60" w:after="0"/>
        <w:jc w:val="both"/>
        <w:rPr>
          <w:rFonts w:ascii="Times New Roman" w:eastAsia="Calibri" w:hAnsi="Times New Roman" w:cs="Times New Roman"/>
          <w:color w:val="000000" w:themeColor="text1"/>
          <w:sz w:val="24"/>
          <w:szCs w:val="24"/>
          <w:lang w:val="pt-BR"/>
        </w:rPr>
      </w:pPr>
      <w:r>
        <w:rPr>
          <w:rFonts w:ascii="Times New Roman" w:eastAsia="Calibri" w:hAnsi="Times New Roman" w:cs="Times New Roman"/>
          <w:color w:val="000000" w:themeColor="text1"/>
          <w:sz w:val="24"/>
          <w:szCs w:val="24"/>
          <w:lang w:val="pt-BR"/>
        </w:rPr>
        <w:t>(x</w:t>
      </w:r>
      <w:r w:rsidR="00B56839">
        <w:rPr>
          <w:rFonts w:ascii="Times New Roman" w:eastAsia="Calibri" w:hAnsi="Times New Roman" w:cs="Times New Roman"/>
          <w:color w:val="000000" w:themeColor="text1"/>
          <w:sz w:val="24"/>
          <w:szCs w:val="24"/>
          <w:lang w:val="pt-BR"/>
        </w:rPr>
        <w:t xml:space="preserve">) </w:t>
      </w:r>
      <w:r w:rsidR="00B56839">
        <w:rPr>
          <w:rFonts w:ascii="Times New Roman" w:eastAsia="Calibri" w:hAnsi="Times New Roman" w:cs="Times New Roman"/>
          <w:b/>
          <w:color w:val="000000" w:themeColor="text1"/>
          <w:sz w:val="24"/>
          <w:szCs w:val="24"/>
          <w:lang w:val="pt-BR"/>
        </w:rPr>
        <w:t>Strategjia për Punësim dhe Formim Profesional 2021-2026</w:t>
      </w:r>
      <w:r w:rsidR="00B56839">
        <w:rPr>
          <w:rStyle w:val="FootnoteReference"/>
          <w:rFonts w:ascii="Times New Roman" w:eastAsia="Calibri" w:hAnsi="Times New Roman" w:cs="Times New Roman"/>
          <w:b/>
          <w:color w:val="000000" w:themeColor="text1"/>
          <w:sz w:val="24"/>
          <w:szCs w:val="24"/>
          <w:lang w:val="pt-BR"/>
        </w:rPr>
        <w:footnoteReference w:id="10"/>
      </w:r>
      <w:r w:rsidR="00B56839">
        <w:rPr>
          <w:rFonts w:ascii="Times New Roman" w:eastAsia="Calibri" w:hAnsi="Times New Roman" w:cs="Times New Roman"/>
          <w:b/>
          <w:color w:val="000000" w:themeColor="text1"/>
          <w:sz w:val="24"/>
          <w:szCs w:val="24"/>
          <w:lang w:val="pt-BR"/>
        </w:rPr>
        <w:t xml:space="preserve">, </w:t>
      </w:r>
      <w:r w:rsidR="00B56839">
        <w:rPr>
          <w:rFonts w:ascii="Times New Roman" w:eastAsia="Calibri" w:hAnsi="Times New Roman" w:cs="Times New Roman"/>
          <w:color w:val="000000" w:themeColor="text1"/>
          <w:sz w:val="24"/>
          <w:szCs w:val="24"/>
          <w:lang w:val="pt-BR"/>
        </w:rPr>
        <w:t xml:space="preserve">ku materializohet rëndësia e zgjerimit të mekanizmit të vlerësimit dhe referimit të rastit në bashkëpunim me njësitë e vlerësimit të nevojave dhe referimit në njësitë administrative në nivel vendor dhe forcimit të bashkërendimit institucional për ofrimin e shërbimeve mbështetëse sociale , shëndetësore e arsimore që do të mundësonin krijimin e kushteve për punësim. Strategjia parashikon që në bashkëpunim me ofrues publikë ,jopublikë dhe privatë të hartohen programe të nxitjes së punësimit dhe aftësimit profesional për grupet e cënueshme , si të rinjtë , personat me aftësi të kufizuara(si pjesë e fondit social të punësimit ), përfituesit në moshë pune nga familjet e mbështetura me ndihmë ekonomike, punëkërkuesit afatgjatë , pakicat etnike, ata me arsim e kualifikim të ulët (si pjesë e ndërmarjeve </w:t>
      </w:r>
      <w:r w:rsidR="00B56839">
        <w:rPr>
          <w:rFonts w:ascii="Times New Roman" w:eastAsia="Calibri" w:hAnsi="Times New Roman" w:cs="Times New Roman"/>
          <w:color w:val="000000" w:themeColor="text1"/>
          <w:sz w:val="24"/>
          <w:szCs w:val="24"/>
          <w:lang w:val="pt-BR"/>
        </w:rPr>
        <w:lastRenderedPageBreak/>
        <w:t>sociale, programeve të punës në komunitet,aktivizimit në punët publike të financuara nga bashkitë);</w:t>
      </w:r>
    </w:p>
    <w:p w14:paraId="6C2FDF3D" w14:textId="23BE1E4A" w:rsidR="00DC3F96" w:rsidRDefault="00A50E95">
      <w:pPr>
        <w:widowControl w:val="0"/>
        <w:spacing w:before="60" w:after="0"/>
        <w:jc w:val="both"/>
        <w:rPr>
          <w:rFonts w:ascii="Times New Roman" w:eastAsia="Calibri" w:hAnsi="Times New Roman" w:cs="Times New Roman"/>
          <w:color w:val="000000" w:themeColor="text1"/>
          <w:sz w:val="24"/>
          <w:szCs w:val="24"/>
          <w:lang w:val="pt-BR"/>
        </w:rPr>
      </w:pPr>
      <w:r>
        <w:rPr>
          <w:rFonts w:ascii="Times New Roman" w:eastAsia="Calibri" w:hAnsi="Times New Roman" w:cs="Times New Roman"/>
          <w:color w:val="000000" w:themeColor="text1"/>
          <w:sz w:val="24"/>
          <w:szCs w:val="24"/>
          <w:lang w:val="pt-BR"/>
        </w:rPr>
        <w:t xml:space="preserve"> </w:t>
      </w:r>
    </w:p>
    <w:p w14:paraId="05BA5613" w14:textId="4539F05B" w:rsidR="005F2AC9" w:rsidRDefault="00A50E95">
      <w:pPr>
        <w:widowControl w:val="0"/>
        <w:spacing w:before="60" w:after="0"/>
        <w:jc w:val="both"/>
        <w:rPr>
          <w:rFonts w:ascii="Times New Roman" w:eastAsia="Calibri" w:hAnsi="Times New Roman" w:cs="Times New Roman"/>
          <w:color w:val="000000" w:themeColor="text1"/>
          <w:sz w:val="24"/>
          <w:szCs w:val="24"/>
          <w:lang w:val="pt-BR"/>
        </w:rPr>
      </w:pPr>
      <w:r>
        <w:rPr>
          <w:rFonts w:ascii="Times New Roman" w:eastAsia="Calibri" w:hAnsi="Times New Roman" w:cs="Times New Roman"/>
          <w:color w:val="000000" w:themeColor="text1"/>
          <w:sz w:val="24"/>
          <w:szCs w:val="24"/>
          <w:lang w:val="pt-BR"/>
        </w:rPr>
        <w:t>(xi</w:t>
      </w:r>
      <w:r w:rsidR="00B56839">
        <w:rPr>
          <w:rFonts w:ascii="Times New Roman" w:eastAsia="Calibri" w:hAnsi="Times New Roman" w:cs="Times New Roman"/>
          <w:color w:val="000000" w:themeColor="text1"/>
          <w:sz w:val="24"/>
          <w:szCs w:val="24"/>
          <w:lang w:val="pt-BR"/>
        </w:rPr>
        <w:t xml:space="preserve">) </w:t>
      </w:r>
      <w:r w:rsidR="00B56839">
        <w:rPr>
          <w:rFonts w:ascii="Times New Roman" w:eastAsia="Calibri" w:hAnsi="Times New Roman" w:cs="Times New Roman"/>
          <w:b/>
          <w:bCs/>
          <w:color w:val="000000" w:themeColor="text1"/>
          <w:sz w:val="24"/>
          <w:szCs w:val="24"/>
          <w:lang w:val="pt-BR"/>
        </w:rPr>
        <w:t>Strategjia Kombëtare të Arsimit 2021-2026</w:t>
      </w:r>
      <w:r w:rsidR="00B56839">
        <w:rPr>
          <w:rStyle w:val="FootnoteReference"/>
          <w:rFonts w:ascii="Times New Roman" w:eastAsia="Calibri" w:hAnsi="Times New Roman" w:cs="Times New Roman"/>
          <w:b/>
          <w:bCs/>
          <w:color w:val="000000" w:themeColor="text1"/>
          <w:sz w:val="24"/>
          <w:szCs w:val="24"/>
          <w:lang w:val="pt-BR"/>
        </w:rPr>
        <w:footnoteReference w:id="11"/>
      </w:r>
      <w:r w:rsidR="00B56839">
        <w:rPr>
          <w:rFonts w:ascii="Times New Roman" w:eastAsia="Calibri" w:hAnsi="Times New Roman" w:cs="Times New Roman"/>
          <w:b/>
          <w:bCs/>
          <w:color w:val="000000" w:themeColor="text1"/>
          <w:sz w:val="24"/>
          <w:szCs w:val="24"/>
          <w:lang w:val="pt-BR"/>
        </w:rPr>
        <w:t xml:space="preserve">, vizioni </w:t>
      </w:r>
      <w:r w:rsidR="00B56839">
        <w:rPr>
          <w:rFonts w:ascii="Times New Roman" w:eastAsia="Calibri" w:hAnsi="Times New Roman" w:cs="Times New Roman"/>
          <w:color w:val="000000" w:themeColor="text1"/>
          <w:sz w:val="24"/>
          <w:szCs w:val="24"/>
          <w:lang w:val="pt-BR"/>
        </w:rPr>
        <w:t xml:space="preserve">për një sistem arsimor cilësor i bazuar në parimet e gjithpërfshirjes dhe të të mësuarit gjatë të gjithë ciklit të jetës, që mundëson zhvillimin e potencialit të individit ,duke kontribuar në mirëqënien personale të tij, si dhe forcimin e demokracisë dhe integrimin e vendit në Bashkimin Evropian. Rritja e bashkëpunimit me strukturat arsimore do të ketë si qëllim shkëmbimin reciprok të informacionit për fëmijët e moshës parashkollore dhe shkollore, për të realizuar vlerësimin e drejtë të aftësive, për kryerjen e veprimtarive bazë të jetës, në përputhje me grup-moshat, si dhe për të siguruar identifikimin dhe plotësimin e nevojave aftësuese të këtyre fëmijëve, në kuadrin e sistemit arsimor gjithëpërfshirës e special; </w:t>
      </w:r>
    </w:p>
    <w:p w14:paraId="259BA1AC" w14:textId="77777777" w:rsidR="00A50E95" w:rsidRDefault="00A50E95">
      <w:pPr>
        <w:widowControl w:val="0"/>
        <w:spacing w:before="60" w:after="0"/>
        <w:jc w:val="both"/>
        <w:rPr>
          <w:rFonts w:ascii="Times New Roman" w:eastAsia="Calibri" w:hAnsi="Times New Roman" w:cs="Times New Roman"/>
          <w:color w:val="000000" w:themeColor="text1"/>
          <w:sz w:val="24"/>
          <w:szCs w:val="24"/>
          <w:lang w:val="pt-BR"/>
        </w:rPr>
      </w:pPr>
    </w:p>
    <w:p w14:paraId="6ADE9270" w14:textId="3A83694A" w:rsidR="00A50E95" w:rsidRDefault="00A50E95">
      <w:pPr>
        <w:widowControl w:val="0"/>
        <w:spacing w:before="60" w:after="0"/>
        <w:jc w:val="both"/>
        <w:rPr>
          <w:rFonts w:ascii="Times New Roman" w:eastAsia="Calibri" w:hAnsi="Times New Roman" w:cs="Times New Roman"/>
          <w:color w:val="000000" w:themeColor="text1"/>
          <w:sz w:val="24"/>
          <w:szCs w:val="24"/>
          <w:lang w:val="sq-AL"/>
        </w:rPr>
      </w:pPr>
      <w:r>
        <w:rPr>
          <w:rFonts w:ascii="Times New Roman" w:eastAsia="Calibri" w:hAnsi="Times New Roman" w:cs="Times New Roman"/>
          <w:color w:val="000000" w:themeColor="text1"/>
          <w:sz w:val="24"/>
          <w:szCs w:val="24"/>
          <w:lang w:val="pt-BR"/>
        </w:rPr>
        <w:t>(xii</w:t>
      </w:r>
      <w:r w:rsidR="00B56839">
        <w:rPr>
          <w:rFonts w:ascii="Times New Roman" w:eastAsia="Calibri" w:hAnsi="Times New Roman" w:cs="Times New Roman"/>
          <w:color w:val="000000" w:themeColor="text1"/>
          <w:sz w:val="24"/>
          <w:szCs w:val="24"/>
          <w:lang w:val="pt-BR"/>
        </w:rPr>
        <w:t xml:space="preserve">) </w:t>
      </w:r>
      <w:r w:rsidR="00B56839">
        <w:rPr>
          <w:rFonts w:ascii="Times New Roman" w:eastAsia="Calibri" w:hAnsi="Times New Roman" w:cs="Times New Roman"/>
          <w:b/>
          <w:bCs/>
          <w:color w:val="000000" w:themeColor="text1"/>
          <w:sz w:val="24"/>
          <w:szCs w:val="24"/>
          <w:lang w:val="pt-BR"/>
        </w:rPr>
        <w:t>Strategjia Ndërsektoriale e Drejtësisë për të Mitur (2022- 2026)</w:t>
      </w:r>
      <w:r w:rsidR="00B56839">
        <w:rPr>
          <w:rStyle w:val="FootnoteReference"/>
          <w:rFonts w:ascii="Times New Roman" w:eastAsia="Calibri" w:hAnsi="Times New Roman" w:cs="Times New Roman"/>
          <w:color w:val="000000" w:themeColor="text1"/>
          <w:sz w:val="24"/>
          <w:szCs w:val="24"/>
          <w:lang w:val="sq-AL"/>
        </w:rPr>
        <w:footnoteReference w:id="12"/>
      </w:r>
      <w:r w:rsidR="00B56839">
        <w:rPr>
          <w:rFonts w:ascii="Times New Roman" w:eastAsia="Calibri" w:hAnsi="Times New Roman" w:cs="Times New Roman"/>
          <w:b/>
          <w:bCs/>
          <w:color w:val="000000" w:themeColor="text1"/>
          <w:sz w:val="24"/>
          <w:szCs w:val="24"/>
          <w:lang w:val="pt-BR"/>
        </w:rPr>
        <w:t xml:space="preserve"> </w:t>
      </w:r>
      <w:r w:rsidR="00B56839">
        <w:rPr>
          <w:rFonts w:ascii="Times New Roman" w:eastAsia="Calibri" w:hAnsi="Times New Roman" w:cs="Times New Roman"/>
          <w:color w:val="000000" w:themeColor="text1"/>
          <w:sz w:val="24"/>
          <w:szCs w:val="24"/>
          <w:lang w:val="sq-AL"/>
        </w:rPr>
        <w:t xml:space="preserve">synon të forcojë dhe të konsolidojë arritjet në fushën e drejtësisë penale për të mitur, aksesin në drejtësinë penale për të miturit, me qëllim për t’i mbajtur ata larg nga ripërfshirja në kriminalitet dhe viktimizimin e tyre, që çdo fëmijë të ketë në çdo kohë akses tek një sistem miqësor për të rivendosur të drejtat e tij/e saj të cenuara në fushën familjare, civile, administrative dhe penale. SDM 2022-2026” adreson përparësitë e Qeverisë Shqiptare të mishëruara edhe në </w:t>
      </w:r>
      <w:r w:rsidR="00B56839">
        <w:rPr>
          <w:rFonts w:ascii="Times New Roman" w:eastAsia="Calibri" w:hAnsi="Times New Roman" w:cs="Times New Roman"/>
          <w:i/>
          <w:iCs/>
          <w:color w:val="000000" w:themeColor="text1"/>
          <w:sz w:val="24"/>
          <w:szCs w:val="24"/>
          <w:lang w:val="sq-AL"/>
        </w:rPr>
        <w:t>“Agjendën Kombëtare për të Drejtat e Fëmijëve 2021-2026”</w:t>
      </w:r>
      <w:r w:rsidR="00B56839">
        <w:rPr>
          <w:rFonts w:ascii="Times New Roman" w:eastAsia="Calibri" w:hAnsi="Times New Roman" w:cs="Times New Roman"/>
          <w:color w:val="000000" w:themeColor="text1"/>
          <w:sz w:val="24"/>
          <w:szCs w:val="24"/>
          <w:lang w:val="sq-AL"/>
        </w:rPr>
        <w:t>. Një sërë masash në këtë strategji lidhen me funksionet e pushtetit vendor në ofrimin e shërbimeve parandaluese dhe riintegruese për grupet në nevojë ku një ndër këto grupe janë të rinjtë në kontakt me ligjin;</w:t>
      </w:r>
    </w:p>
    <w:p w14:paraId="4C725449" w14:textId="77777777" w:rsidR="00A50E95" w:rsidRDefault="00A50E95">
      <w:pPr>
        <w:widowControl w:val="0"/>
        <w:spacing w:before="60" w:after="0"/>
        <w:jc w:val="both"/>
        <w:rPr>
          <w:rFonts w:ascii="Times New Roman" w:eastAsia="Calibri" w:hAnsi="Times New Roman" w:cs="Times New Roman"/>
          <w:color w:val="000000" w:themeColor="text1"/>
          <w:sz w:val="24"/>
          <w:szCs w:val="24"/>
          <w:lang w:val="sq-AL"/>
        </w:rPr>
      </w:pPr>
    </w:p>
    <w:p w14:paraId="66B09392" w14:textId="1457D309" w:rsidR="005F2AC9" w:rsidRPr="00A50E95" w:rsidRDefault="00A50E95">
      <w:pPr>
        <w:widowControl w:val="0"/>
        <w:spacing w:before="60" w:after="0"/>
        <w:jc w:val="both"/>
        <w:rPr>
          <w:rFonts w:ascii="Times New Roman" w:eastAsia="Calibri" w:hAnsi="Times New Roman" w:cs="Times New Roman"/>
          <w:color w:val="000000" w:themeColor="text1"/>
          <w:sz w:val="24"/>
          <w:szCs w:val="24"/>
          <w:lang w:val="sq-AL"/>
        </w:rPr>
      </w:pPr>
      <w:r>
        <w:rPr>
          <w:rFonts w:ascii="Times New Roman" w:eastAsia="Calibri" w:hAnsi="Times New Roman" w:cs="Times New Roman"/>
          <w:color w:val="000000" w:themeColor="text1"/>
          <w:sz w:val="24"/>
          <w:szCs w:val="24"/>
          <w:lang w:val="sq-AL"/>
        </w:rPr>
        <w:t>(xiii</w:t>
      </w:r>
      <w:r w:rsidR="00B56839">
        <w:rPr>
          <w:rFonts w:ascii="Times New Roman" w:eastAsia="Calibri" w:hAnsi="Times New Roman" w:cs="Times New Roman"/>
          <w:color w:val="000000" w:themeColor="text1"/>
          <w:sz w:val="24"/>
          <w:szCs w:val="24"/>
          <w:lang w:val="sq-AL"/>
        </w:rPr>
        <w:t xml:space="preserve">) </w:t>
      </w:r>
      <w:r w:rsidR="00B56839">
        <w:rPr>
          <w:rFonts w:ascii="Times New Roman" w:eastAsia="Calibri" w:hAnsi="Times New Roman" w:cs="Times New Roman"/>
          <w:b/>
          <w:bCs/>
          <w:color w:val="000000" w:themeColor="text1"/>
          <w:sz w:val="24"/>
          <w:szCs w:val="24"/>
          <w:lang w:val="pt-BR"/>
        </w:rPr>
        <w:t>Plani Kombëtar i Veprimit për Luftën kundër trafikimit të personave (2024-2025)</w:t>
      </w:r>
      <w:r w:rsidR="00B56839">
        <w:rPr>
          <w:rFonts w:ascii="Times New Roman" w:eastAsia="Calibri" w:hAnsi="Times New Roman" w:cs="Times New Roman"/>
          <w:color w:val="000000" w:themeColor="text1"/>
          <w:sz w:val="24"/>
          <w:szCs w:val="24"/>
          <w:lang w:val="sq-AL"/>
        </w:rPr>
        <w:t xml:space="preserve">. </w:t>
      </w:r>
      <w:r w:rsidR="00B56839">
        <w:rPr>
          <w:rFonts w:ascii="Times New Roman" w:eastAsia="Times New Roman" w:hAnsi="Times New Roman" w:cs="Times New Roman"/>
          <w:color w:val="000000" w:themeColor="text1"/>
          <w:sz w:val="24"/>
          <w:szCs w:val="24"/>
          <w:lang w:val="sq-AL" w:eastAsia="en-CA" w:bidi="sq-AL"/>
        </w:rPr>
        <w:t xml:space="preserve">Misioni i PKV është promovimi i një reagimi efektiv, adekuat dhe të bashkërenduar për parandalimin dhe luftën kundër trafikimit të personave të bazuar në bashkëpunimin ndërkombëtar, bashkëpunimin efektiv ndër-institucional brenda vendit, pjesëmarrjen e viktimave/viktimave të mundshme të trafikimit dhe përfshirjen së shoqërisë civile dhe komunitetit. Objektivi specifik 2 parashikon parandalimin, trajnimin e punonjësve të sistemit të mbrojtjes sociale, mbështetja e shërbimeve sociale si dhe bashkëpunimin ndërinstitucional; </w:t>
      </w:r>
    </w:p>
    <w:p w14:paraId="2D31DD1C" w14:textId="77777777" w:rsidR="00A50E95" w:rsidRDefault="00A50E95">
      <w:pPr>
        <w:widowControl w:val="0"/>
        <w:spacing w:before="60" w:after="0"/>
        <w:jc w:val="both"/>
        <w:rPr>
          <w:rFonts w:ascii="Times New Roman" w:eastAsia="Times New Roman" w:hAnsi="Times New Roman" w:cs="Times New Roman"/>
          <w:color w:val="000000" w:themeColor="text1"/>
          <w:sz w:val="24"/>
          <w:szCs w:val="24"/>
          <w:lang w:val="sq-AL" w:eastAsia="en-CA" w:bidi="sq-AL"/>
        </w:rPr>
      </w:pPr>
    </w:p>
    <w:p w14:paraId="66E0F55E" w14:textId="1F11EA08" w:rsidR="00A50E95" w:rsidRDefault="00A50E95">
      <w:pPr>
        <w:widowControl w:val="0"/>
        <w:spacing w:before="60" w:after="0"/>
        <w:jc w:val="both"/>
        <w:rPr>
          <w:rFonts w:ascii="Times New Roman" w:eastAsia="Yu Mincho" w:hAnsi="Times New Roman" w:cs="Times New Roman"/>
          <w:color w:val="000000" w:themeColor="text1"/>
          <w:sz w:val="24"/>
          <w:szCs w:val="24"/>
          <w:lang w:val="sq-AL"/>
        </w:rPr>
      </w:pPr>
      <w:r>
        <w:rPr>
          <w:rFonts w:ascii="Times New Roman" w:eastAsia="Times New Roman" w:hAnsi="Times New Roman" w:cs="Times New Roman"/>
          <w:color w:val="000000" w:themeColor="text1"/>
          <w:sz w:val="24"/>
          <w:szCs w:val="24"/>
          <w:lang w:val="sq-AL" w:eastAsia="en-CA" w:bidi="sq-AL"/>
        </w:rPr>
        <w:t>(xiv</w:t>
      </w:r>
      <w:r w:rsidR="00B56839">
        <w:rPr>
          <w:rFonts w:ascii="Times New Roman" w:eastAsia="Times New Roman" w:hAnsi="Times New Roman" w:cs="Times New Roman"/>
          <w:color w:val="000000" w:themeColor="text1"/>
          <w:sz w:val="24"/>
          <w:szCs w:val="24"/>
          <w:lang w:val="sq-AL" w:eastAsia="en-CA" w:bidi="sq-AL"/>
        </w:rPr>
        <w:t xml:space="preserve">) </w:t>
      </w:r>
      <w:r w:rsidR="00B56839">
        <w:rPr>
          <w:rFonts w:ascii="Times New Roman" w:eastAsia="Yu Mincho" w:hAnsi="Times New Roman" w:cs="Times New Roman"/>
          <w:b/>
          <w:bCs/>
          <w:color w:val="000000" w:themeColor="text1"/>
          <w:sz w:val="24"/>
          <w:szCs w:val="24"/>
          <w:lang w:val="sq-AL"/>
        </w:rPr>
        <w:t xml:space="preserve">Agjenda Kombëtare për të Drejtat e Fëmijëve (2021- 2026) </w:t>
      </w:r>
      <w:r w:rsidR="00B56839">
        <w:rPr>
          <w:rFonts w:ascii="Times New Roman" w:eastAsia="Yu Mincho" w:hAnsi="Times New Roman" w:cs="Times New Roman"/>
          <w:color w:val="000000" w:themeColor="text1"/>
          <w:sz w:val="24"/>
          <w:szCs w:val="24"/>
          <w:lang w:val="sq-AL"/>
        </w:rPr>
        <w:t>e cila</w:t>
      </w:r>
      <w:r w:rsidR="00B56839">
        <w:rPr>
          <w:rFonts w:ascii="Times New Roman" w:eastAsia="Yu Mincho" w:hAnsi="Times New Roman" w:cs="Times New Roman"/>
          <w:b/>
          <w:bCs/>
          <w:color w:val="000000" w:themeColor="text1"/>
          <w:sz w:val="24"/>
          <w:szCs w:val="24"/>
          <w:lang w:val="sq-AL"/>
        </w:rPr>
        <w:t xml:space="preserve"> </w:t>
      </w:r>
      <w:r w:rsidR="00B56839">
        <w:rPr>
          <w:rFonts w:ascii="Times New Roman" w:eastAsia="Yu Mincho" w:hAnsi="Times New Roman" w:cs="Times New Roman"/>
          <w:color w:val="000000" w:themeColor="text1"/>
          <w:sz w:val="24"/>
          <w:szCs w:val="24"/>
          <w:lang w:val="sq-AL"/>
        </w:rPr>
        <w:t>ka një pikëprerje të rëndësishme me strategjinë e mbrojtjes sociale të fokusuar në krijimin e një sistemi të mbrojtjes sociale me qendër fëmijët dhe tra</w:t>
      </w:r>
      <w:r w:rsidR="00DC3F96">
        <w:rPr>
          <w:rFonts w:ascii="Times New Roman" w:eastAsia="Yu Mincho" w:hAnsi="Times New Roman" w:cs="Times New Roman"/>
          <w:color w:val="000000" w:themeColor="text1"/>
          <w:sz w:val="24"/>
          <w:szCs w:val="24"/>
          <w:lang w:val="sq-AL"/>
        </w:rPr>
        <w:t xml:space="preserve">jtimin përgjatë ciklit të jetës me </w:t>
      </w:r>
      <w:r w:rsidR="00B56839">
        <w:rPr>
          <w:rFonts w:ascii="Times New Roman" w:eastAsia="Yu Mincho" w:hAnsi="Times New Roman" w:cs="Times New Roman"/>
          <w:color w:val="000000" w:themeColor="text1"/>
          <w:sz w:val="24"/>
          <w:szCs w:val="24"/>
          <w:lang w:val="sq-AL"/>
        </w:rPr>
        <w:t xml:space="preserve">fokusin tek proçesi i deinstitucionalizmit të sistemit të kujdesit rezidencial për fëmijët; </w:t>
      </w:r>
    </w:p>
    <w:p w14:paraId="3740C531" w14:textId="77777777" w:rsidR="00B45658" w:rsidRDefault="00B45658">
      <w:pPr>
        <w:widowControl w:val="0"/>
        <w:spacing w:before="60" w:after="0"/>
        <w:jc w:val="both"/>
        <w:rPr>
          <w:rFonts w:ascii="Times New Roman" w:eastAsia="Yu Mincho" w:hAnsi="Times New Roman" w:cs="Times New Roman"/>
          <w:color w:val="000000" w:themeColor="text1"/>
          <w:sz w:val="24"/>
          <w:szCs w:val="24"/>
          <w:lang w:val="sq-AL"/>
        </w:rPr>
      </w:pPr>
    </w:p>
    <w:p w14:paraId="6EA6BD4A" w14:textId="5A0747B3" w:rsidR="005F2AC9" w:rsidRDefault="00A50E95">
      <w:pPr>
        <w:widowControl w:val="0"/>
        <w:spacing w:before="60" w:after="0"/>
        <w:jc w:val="both"/>
        <w:rPr>
          <w:rFonts w:ascii="Times New Roman" w:eastAsia="Yu Mincho" w:hAnsi="Times New Roman" w:cs="Times New Roman"/>
          <w:color w:val="000000" w:themeColor="text1"/>
          <w:sz w:val="24"/>
          <w:szCs w:val="24"/>
          <w:lang w:val="sq-AL"/>
        </w:rPr>
      </w:pPr>
      <w:r>
        <w:rPr>
          <w:rFonts w:ascii="Times New Roman" w:eastAsia="Yu Mincho" w:hAnsi="Times New Roman" w:cs="Times New Roman"/>
          <w:color w:val="000000" w:themeColor="text1"/>
          <w:sz w:val="24"/>
          <w:szCs w:val="24"/>
          <w:lang w:val="sq-AL"/>
        </w:rPr>
        <w:t>(xv</w:t>
      </w:r>
      <w:r w:rsidR="00B56839">
        <w:rPr>
          <w:rFonts w:ascii="Times New Roman" w:eastAsia="Yu Mincho" w:hAnsi="Times New Roman" w:cs="Times New Roman"/>
          <w:color w:val="000000" w:themeColor="text1"/>
          <w:sz w:val="24"/>
          <w:szCs w:val="24"/>
          <w:lang w:val="sq-AL"/>
        </w:rPr>
        <w:t xml:space="preserve">) </w:t>
      </w:r>
      <w:r w:rsidR="00B56839">
        <w:rPr>
          <w:rFonts w:ascii="Times New Roman" w:eastAsia="Yu Mincho" w:hAnsi="Times New Roman" w:cs="Times New Roman"/>
          <w:b/>
          <w:bCs/>
          <w:color w:val="000000" w:themeColor="text1"/>
          <w:sz w:val="24"/>
          <w:szCs w:val="24"/>
          <w:lang w:val="sq-AL"/>
        </w:rPr>
        <w:t xml:space="preserve">Strategjia Kombëtare për Zvogëlimin e Riskut nga Fatkeqësitë 2023-2030, </w:t>
      </w:r>
      <w:r w:rsidR="00B56839">
        <w:rPr>
          <w:rFonts w:ascii="Times New Roman" w:eastAsia="Yu Mincho" w:hAnsi="Times New Roman" w:cs="Times New Roman"/>
          <w:color w:val="000000" w:themeColor="text1"/>
          <w:sz w:val="24"/>
          <w:szCs w:val="24"/>
          <w:lang w:val="sq-AL"/>
        </w:rPr>
        <w:t xml:space="preserve">e cila </w:t>
      </w:r>
      <w:r w:rsidR="00B56839">
        <w:rPr>
          <w:rFonts w:ascii="Times New Roman" w:eastAsia="Yu Mincho" w:hAnsi="Times New Roman" w:cs="Times New Roman"/>
          <w:color w:val="000000" w:themeColor="text1"/>
          <w:sz w:val="24"/>
          <w:szCs w:val="24"/>
          <w:lang w:val="sq-AL"/>
        </w:rPr>
        <w:lastRenderedPageBreak/>
        <w:t xml:space="preserve">përcakton objektivat dhe veprimet e formalizuara për zvogëlimin e riskut nga fatkeqësitë </w:t>
      </w:r>
      <w:r w:rsidR="00DC3F96">
        <w:rPr>
          <w:rFonts w:ascii="Times New Roman" w:eastAsia="Yu Mincho" w:hAnsi="Times New Roman" w:cs="Times New Roman"/>
          <w:color w:val="000000" w:themeColor="text1"/>
          <w:sz w:val="24"/>
          <w:szCs w:val="24"/>
          <w:lang w:val="sq-AL"/>
        </w:rPr>
        <w:t xml:space="preserve">duke adresuar nevojat </w:t>
      </w:r>
      <w:r w:rsidR="00B56839">
        <w:rPr>
          <w:rFonts w:ascii="Times New Roman" w:eastAsia="Yu Mincho" w:hAnsi="Times New Roman" w:cs="Times New Roman"/>
          <w:color w:val="000000" w:themeColor="text1"/>
          <w:sz w:val="24"/>
          <w:szCs w:val="24"/>
          <w:lang w:val="sq-AL"/>
        </w:rPr>
        <w:t xml:space="preserve"> grupeve vulnerabël. </w:t>
      </w:r>
    </w:p>
    <w:p w14:paraId="0DB8A484" w14:textId="77777777" w:rsidR="005F2AC9" w:rsidRDefault="005F2AC9">
      <w:pPr>
        <w:widowControl w:val="0"/>
        <w:spacing w:before="60" w:after="0"/>
        <w:jc w:val="both"/>
        <w:rPr>
          <w:rFonts w:ascii="Times New Roman" w:eastAsia="Calibri" w:hAnsi="Times New Roman" w:cs="Times New Roman"/>
          <w:color w:val="000000" w:themeColor="text1"/>
          <w:sz w:val="24"/>
          <w:szCs w:val="24"/>
          <w:lang w:val="pt-BR"/>
        </w:rPr>
      </w:pPr>
    </w:p>
    <w:p w14:paraId="7F8C0D54" w14:textId="77777777" w:rsidR="005F2AC9" w:rsidRDefault="00B56839">
      <w:pPr>
        <w:spacing w:after="0"/>
        <w:jc w:val="both"/>
        <w:rPr>
          <w:rFonts w:ascii="Times New Roman" w:hAnsi="Times New Roman"/>
          <w:b/>
          <w:bCs/>
          <w:color w:val="000000" w:themeColor="text1"/>
          <w:sz w:val="24"/>
          <w:szCs w:val="24"/>
          <w:lang w:val="pt-BR"/>
        </w:rPr>
      </w:pPr>
      <w:r>
        <w:rPr>
          <w:rFonts w:ascii="Times New Roman" w:hAnsi="Times New Roman"/>
          <w:b/>
          <w:bCs/>
          <w:color w:val="000000" w:themeColor="text1"/>
          <w:sz w:val="24"/>
          <w:szCs w:val="24"/>
          <w:lang w:val="pt-BR"/>
        </w:rPr>
        <w:t xml:space="preserve">KUADRI LIGJOR DHE INSTITUCIONAL  </w:t>
      </w:r>
    </w:p>
    <w:p w14:paraId="3AE84441" w14:textId="049E97F8" w:rsidR="005F2AC9" w:rsidRDefault="00B56839">
      <w:pPr>
        <w:spacing w:after="0"/>
        <w:jc w:val="both"/>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Kuadri ligjor mbi bazën e të cilin është hartuar dhe është zbatuar Strategjia</w:t>
      </w:r>
      <w:r w:rsidR="00BA4B59">
        <w:rPr>
          <w:rFonts w:ascii="Times New Roman" w:hAnsi="Times New Roman"/>
          <w:color w:val="000000" w:themeColor="text1"/>
          <w:sz w:val="24"/>
          <w:szCs w:val="24"/>
          <w:lang w:val="pt-BR"/>
        </w:rPr>
        <w:t xml:space="preserve"> Kombëtare</w:t>
      </w:r>
      <w:r>
        <w:rPr>
          <w:rFonts w:ascii="Times New Roman" w:hAnsi="Times New Roman"/>
          <w:color w:val="000000" w:themeColor="text1"/>
          <w:sz w:val="24"/>
          <w:szCs w:val="24"/>
          <w:lang w:val="pt-BR"/>
        </w:rPr>
        <w:t xml:space="preserve"> e Mbrojtjes Sociale 2024-2030 : </w:t>
      </w:r>
    </w:p>
    <w:p w14:paraId="7B8F4B73" w14:textId="77777777" w:rsidR="005F2AC9" w:rsidRDefault="00B56839">
      <w:pPr>
        <w:pStyle w:val="AAAAATEXT"/>
        <w:numPr>
          <w:ilvl w:val="0"/>
          <w:numId w:val="5"/>
        </w:numPr>
        <w:spacing w:line="276" w:lineRule="auto"/>
        <w:jc w:val="both"/>
        <w:rPr>
          <w:rFonts w:ascii="Times New Roman" w:hAnsi="Times New Roman"/>
          <w:color w:val="000000" w:themeColor="text1"/>
          <w:lang w:val="pt-BR"/>
        </w:rPr>
      </w:pPr>
      <w:r>
        <w:rPr>
          <w:rFonts w:ascii="Times New Roman" w:hAnsi="Times New Roman"/>
          <w:color w:val="000000" w:themeColor="text1"/>
          <w:lang w:val="pt-BR"/>
        </w:rPr>
        <w:t xml:space="preserve">Ligji nr. 8417, datë 22.11.1998 </w:t>
      </w:r>
      <w:r>
        <w:rPr>
          <w:rFonts w:ascii="Times New Roman" w:hAnsi="Times New Roman"/>
          <w:i/>
          <w:color w:val="000000" w:themeColor="text1"/>
          <w:lang w:val="pt-BR"/>
        </w:rPr>
        <w:t>“Kushtetuta e Republikës së Shqipërisë”</w:t>
      </w:r>
      <w:r>
        <w:rPr>
          <w:rFonts w:ascii="Times New Roman" w:hAnsi="Times New Roman"/>
          <w:color w:val="000000" w:themeColor="text1"/>
          <w:lang w:val="pt-BR"/>
        </w:rPr>
        <w:t xml:space="preserve">, e ndryshuar; (në veçanti Nenet 49, 51, 52, 55) </w:t>
      </w:r>
    </w:p>
    <w:p w14:paraId="434E72D0" w14:textId="77777777" w:rsidR="005F2AC9" w:rsidRDefault="00B56839">
      <w:pPr>
        <w:pStyle w:val="AAAAATEXT"/>
        <w:numPr>
          <w:ilvl w:val="0"/>
          <w:numId w:val="5"/>
        </w:numPr>
        <w:spacing w:line="276" w:lineRule="auto"/>
        <w:jc w:val="both"/>
        <w:rPr>
          <w:rFonts w:ascii="Times New Roman" w:hAnsi="Times New Roman"/>
          <w:color w:val="000000" w:themeColor="text1"/>
          <w:lang w:val="pt-BR"/>
        </w:rPr>
      </w:pPr>
      <w:r>
        <w:rPr>
          <w:rFonts w:ascii="Times New Roman" w:hAnsi="Times New Roman"/>
          <w:color w:val="000000" w:themeColor="text1"/>
          <w:spacing w:val="-2"/>
          <w:lang w:val="pt-BR"/>
        </w:rPr>
        <w:t xml:space="preserve">Ligji nr. 7531, datë 11.12.1991 </w:t>
      </w:r>
      <w:r>
        <w:rPr>
          <w:rFonts w:ascii="Times New Roman" w:hAnsi="Times New Roman"/>
          <w:i/>
          <w:color w:val="000000" w:themeColor="text1"/>
          <w:spacing w:val="-2"/>
          <w:lang w:val="pt-BR"/>
        </w:rPr>
        <w:t>“Për ratifikimin e Konventës për të Drejtat e Fëmijës (OKB)”</w:t>
      </w:r>
      <w:r>
        <w:rPr>
          <w:rFonts w:ascii="Times New Roman" w:hAnsi="Times New Roman"/>
          <w:color w:val="000000" w:themeColor="text1"/>
          <w:spacing w:val="-2"/>
          <w:lang w:val="pt-BR"/>
        </w:rPr>
        <w:t>;</w:t>
      </w:r>
    </w:p>
    <w:p w14:paraId="33976F1A" w14:textId="47D05766" w:rsidR="005F2AC9" w:rsidRDefault="00B56839">
      <w:pPr>
        <w:pStyle w:val="AAAAATEXT"/>
        <w:numPr>
          <w:ilvl w:val="0"/>
          <w:numId w:val="5"/>
        </w:numPr>
        <w:spacing w:line="276" w:lineRule="auto"/>
        <w:jc w:val="both"/>
        <w:rPr>
          <w:rFonts w:ascii="Times New Roman" w:hAnsi="Times New Roman"/>
          <w:color w:val="000000" w:themeColor="text1"/>
          <w:lang w:val="pt-BR"/>
        </w:rPr>
      </w:pPr>
      <w:r>
        <w:rPr>
          <w:rFonts w:ascii="Times New Roman" w:hAnsi="Times New Roman"/>
          <w:color w:val="000000" w:themeColor="text1"/>
          <w:lang w:val="pt-BR"/>
        </w:rPr>
        <w:t xml:space="preserve">Ligji nr.7767, datë 9.11.1993 </w:t>
      </w:r>
      <w:r>
        <w:rPr>
          <w:rFonts w:ascii="Times New Roman" w:hAnsi="Times New Roman"/>
          <w:i/>
          <w:color w:val="000000" w:themeColor="text1"/>
          <w:lang w:val="pt-BR"/>
        </w:rPr>
        <w:t>“Për aderimin në Konventën “Për eleminimin e të gjitha  formave të diskriminimit ndaj grave”</w:t>
      </w:r>
    </w:p>
    <w:p w14:paraId="538E149B" w14:textId="4C613237" w:rsidR="005F2AC9" w:rsidRDefault="00B56839">
      <w:pPr>
        <w:pStyle w:val="AAAAATEXT"/>
        <w:numPr>
          <w:ilvl w:val="0"/>
          <w:numId w:val="5"/>
        </w:numPr>
        <w:spacing w:line="276" w:lineRule="auto"/>
        <w:jc w:val="both"/>
        <w:rPr>
          <w:rFonts w:ascii="Times New Roman" w:hAnsi="Times New Roman"/>
          <w:i/>
          <w:iCs/>
          <w:color w:val="000000" w:themeColor="text1"/>
          <w:lang w:val="pt-BR"/>
        </w:rPr>
      </w:pPr>
      <w:r>
        <w:rPr>
          <w:rFonts w:ascii="Times New Roman" w:hAnsi="Times New Roman"/>
          <w:color w:val="000000" w:themeColor="text1"/>
          <w:lang w:val="pt-BR"/>
        </w:rPr>
        <w:t>Ligji nr. 104/2012 ,datë 8.11.2012 “Për ratifikimin e Konventës së Këshillit të Europës “</w:t>
      </w:r>
      <w:r>
        <w:rPr>
          <w:rFonts w:ascii="Times New Roman" w:hAnsi="Times New Roman"/>
          <w:i/>
          <w:iCs/>
          <w:color w:val="000000" w:themeColor="text1"/>
          <w:lang w:val="pt-BR"/>
        </w:rPr>
        <w:t>Për parandalimin dhe luftën kundër dhunës ndaj grave dhe dhunës në familje”</w:t>
      </w:r>
    </w:p>
    <w:p w14:paraId="0CB96830" w14:textId="5A6E167A" w:rsidR="005F2AC9" w:rsidRDefault="00B56839">
      <w:pPr>
        <w:pStyle w:val="AAAAATEXT"/>
        <w:numPr>
          <w:ilvl w:val="0"/>
          <w:numId w:val="5"/>
        </w:numPr>
        <w:spacing w:line="276" w:lineRule="auto"/>
        <w:jc w:val="both"/>
        <w:rPr>
          <w:rFonts w:ascii="Times New Roman" w:hAnsi="Times New Roman"/>
          <w:i/>
          <w:iCs/>
          <w:color w:val="000000" w:themeColor="text1"/>
          <w:lang w:val="pt-BR"/>
        </w:rPr>
      </w:pPr>
      <w:r>
        <w:rPr>
          <w:rFonts w:ascii="Times New Roman" w:hAnsi="Times New Roman"/>
          <w:color w:val="000000" w:themeColor="text1"/>
          <w:lang w:val="pt-BR"/>
        </w:rPr>
        <w:t>Ligji nr. 108, datë 2012 “Për ratifikimin e Konventës së OKB -së “</w:t>
      </w:r>
      <w:r>
        <w:rPr>
          <w:rFonts w:ascii="Times New Roman" w:hAnsi="Times New Roman"/>
          <w:i/>
          <w:iCs/>
          <w:color w:val="000000" w:themeColor="text1"/>
          <w:lang w:val="pt-BR"/>
        </w:rPr>
        <w:t>Për të drejtat e personave me aftësi të kufizuara”</w:t>
      </w:r>
    </w:p>
    <w:p w14:paraId="3FDE9FCD" w14:textId="510225B9" w:rsidR="005F2AC9" w:rsidRDefault="00B56839">
      <w:pPr>
        <w:pStyle w:val="AAAAATEXT"/>
        <w:numPr>
          <w:ilvl w:val="0"/>
          <w:numId w:val="5"/>
        </w:numPr>
        <w:spacing w:line="276" w:lineRule="auto"/>
        <w:jc w:val="both"/>
        <w:rPr>
          <w:rFonts w:ascii="Times New Roman" w:hAnsi="Times New Roman"/>
          <w:color w:val="000000" w:themeColor="text1"/>
          <w:lang w:val="pt-BR"/>
        </w:rPr>
      </w:pPr>
      <w:r>
        <w:rPr>
          <w:rFonts w:ascii="Times New Roman" w:hAnsi="Times New Roman"/>
          <w:color w:val="000000" w:themeColor="text1"/>
          <w:spacing w:val="-2"/>
          <w:lang w:val="pt-BR"/>
        </w:rPr>
        <w:t>L</w:t>
      </w:r>
      <w:r>
        <w:rPr>
          <w:rFonts w:ascii="Times New Roman" w:hAnsi="Times New Roman"/>
          <w:color w:val="000000" w:themeColor="text1"/>
          <w:lang w:val="pt-BR"/>
        </w:rPr>
        <w:t>igji nr. 8137, datë 31.07.1996 “</w:t>
      </w:r>
      <w:r>
        <w:rPr>
          <w:rFonts w:ascii="Times New Roman" w:hAnsi="Times New Roman"/>
          <w:i/>
          <w:iCs/>
          <w:color w:val="000000" w:themeColor="text1"/>
          <w:spacing w:val="-2"/>
          <w:lang w:val="pt-BR"/>
        </w:rPr>
        <w:t xml:space="preserve">Për ratifikimin e Konventës </w:t>
      </w:r>
      <w:r>
        <w:rPr>
          <w:rFonts w:ascii="Times New Roman" w:hAnsi="Times New Roman"/>
          <w:i/>
          <w:iCs/>
          <w:color w:val="000000" w:themeColor="text1"/>
          <w:lang w:val="pt-BR"/>
        </w:rPr>
        <w:t>Evropiane të të Drejtave të Njeriut”</w:t>
      </w:r>
      <w:r>
        <w:rPr>
          <w:rFonts w:ascii="Times New Roman" w:hAnsi="Times New Roman"/>
          <w:color w:val="000000" w:themeColor="text1"/>
          <w:lang w:val="pt-BR"/>
        </w:rPr>
        <w:t xml:space="preserve"> dhe Protokolli nr. 7 i KEDNj</w:t>
      </w:r>
    </w:p>
    <w:p w14:paraId="5AA5554F" w14:textId="7DE4E3C0" w:rsidR="005F2AC9" w:rsidRDefault="00B56839">
      <w:pPr>
        <w:pStyle w:val="AAAAATEXT"/>
        <w:numPr>
          <w:ilvl w:val="0"/>
          <w:numId w:val="5"/>
        </w:numPr>
        <w:spacing w:line="276" w:lineRule="auto"/>
        <w:jc w:val="both"/>
        <w:rPr>
          <w:rFonts w:ascii="Times New Roman" w:hAnsi="Times New Roman"/>
          <w:color w:val="000000" w:themeColor="text1"/>
          <w:lang w:val="fr-FR"/>
        </w:rPr>
      </w:pPr>
      <w:r>
        <w:rPr>
          <w:rFonts w:ascii="Times New Roman" w:hAnsi="Times New Roman"/>
          <w:color w:val="000000" w:themeColor="text1"/>
          <w:lang w:val="fr-FR"/>
        </w:rPr>
        <w:t xml:space="preserve">Deklarata Universale për të Drejtat e Njeriut  </w:t>
      </w:r>
    </w:p>
    <w:p w14:paraId="13C6AFBD" w14:textId="6EE26260" w:rsidR="005F2AC9" w:rsidRDefault="00B56839">
      <w:pPr>
        <w:pStyle w:val="AAAAATEXT"/>
        <w:numPr>
          <w:ilvl w:val="0"/>
          <w:numId w:val="5"/>
        </w:numPr>
        <w:spacing w:line="276" w:lineRule="auto"/>
        <w:jc w:val="both"/>
        <w:rPr>
          <w:rFonts w:ascii="Times New Roman" w:hAnsi="Times New Roman"/>
          <w:color w:val="000000" w:themeColor="text1"/>
        </w:rPr>
      </w:pPr>
      <w:r>
        <w:rPr>
          <w:rFonts w:ascii="Times New Roman" w:hAnsi="Times New Roman"/>
          <w:color w:val="000000" w:themeColor="text1"/>
        </w:rPr>
        <w:t xml:space="preserve">Ligji nr. 8774, datë 23.4.2001 </w:t>
      </w:r>
      <w:r>
        <w:rPr>
          <w:rFonts w:ascii="Times New Roman" w:hAnsi="Times New Roman"/>
          <w:i/>
          <w:iCs/>
          <w:color w:val="000000" w:themeColor="text1"/>
        </w:rPr>
        <w:t>“Për ratifikimin e Konventës nr.182 “Format më të këqija të punës së fëmijëve, 1999” të Organizatës Ndërkombëtare të Punës’’</w:t>
      </w:r>
    </w:p>
    <w:p w14:paraId="485098B0" w14:textId="5D00484C" w:rsidR="005F2AC9" w:rsidRDefault="00B56839">
      <w:pPr>
        <w:pStyle w:val="AAAAATEXT"/>
        <w:numPr>
          <w:ilvl w:val="0"/>
          <w:numId w:val="5"/>
        </w:numPr>
        <w:spacing w:line="276" w:lineRule="auto"/>
        <w:jc w:val="both"/>
        <w:rPr>
          <w:rFonts w:ascii="Times New Roman" w:hAnsi="Times New Roman"/>
          <w:color w:val="000000" w:themeColor="text1"/>
          <w:lang w:val="fr-FR"/>
        </w:rPr>
      </w:pPr>
      <w:r>
        <w:rPr>
          <w:rFonts w:ascii="Times New Roman" w:hAnsi="Times New Roman"/>
          <w:color w:val="000000" w:themeColor="text1"/>
          <w:lang w:val="fr-FR"/>
        </w:rPr>
        <w:t xml:space="preserve">Ligj nr. 9359, datë 24.3.2005 </w:t>
      </w:r>
      <w:r>
        <w:rPr>
          <w:rFonts w:ascii="Times New Roman" w:hAnsi="Times New Roman"/>
          <w:i/>
          <w:color w:val="000000" w:themeColor="text1"/>
          <w:lang w:val="fr-FR"/>
        </w:rPr>
        <w:t>“Për ratifikimin e Konventës Evropiane “Për marrëdhëniet me fëmijët” </w:t>
      </w:r>
    </w:p>
    <w:p w14:paraId="56FE6629" w14:textId="0DC024B4" w:rsidR="005F2AC9" w:rsidRDefault="00B56839">
      <w:pPr>
        <w:pStyle w:val="AAAAATEXT"/>
        <w:numPr>
          <w:ilvl w:val="0"/>
          <w:numId w:val="5"/>
        </w:numPr>
        <w:spacing w:line="276" w:lineRule="auto"/>
        <w:jc w:val="both"/>
        <w:rPr>
          <w:rFonts w:ascii="Times New Roman" w:hAnsi="Times New Roman"/>
          <w:color w:val="000000" w:themeColor="text1"/>
          <w:lang w:val="fr-FR"/>
        </w:rPr>
      </w:pPr>
      <w:r>
        <w:rPr>
          <w:rFonts w:ascii="Times New Roman" w:hAnsi="Times New Roman"/>
          <w:color w:val="000000" w:themeColor="text1"/>
          <w:lang w:val="fr-FR"/>
        </w:rPr>
        <w:t xml:space="preserve">Ligji nr. 10 071, datë 9.2.2009 </w:t>
      </w:r>
      <w:r>
        <w:rPr>
          <w:rFonts w:ascii="Times New Roman" w:hAnsi="Times New Roman"/>
          <w:i/>
          <w:color w:val="000000" w:themeColor="text1"/>
          <w:lang w:val="fr-FR"/>
        </w:rPr>
        <w:t>“Për ratifikimin e Konventës së Këshillit të Evropës për mbrojtjen e fëmijëve nga shfrytëzimi seksual dhe abuzimi seksual”</w:t>
      </w:r>
      <w:r>
        <w:rPr>
          <w:rFonts w:ascii="Times New Roman" w:hAnsi="Times New Roman"/>
          <w:color w:val="000000" w:themeColor="text1"/>
          <w:lang w:val="fr-FR"/>
        </w:rPr>
        <w:t xml:space="preserve">  </w:t>
      </w:r>
    </w:p>
    <w:p w14:paraId="78A22502" w14:textId="1F4CB674" w:rsidR="005F2AC9" w:rsidRDefault="00B56839">
      <w:pPr>
        <w:pStyle w:val="AAAAATEXT"/>
        <w:numPr>
          <w:ilvl w:val="0"/>
          <w:numId w:val="5"/>
        </w:numPr>
        <w:spacing w:line="276" w:lineRule="auto"/>
        <w:jc w:val="both"/>
        <w:rPr>
          <w:rFonts w:ascii="Times New Roman" w:hAnsi="Times New Roman"/>
          <w:color w:val="000000" w:themeColor="text1"/>
          <w:lang w:val="fr-FR"/>
        </w:rPr>
      </w:pPr>
      <w:r>
        <w:rPr>
          <w:rFonts w:ascii="Times New Roman" w:hAnsi="Times New Roman"/>
          <w:color w:val="000000" w:themeColor="text1"/>
          <w:lang w:val="fr-FR"/>
        </w:rPr>
        <w:t xml:space="preserve">Ligji nr. 10 425, datë 2/6/2011 </w:t>
      </w:r>
      <w:r>
        <w:rPr>
          <w:rFonts w:ascii="Times New Roman" w:hAnsi="Times New Roman"/>
          <w:i/>
          <w:color w:val="000000" w:themeColor="text1"/>
          <w:lang w:val="fr-FR"/>
        </w:rPr>
        <w:t xml:space="preserve">“Për ratifikimin e Konventës së Këshillit të Evropës për ushtrimin e të drejtave të fëmijëve </w:t>
      </w:r>
    </w:p>
    <w:p w14:paraId="7F72B010" w14:textId="77777777" w:rsidR="005F2AC9" w:rsidRDefault="00B56839">
      <w:pPr>
        <w:pStyle w:val="AAAAATEXT"/>
        <w:numPr>
          <w:ilvl w:val="0"/>
          <w:numId w:val="5"/>
        </w:numPr>
        <w:spacing w:line="276" w:lineRule="auto"/>
        <w:jc w:val="both"/>
        <w:rPr>
          <w:rFonts w:ascii="Times New Roman" w:hAnsi="Times New Roman"/>
          <w:color w:val="000000" w:themeColor="text1"/>
        </w:rPr>
      </w:pPr>
      <w:r>
        <w:rPr>
          <w:rFonts w:ascii="Times New Roman" w:hAnsi="Times New Roman"/>
          <w:color w:val="000000" w:themeColor="text1"/>
        </w:rPr>
        <w:t>Ligj nr. 108/2012 "Për ratifikimin e konventës së OKB-së "Për të drejtat e personave me aftësi të kufizuara</w:t>
      </w:r>
      <w:proofErr w:type="gramStart"/>
      <w:r>
        <w:rPr>
          <w:rFonts w:ascii="Times New Roman" w:hAnsi="Times New Roman"/>
          <w:color w:val="000000" w:themeColor="text1"/>
        </w:rPr>
        <w:t>" ;</w:t>
      </w:r>
      <w:proofErr w:type="gramEnd"/>
    </w:p>
    <w:p w14:paraId="6DD95D35" w14:textId="77777777" w:rsidR="005F2AC9" w:rsidRDefault="00B56839">
      <w:pPr>
        <w:pStyle w:val="AAAAATEXT"/>
        <w:numPr>
          <w:ilvl w:val="0"/>
          <w:numId w:val="5"/>
        </w:numPr>
        <w:spacing w:line="276" w:lineRule="auto"/>
        <w:jc w:val="both"/>
        <w:rPr>
          <w:rFonts w:ascii="Times New Roman" w:hAnsi="Times New Roman"/>
          <w:color w:val="000000" w:themeColor="text1"/>
          <w:lang w:val="fr-FR"/>
        </w:rPr>
      </w:pPr>
      <w:r>
        <w:rPr>
          <w:rFonts w:ascii="Times New Roman" w:hAnsi="Times New Roman"/>
          <w:color w:val="000000" w:themeColor="text1"/>
          <w:lang w:val="fr-FR"/>
        </w:rPr>
        <w:t>Ligj nr. 57/2019 "Për asistencën sociale në Republikën e Shqipërisë", i ndryshuar ;</w:t>
      </w:r>
    </w:p>
    <w:p w14:paraId="46D99CC9" w14:textId="02DCDE4A" w:rsidR="005F2AC9" w:rsidRDefault="00B56839">
      <w:pPr>
        <w:pStyle w:val="AAAAATEXT"/>
        <w:numPr>
          <w:ilvl w:val="0"/>
          <w:numId w:val="5"/>
        </w:numPr>
        <w:spacing w:line="276" w:lineRule="auto"/>
        <w:jc w:val="both"/>
        <w:rPr>
          <w:rFonts w:ascii="Times New Roman" w:hAnsi="Times New Roman"/>
          <w:i/>
          <w:iCs/>
          <w:color w:val="000000" w:themeColor="text1"/>
        </w:rPr>
      </w:pPr>
      <w:r>
        <w:rPr>
          <w:rFonts w:ascii="Times New Roman" w:hAnsi="Times New Roman"/>
          <w:color w:val="000000" w:themeColor="text1"/>
        </w:rPr>
        <w:t>Ligji nr. 121, datë 24.11.2016, “</w:t>
      </w:r>
      <w:r>
        <w:rPr>
          <w:rFonts w:ascii="Times New Roman" w:hAnsi="Times New Roman"/>
          <w:i/>
          <w:iCs/>
          <w:color w:val="000000" w:themeColor="text1"/>
        </w:rPr>
        <w:t>Mbi Shërbimet e Kujdesit Shoqëror në Republikën e Shqipërisë”</w:t>
      </w:r>
    </w:p>
    <w:p w14:paraId="25609F77" w14:textId="77777777" w:rsidR="005F2AC9" w:rsidRDefault="00B56839">
      <w:pPr>
        <w:pStyle w:val="AAAAATEXT"/>
        <w:numPr>
          <w:ilvl w:val="0"/>
          <w:numId w:val="5"/>
        </w:numPr>
        <w:spacing w:line="276" w:lineRule="auto"/>
        <w:jc w:val="both"/>
        <w:rPr>
          <w:rFonts w:ascii="Times New Roman" w:eastAsia="Times New Roman" w:hAnsi="Times New Roman" w:cs="Times New Roman"/>
          <w:i/>
          <w:iCs/>
          <w:color w:val="000000" w:themeColor="text1"/>
          <w:lang w:val="fr-FR"/>
        </w:rPr>
      </w:pPr>
      <w:r>
        <w:rPr>
          <w:rFonts w:ascii="Times New Roman" w:eastAsia="Times New Roman" w:hAnsi="Times New Roman" w:cs="Times New Roman"/>
          <w:i/>
          <w:iCs/>
          <w:color w:val="000000" w:themeColor="text1"/>
          <w:lang w:val="fr-FR"/>
        </w:rPr>
        <w:t>Ligj nr.65/2016 “Për ndërmarrjet sociale në Republikën e Shqipërisë”</w:t>
      </w:r>
    </w:p>
    <w:p w14:paraId="06D266E9" w14:textId="6E47515C" w:rsidR="005F2AC9" w:rsidRDefault="00B56839">
      <w:pPr>
        <w:pStyle w:val="AAAAATEXT"/>
        <w:numPr>
          <w:ilvl w:val="0"/>
          <w:numId w:val="5"/>
        </w:numPr>
        <w:spacing w:line="276" w:lineRule="auto"/>
        <w:jc w:val="both"/>
        <w:rPr>
          <w:rFonts w:ascii="Times New Roman" w:hAnsi="Times New Roman"/>
          <w:i/>
          <w:color w:val="000000" w:themeColor="text1"/>
          <w:lang w:val="fr-FR"/>
        </w:rPr>
      </w:pPr>
      <w:r>
        <w:rPr>
          <w:rFonts w:ascii="Times New Roman" w:hAnsi="Times New Roman"/>
          <w:i/>
          <w:color w:val="000000" w:themeColor="text1"/>
          <w:lang w:val="fr-FR"/>
        </w:rPr>
        <w:t>Ligj nr. Nr.8098, datë 28.3.1996 "Për statusin e të verbërit", i ndryshuar</w:t>
      </w:r>
    </w:p>
    <w:p w14:paraId="50C2A17B" w14:textId="14F81E1F" w:rsidR="005F2AC9" w:rsidRDefault="00B56839">
      <w:pPr>
        <w:pStyle w:val="AAAAATEXT"/>
        <w:numPr>
          <w:ilvl w:val="0"/>
          <w:numId w:val="5"/>
        </w:numPr>
        <w:spacing w:line="276" w:lineRule="auto"/>
        <w:jc w:val="both"/>
        <w:rPr>
          <w:rFonts w:ascii="Times New Roman" w:hAnsi="Times New Roman"/>
          <w:i/>
          <w:iCs/>
          <w:color w:val="000000" w:themeColor="text1"/>
          <w:lang w:val="fr-FR"/>
        </w:rPr>
      </w:pPr>
      <w:r>
        <w:rPr>
          <w:rFonts w:ascii="Times New Roman" w:hAnsi="Times New Roman"/>
          <w:i/>
          <w:iCs/>
          <w:color w:val="000000" w:themeColor="text1"/>
          <w:lang w:val="fr-FR"/>
        </w:rPr>
        <w:t>Ligj Nr.8626, datë 22.6.2000 "Statusi i invalidit paraplegjik e tetraplegjik", i ndryshuar</w:t>
      </w:r>
    </w:p>
    <w:p w14:paraId="55B9C54C" w14:textId="0DA8548C" w:rsidR="005F2AC9" w:rsidRDefault="00B56839">
      <w:pPr>
        <w:pStyle w:val="AAAAATEXT"/>
        <w:numPr>
          <w:ilvl w:val="0"/>
          <w:numId w:val="5"/>
        </w:numPr>
        <w:spacing w:line="276" w:lineRule="auto"/>
        <w:jc w:val="both"/>
        <w:rPr>
          <w:rFonts w:ascii="Times New Roman" w:hAnsi="Times New Roman"/>
          <w:i/>
          <w:color w:val="000000" w:themeColor="text1"/>
          <w:lang w:val="fr-FR"/>
        </w:rPr>
      </w:pPr>
      <w:r>
        <w:rPr>
          <w:rFonts w:ascii="Times New Roman" w:hAnsi="Times New Roman"/>
          <w:i/>
          <w:color w:val="000000" w:themeColor="text1"/>
          <w:lang w:val="fr-FR"/>
        </w:rPr>
        <w:lastRenderedPageBreak/>
        <w:t>Ligj Nr.7889, datë 14.12.1994 "Për statusin e invalidit", i ndryshuar</w:t>
      </w:r>
    </w:p>
    <w:p w14:paraId="52D2D7BD" w14:textId="77777777" w:rsidR="005F2AC9" w:rsidRDefault="00B56839">
      <w:pPr>
        <w:pStyle w:val="AAAAATEXT"/>
        <w:numPr>
          <w:ilvl w:val="0"/>
          <w:numId w:val="5"/>
        </w:numPr>
        <w:spacing w:line="276" w:lineRule="auto"/>
        <w:jc w:val="both"/>
        <w:rPr>
          <w:rFonts w:ascii="Times New Roman" w:hAnsi="Times New Roman"/>
          <w:color w:val="000000" w:themeColor="text1"/>
          <w:lang w:val="fr-FR"/>
        </w:rPr>
      </w:pPr>
      <w:r>
        <w:rPr>
          <w:rFonts w:ascii="Times New Roman" w:hAnsi="Times New Roman"/>
          <w:iCs/>
          <w:color w:val="000000" w:themeColor="text1"/>
          <w:lang w:val="fr-FR"/>
        </w:rPr>
        <w:t>Ligji nr. 163/2014 “</w:t>
      </w:r>
      <w:r>
        <w:rPr>
          <w:rFonts w:ascii="Times New Roman" w:hAnsi="Times New Roman"/>
          <w:i/>
          <w:color w:val="000000" w:themeColor="text1"/>
          <w:lang w:val="fr-FR"/>
        </w:rPr>
        <w:t>Për urdhrin e punonjësve social në Republikën e Shqipërisë”</w:t>
      </w:r>
      <w:r>
        <w:rPr>
          <w:rFonts w:ascii="Times New Roman" w:hAnsi="Times New Roman"/>
          <w:iCs/>
          <w:color w:val="000000" w:themeColor="text1"/>
          <w:lang w:val="fr-FR"/>
        </w:rPr>
        <w:t>;</w:t>
      </w:r>
    </w:p>
    <w:p w14:paraId="7DAB5369" w14:textId="77777777" w:rsidR="005F2AC9" w:rsidRDefault="00B56839">
      <w:pPr>
        <w:pStyle w:val="AAAAATEXT"/>
        <w:numPr>
          <w:ilvl w:val="0"/>
          <w:numId w:val="5"/>
        </w:numPr>
        <w:spacing w:line="276" w:lineRule="auto"/>
        <w:jc w:val="both"/>
        <w:rPr>
          <w:rFonts w:ascii="Times New Roman" w:hAnsi="Times New Roman"/>
          <w:i/>
          <w:color w:val="000000" w:themeColor="text1"/>
          <w:lang w:val="fr-FR"/>
        </w:rPr>
      </w:pPr>
      <w:r>
        <w:rPr>
          <w:rFonts w:ascii="Times New Roman" w:hAnsi="Times New Roman"/>
          <w:iCs/>
          <w:color w:val="000000" w:themeColor="text1"/>
          <w:lang w:val="fr-FR"/>
        </w:rPr>
        <w:t xml:space="preserve">Ligji nr. 40/2016, </w:t>
      </w:r>
      <w:r>
        <w:rPr>
          <w:rFonts w:ascii="Times New Roman" w:hAnsi="Times New Roman"/>
          <w:i/>
          <w:color w:val="000000" w:themeColor="text1"/>
          <w:lang w:val="fr-FR"/>
        </w:rPr>
        <w:t>“Për urdhrin e psikologut në Republikën e Shqipërisë” </w:t>
      </w:r>
      <w:r>
        <w:rPr>
          <w:rFonts w:ascii="Times New Roman" w:hAnsi="Times New Roman"/>
          <w:iCs/>
          <w:color w:val="000000" w:themeColor="text1"/>
          <w:lang w:val="fr-FR"/>
        </w:rPr>
        <w:t>i ndryshuar</w:t>
      </w:r>
      <w:r>
        <w:rPr>
          <w:rFonts w:ascii="Times New Roman" w:hAnsi="Times New Roman"/>
          <w:i/>
          <w:color w:val="000000" w:themeColor="text1"/>
          <w:lang w:val="fr-FR"/>
        </w:rPr>
        <w:t>;</w:t>
      </w:r>
    </w:p>
    <w:p w14:paraId="30ABD69C" w14:textId="0F233B5C" w:rsidR="005F2AC9" w:rsidRDefault="00B56839">
      <w:pPr>
        <w:pStyle w:val="AAAAATEXT"/>
        <w:numPr>
          <w:ilvl w:val="0"/>
          <w:numId w:val="5"/>
        </w:numPr>
        <w:spacing w:line="276" w:lineRule="auto"/>
        <w:jc w:val="both"/>
        <w:rPr>
          <w:rFonts w:ascii="Times New Roman" w:hAnsi="Times New Roman"/>
          <w:i/>
          <w:color w:val="000000" w:themeColor="text1"/>
          <w:lang w:val="fr-FR"/>
        </w:rPr>
      </w:pPr>
      <w:r>
        <w:rPr>
          <w:rFonts w:ascii="Times New Roman" w:hAnsi="Times New Roman"/>
          <w:iCs/>
          <w:color w:val="000000" w:themeColor="text1"/>
          <w:lang w:val="fr-FR"/>
        </w:rPr>
        <w:t>Ligji 18/2017</w:t>
      </w:r>
      <w:r>
        <w:rPr>
          <w:rFonts w:ascii="Times New Roman" w:hAnsi="Times New Roman"/>
          <w:i/>
          <w:color w:val="000000" w:themeColor="text1"/>
          <w:lang w:val="fr-FR"/>
        </w:rPr>
        <w:t xml:space="preserve">”Për të drejtat dhe </w:t>
      </w:r>
      <w:r w:rsidR="00BA4B59">
        <w:rPr>
          <w:rFonts w:ascii="Times New Roman" w:hAnsi="Times New Roman"/>
          <w:i/>
          <w:color w:val="000000" w:themeColor="text1"/>
          <w:lang w:val="fr-FR"/>
        </w:rPr>
        <w:t>m</w:t>
      </w:r>
      <w:r>
        <w:rPr>
          <w:rFonts w:ascii="Times New Roman" w:hAnsi="Times New Roman"/>
          <w:i/>
          <w:color w:val="000000" w:themeColor="text1"/>
          <w:lang w:val="fr-FR"/>
        </w:rPr>
        <w:t>brojtjen e Fëmijës” </w:t>
      </w:r>
    </w:p>
    <w:p w14:paraId="4B54F510" w14:textId="55A8EF32" w:rsidR="005F2AC9" w:rsidRDefault="00B56839">
      <w:pPr>
        <w:pStyle w:val="AAAAATEXT"/>
        <w:numPr>
          <w:ilvl w:val="0"/>
          <w:numId w:val="5"/>
        </w:numPr>
        <w:spacing w:line="276" w:lineRule="auto"/>
        <w:jc w:val="both"/>
        <w:rPr>
          <w:rFonts w:ascii="Times New Roman" w:hAnsi="Times New Roman"/>
          <w:i/>
          <w:color w:val="000000" w:themeColor="text1"/>
        </w:rPr>
      </w:pPr>
      <w:r>
        <w:rPr>
          <w:rFonts w:ascii="Times New Roman" w:hAnsi="Times New Roman"/>
          <w:iCs/>
          <w:color w:val="000000" w:themeColor="text1"/>
        </w:rPr>
        <w:t xml:space="preserve">Ligji nr. 139/2015 </w:t>
      </w:r>
      <w:r>
        <w:rPr>
          <w:rFonts w:ascii="Times New Roman" w:hAnsi="Times New Roman"/>
          <w:i/>
          <w:color w:val="000000" w:themeColor="text1"/>
        </w:rPr>
        <w:t>“Për vetëqeverisjen vendore”</w:t>
      </w:r>
    </w:p>
    <w:p w14:paraId="57001E17" w14:textId="2842DFE0" w:rsidR="004C27B2" w:rsidRPr="001437FD" w:rsidRDefault="004C27B2" w:rsidP="004C27B2">
      <w:pPr>
        <w:pStyle w:val="ListParagraph"/>
        <w:numPr>
          <w:ilvl w:val="0"/>
          <w:numId w:val="5"/>
        </w:numPr>
        <w:shd w:val="clear" w:color="auto" w:fill="FFFFFF"/>
        <w:suppressAutoHyphens w:val="0"/>
        <w:spacing w:before="0" w:after="0" w:line="240" w:lineRule="auto"/>
        <w:textAlignment w:val="baseline"/>
        <w:rPr>
          <w:rFonts w:ascii="Times New Roman" w:eastAsia="Times New Roman" w:hAnsi="Times New Roman" w:cs="Times New Roman"/>
          <w:color w:val="000000"/>
          <w:sz w:val="24"/>
          <w:szCs w:val="24"/>
        </w:rPr>
      </w:pPr>
      <w:r w:rsidRPr="001437FD">
        <w:rPr>
          <w:rFonts w:ascii="Times New Roman" w:eastAsia="Times New Roman" w:hAnsi="Times New Roman" w:cs="Times New Roman"/>
          <w:color w:val="000000"/>
          <w:sz w:val="24"/>
          <w:szCs w:val="24"/>
        </w:rPr>
        <w:t>Ligji nr</w:t>
      </w:r>
      <w:r w:rsidR="001437FD" w:rsidRPr="001437FD">
        <w:rPr>
          <w:rFonts w:ascii="Times New Roman" w:eastAsia="Times New Roman" w:hAnsi="Times New Roman" w:cs="Times New Roman"/>
          <w:color w:val="000000"/>
          <w:sz w:val="24"/>
          <w:szCs w:val="24"/>
        </w:rPr>
        <w:t>.</w:t>
      </w:r>
      <w:r w:rsidRPr="001437FD">
        <w:rPr>
          <w:rFonts w:ascii="Times New Roman" w:eastAsia="Times New Roman" w:hAnsi="Times New Roman" w:cs="Times New Roman"/>
          <w:color w:val="000000"/>
          <w:sz w:val="24"/>
          <w:szCs w:val="24"/>
        </w:rPr>
        <w:t xml:space="preserve"> 64/2025 “P</w:t>
      </w:r>
      <w:r w:rsidR="001437FD" w:rsidRPr="001437FD">
        <w:rPr>
          <w:rFonts w:ascii="Times New Roman" w:eastAsia="Times New Roman" w:hAnsi="Times New Roman" w:cs="Times New Roman"/>
          <w:color w:val="000000"/>
          <w:sz w:val="24"/>
          <w:szCs w:val="24"/>
        </w:rPr>
        <w:t>ë</w:t>
      </w:r>
      <w:r w:rsidRPr="001437FD">
        <w:rPr>
          <w:rFonts w:ascii="Times New Roman" w:eastAsia="Times New Roman" w:hAnsi="Times New Roman" w:cs="Times New Roman"/>
          <w:color w:val="000000"/>
          <w:sz w:val="24"/>
          <w:szCs w:val="24"/>
        </w:rPr>
        <w:t>r barazin</w:t>
      </w:r>
      <w:r w:rsidR="001437FD" w:rsidRPr="001437FD">
        <w:rPr>
          <w:rFonts w:ascii="Times New Roman" w:eastAsia="Times New Roman" w:hAnsi="Times New Roman" w:cs="Times New Roman"/>
          <w:color w:val="000000"/>
          <w:sz w:val="24"/>
          <w:szCs w:val="24"/>
        </w:rPr>
        <w:t>ë</w:t>
      </w:r>
      <w:r w:rsidRPr="001437FD">
        <w:rPr>
          <w:rFonts w:ascii="Times New Roman" w:eastAsia="Times New Roman" w:hAnsi="Times New Roman" w:cs="Times New Roman"/>
          <w:color w:val="000000"/>
          <w:sz w:val="24"/>
          <w:szCs w:val="24"/>
        </w:rPr>
        <w:t xml:space="preserve"> Gjinore”</w:t>
      </w:r>
    </w:p>
    <w:p w14:paraId="7695178B" w14:textId="26916807" w:rsidR="004C27B2" w:rsidRPr="0088709D" w:rsidRDefault="001437FD" w:rsidP="0088709D">
      <w:pPr>
        <w:pStyle w:val="AAAAATEXT"/>
        <w:numPr>
          <w:ilvl w:val="0"/>
          <w:numId w:val="5"/>
        </w:numPr>
        <w:spacing w:line="276" w:lineRule="auto"/>
        <w:jc w:val="both"/>
        <w:rPr>
          <w:rFonts w:ascii="Times New Roman" w:hAnsi="Times New Roman"/>
          <w:iCs/>
          <w:color w:val="000000" w:themeColor="text1"/>
        </w:rPr>
      </w:pPr>
      <w:r w:rsidRPr="00765A96">
        <w:rPr>
          <w:rFonts w:ascii="Times New Roman" w:hAnsi="Times New Roman"/>
          <w:iCs/>
          <w:color w:val="000000" w:themeColor="text1"/>
        </w:rPr>
        <w:t xml:space="preserve">Ligji nr. </w:t>
      </w:r>
      <w:r w:rsidR="00765A96" w:rsidRPr="00765A96">
        <w:rPr>
          <w:rFonts w:ascii="Times New Roman" w:hAnsi="Times New Roman"/>
          <w:iCs/>
          <w:color w:val="000000" w:themeColor="text1"/>
        </w:rPr>
        <w:t>11/2026</w:t>
      </w:r>
      <w:r w:rsidR="00765A96">
        <w:rPr>
          <w:rFonts w:ascii="Times New Roman" w:hAnsi="Times New Roman"/>
          <w:iCs/>
          <w:color w:val="000000" w:themeColor="text1"/>
        </w:rPr>
        <w:t xml:space="preserve"> “P</w:t>
      </w:r>
      <w:r w:rsidR="00A52A15">
        <w:rPr>
          <w:rFonts w:ascii="Times New Roman" w:hAnsi="Times New Roman"/>
          <w:iCs/>
          <w:color w:val="000000" w:themeColor="text1"/>
        </w:rPr>
        <w:t>ë</w:t>
      </w:r>
      <w:r w:rsidR="00765A96">
        <w:rPr>
          <w:rFonts w:ascii="Times New Roman" w:hAnsi="Times New Roman"/>
          <w:iCs/>
          <w:color w:val="000000" w:themeColor="text1"/>
        </w:rPr>
        <w:t xml:space="preserve">r </w:t>
      </w:r>
      <w:r w:rsidR="0088709D" w:rsidRPr="0088709D">
        <w:rPr>
          <w:rFonts w:ascii="Times New Roman" w:hAnsi="Times New Roman"/>
          <w:iCs/>
          <w:color w:val="000000" w:themeColor="text1"/>
        </w:rPr>
        <w:t>parandalimin dhe mbrojtjen nga dhuna ndaj grave dhe dhuna në familje</w:t>
      </w:r>
      <w:r w:rsidR="0088709D">
        <w:rPr>
          <w:rFonts w:ascii="Times New Roman" w:hAnsi="Times New Roman"/>
          <w:iCs/>
          <w:color w:val="000000" w:themeColor="text1"/>
        </w:rPr>
        <w:t>”</w:t>
      </w:r>
    </w:p>
    <w:p w14:paraId="154A5137" w14:textId="77777777" w:rsidR="005F2AC9" w:rsidRDefault="00B56839">
      <w:pPr>
        <w:pStyle w:val="AAAAATEXT"/>
        <w:numPr>
          <w:ilvl w:val="0"/>
          <w:numId w:val="5"/>
        </w:numPr>
        <w:spacing w:line="276" w:lineRule="auto"/>
        <w:jc w:val="both"/>
        <w:rPr>
          <w:rFonts w:ascii="Times New Roman" w:hAnsi="Times New Roman"/>
          <w:i/>
          <w:color w:val="000000" w:themeColor="text1"/>
          <w:lang w:val="fr-FR"/>
        </w:rPr>
      </w:pPr>
      <w:r>
        <w:rPr>
          <w:rFonts w:ascii="Times New Roman" w:hAnsi="Times New Roman"/>
          <w:i/>
          <w:color w:val="000000" w:themeColor="text1"/>
          <w:lang w:val="fr-FR"/>
        </w:rPr>
        <w:t>Karta Sociale Europiane e rishikuar ;</w:t>
      </w:r>
    </w:p>
    <w:p w14:paraId="5F1A5BC2" w14:textId="77777777" w:rsidR="005F2AC9" w:rsidRDefault="00B56839">
      <w:pPr>
        <w:pStyle w:val="AAAAATEXT"/>
        <w:numPr>
          <w:ilvl w:val="0"/>
          <w:numId w:val="5"/>
        </w:numPr>
        <w:spacing w:line="276" w:lineRule="auto"/>
        <w:jc w:val="both"/>
        <w:rPr>
          <w:rFonts w:ascii="Times New Roman" w:hAnsi="Times New Roman"/>
          <w:i/>
          <w:iCs/>
          <w:color w:val="000000" w:themeColor="text1"/>
          <w:lang w:val="fr-FR"/>
        </w:rPr>
      </w:pPr>
      <w:r>
        <w:rPr>
          <w:rFonts w:ascii="Times New Roman" w:hAnsi="Times New Roman"/>
          <w:i/>
          <w:iCs/>
          <w:color w:val="000000" w:themeColor="text1"/>
          <w:lang w:val="fr-FR"/>
        </w:rPr>
        <w:t>Karta Europiane për Autonomi Lokale.</w:t>
      </w:r>
    </w:p>
    <w:p w14:paraId="113F04D6" w14:textId="77777777" w:rsidR="005F2AC9" w:rsidRDefault="00B56839">
      <w:pPr>
        <w:numPr>
          <w:ilvl w:val="0"/>
          <w:numId w:val="5"/>
        </w:numPr>
        <w:spacing w:before="60" w:after="60"/>
        <w:ind w:left="360"/>
        <w:jc w:val="both"/>
        <w:rPr>
          <w:rFonts w:ascii="Times New Roman" w:hAnsi="Times New Roman"/>
          <w:i/>
          <w:iCs/>
          <w:color w:val="000000" w:themeColor="text1"/>
          <w:lang w:val="fr-FR"/>
        </w:rPr>
      </w:pPr>
      <w:r>
        <w:rPr>
          <w:rFonts w:ascii="Times New Roman" w:eastAsia="Times New Roman" w:hAnsi="Times New Roman" w:cs="Times New Roman"/>
          <w:color w:val="000000" w:themeColor="text1"/>
          <w:sz w:val="24"/>
          <w:szCs w:val="24"/>
          <w:lang w:val="fr-FR"/>
        </w:rPr>
        <w:t>VKM nr. 597, datë 4.9.2019, “Për përcaktimin e procedurave, të dokumentacionit dhe të masës mujore të përfitimit të ndihmës ekonomike dhe përdorimit të fondit shtesë mbi fondin e kushtëzuar për ndihmën ekonomike”, i ndryshuar.</w:t>
      </w:r>
    </w:p>
    <w:p w14:paraId="39A933AD" w14:textId="77777777" w:rsidR="005F2AC9" w:rsidRDefault="00BF7ED1">
      <w:pPr>
        <w:numPr>
          <w:ilvl w:val="0"/>
          <w:numId w:val="5"/>
        </w:numPr>
        <w:spacing w:before="60" w:after="60"/>
        <w:ind w:left="360"/>
        <w:jc w:val="both"/>
        <w:rPr>
          <w:color w:val="000000" w:themeColor="text1"/>
        </w:rPr>
      </w:pPr>
      <w:hyperlink r:id="rId11">
        <w:r w:rsidR="00B56839">
          <w:rPr>
            <w:rStyle w:val="Hyperlink"/>
            <w:rFonts w:ascii="Times New Roman" w:eastAsia="Times New Roman" w:hAnsi="Times New Roman" w:cs="Times New Roman"/>
            <w:color w:val="000000" w:themeColor="text1"/>
            <w:sz w:val="24"/>
            <w:szCs w:val="24"/>
            <w:u w:val="none"/>
            <w:lang w:val="fr-FR"/>
          </w:rPr>
          <w:t>VKM nr. 882, datë 24.12.2019 “Për mekanizmin e bashkërendimit ndërinstitucional të punës për referimin për punësim të individëve dhe anëtarëve në moshë aktive pune të familjeve përfituese të ndihmës ekonomike”.</w:t>
        </w:r>
      </w:hyperlink>
    </w:p>
    <w:p w14:paraId="2B303496" w14:textId="77777777" w:rsidR="005F2AC9" w:rsidRDefault="00B56839">
      <w:pPr>
        <w:numPr>
          <w:ilvl w:val="0"/>
          <w:numId w:val="5"/>
        </w:numPr>
        <w:spacing w:before="60" w:after="60"/>
        <w:ind w:left="360"/>
        <w:jc w:val="both"/>
        <w:rPr>
          <w:rFonts w:ascii="Aptos" w:eastAsia="Aptos" w:hAnsi="Aptos" w:cs="Aptos"/>
          <w:color w:val="000000" w:themeColor="text1"/>
          <w:sz w:val="24"/>
          <w:szCs w:val="24"/>
        </w:rPr>
      </w:pPr>
      <w:r>
        <w:rPr>
          <w:rFonts w:ascii="Times New Roman" w:eastAsia="Times New Roman" w:hAnsi="Times New Roman" w:cs="Times New Roman"/>
          <w:color w:val="000000" w:themeColor="text1"/>
          <w:sz w:val="24"/>
          <w:szCs w:val="24"/>
        </w:rPr>
        <w:t>VKM nr. 751, datë 1.12.2022, "Për një mbrojtje të veçantë nga shteti për gratë e papuna me tre apo më shumë fëmijë të moshës deri në 18 vjeç"</w:t>
      </w:r>
    </w:p>
    <w:p w14:paraId="735E35EE" w14:textId="77777777" w:rsidR="005F2AC9" w:rsidRDefault="00B56839">
      <w:pPr>
        <w:numPr>
          <w:ilvl w:val="0"/>
          <w:numId w:val="5"/>
        </w:numPr>
        <w:spacing w:before="60" w:after="60"/>
        <w:ind w:left="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VKM nr.288, datë 10.04.2020, “Për përcaktimin e masës dhe të procedurës së dhënies së ndihmës së menjëhershme financiare për foshnjat e porsalindura dhe mënyrën e bashkëpunimit, ndërmjet institucioneve të shërbimit spitalor dhe </w:t>
      </w:r>
      <w:proofErr w:type="gramStart"/>
      <w:r>
        <w:rPr>
          <w:rFonts w:ascii="Times New Roman" w:eastAsia="Times New Roman" w:hAnsi="Times New Roman" w:cs="Times New Roman"/>
          <w:color w:val="000000" w:themeColor="text1"/>
          <w:sz w:val="24"/>
          <w:szCs w:val="24"/>
        </w:rPr>
        <w:t>atyre  të</w:t>
      </w:r>
      <w:proofErr w:type="gramEnd"/>
      <w:r>
        <w:rPr>
          <w:rFonts w:ascii="Times New Roman" w:eastAsia="Times New Roman" w:hAnsi="Times New Roman" w:cs="Times New Roman"/>
          <w:color w:val="000000" w:themeColor="text1"/>
          <w:sz w:val="24"/>
          <w:szCs w:val="24"/>
        </w:rPr>
        <w:t xml:space="preserve"> gjendjes civile”, i ndryshuar</w:t>
      </w:r>
    </w:p>
    <w:p w14:paraId="0047EAB2" w14:textId="77777777" w:rsidR="005F2AC9" w:rsidRDefault="00B56839">
      <w:pPr>
        <w:numPr>
          <w:ilvl w:val="0"/>
          <w:numId w:val="5"/>
        </w:numPr>
        <w:spacing w:before="60" w:after="60"/>
        <w:ind w:left="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VKM nr.56, datë 31.1.2018, “Për përcaktimin e kategorive konkrete të grupeve të pafavorizuara”;</w:t>
      </w:r>
    </w:p>
    <w:p w14:paraId="62034C42" w14:textId="77777777" w:rsidR="005F2AC9" w:rsidRDefault="00B56839">
      <w:pPr>
        <w:numPr>
          <w:ilvl w:val="0"/>
          <w:numId w:val="5"/>
        </w:numPr>
        <w:spacing w:before="60" w:after="60"/>
        <w:ind w:left="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VKM nr. 16, datë 12.1.2018, “Për miratimin e listës së veprimtarive që ushtrojnë ndërmarrjet sociale”;</w:t>
      </w:r>
    </w:p>
    <w:p w14:paraId="33917684" w14:textId="77777777" w:rsidR="005F2AC9" w:rsidRDefault="00B56839">
      <w:pPr>
        <w:numPr>
          <w:ilvl w:val="0"/>
          <w:numId w:val="5"/>
        </w:numPr>
        <w:spacing w:before="60" w:after="60"/>
        <w:ind w:left="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VKM nr.174, datë 24.03.2023, “Për</w:t>
      </w:r>
      <w:r>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color w:val="000000" w:themeColor="text1"/>
          <w:sz w:val="24"/>
          <w:szCs w:val="24"/>
        </w:rPr>
        <w:t>përcaktimin e formave të mbështetjes nëpërmjet subvencionit për ndërmarrjet sociale, për periudhën 2023-2025</w:t>
      </w:r>
    </w:p>
    <w:p w14:paraId="6E7C7573" w14:textId="77777777" w:rsidR="005F2AC9" w:rsidRDefault="00B56839">
      <w:pPr>
        <w:numPr>
          <w:ilvl w:val="0"/>
          <w:numId w:val="5"/>
        </w:numPr>
        <w:spacing w:before="60" w:after="60"/>
        <w:ind w:left="360"/>
        <w:jc w:val="both"/>
        <w:rPr>
          <w:color w:val="000000" w:themeColor="text1"/>
        </w:rPr>
      </w:pPr>
      <w:r>
        <w:rPr>
          <w:rFonts w:ascii="Times New Roman" w:eastAsia="Times New Roman" w:hAnsi="Times New Roman" w:cs="Times New Roman"/>
          <w:color w:val="000000" w:themeColor="text1"/>
          <w:sz w:val="24"/>
          <w:szCs w:val="24"/>
          <w:lang w:val="fr-FR"/>
        </w:rPr>
        <w:t>VKM nr. 257, datë 5.5.2021 “Për procedurat e kryerjes së kontrollit të zbatimit të legjislacionit të asistencës sociale”.</w:t>
      </w:r>
    </w:p>
    <w:p w14:paraId="37B2B244" w14:textId="77777777" w:rsidR="005F2AC9" w:rsidRDefault="00BF7ED1">
      <w:pPr>
        <w:numPr>
          <w:ilvl w:val="0"/>
          <w:numId w:val="5"/>
        </w:numPr>
        <w:spacing w:before="60" w:after="60"/>
        <w:ind w:left="360"/>
        <w:jc w:val="both"/>
        <w:rPr>
          <w:color w:val="000000" w:themeColor="text1"/>
        </w:rPr>
      </w:pPr>
      <w:hyperlink r:id="rId12">
        <w:r w:rsidR="00B56839">
          <w:rPr>
            <w:rStyle w:val="Hyperlink"/>
            <w:rFonts w:ascii="Times New Roman" w:eastAsia="Times New Roman" w:hAnsi="Times New Roman" w:cs="Times New Roman"/>
            <w:color w:val="000000" w:themeColor="text1"/>
            <w:sz w:val="24"/>
            <w:szCs w:val="24"/>
            <w:u w:val="none"/>
            <w:lang w:val="fr-FR"/>
          </w:rPr>
          <w:t>VKM nr.277, datë 18.6.1997, “Për përfitimet nga statusi i të verbërit”</w:t>
        </w:r>
      </w:hyperlink>
      <w:r w:rsidR="00B56839">
        <w:rPr>
          <w:rFonts w:ascii="Times New Roman" w:eastAsia="Times New Roman" w:hAnsi="Times New Roman" w:cs="Times New Roman"/>
          <w:color w:val="000000" w:themeColor="text1"/>
          <w:sz w:val="24"/>
          <w:szCs w:val="24"/>
          <w:lang w:val="fr-FR"/>
        </w:rPr>
        <w:t>, i ndryshuar</w:t>
      </w:r>
    </w:p>
    <w:p w14:paraId="5D6DAD59" w14:textId="77777777" w:rsidR="005F2AC9" w:rsidRDefault="00BF7ED1">
      <w:pPr>
        <w:numPr>
          <w:ilvl w:val="0"/>
          <w:numId w:val="5"/>
        </w:numPr>
        <w:spacing w:before="60" w:after="60"/>
        <w:ind w:left="360"/>
        <w:jc w:val="both"/>
        <w:rPr>
          <w:color w:val="000000" w:themeColor="text1"/>
        </w:rPr>
      </w:pPr>
      <w:hyperlink r:id="rId13">
        <w:r w:rsidR="00B56839">
          <w:rPr>
            <w:rStyle w:val="Hyperlink"/>
            <w:rFonts w:ascii="Times New Roman" w:eastAsia="Times New Roman" w:hAnsi="Times New Roman" w:cs="Times New Roman"/>
            <w:color w:val="000000" w:themeColor="text1"/>
            <w:sz w:val="24"/>
            <w:szCs w:val="24"/>
            <w:u w:val="none"/>
            <w:lang w:val="fr-FR"/>
          </w:rPr>
          <w:t>VKM nr. 31, datë 20.1.2001, “Për përfitimet nga statusi i invalidit paraplegjik dhe tetraplegjik”, i ndryshuar</w:t>
        </w:r>
      </w:hyperlink>
    </w:p>
    <w:p w14:paraId="53A01695" w14:textId="77777777" w:rsidR="005F2AC9" w:rsidRDefault="00BF7ED1">
      <w:pPr>
        <w:numPr>
          <w:ilvl w:val="0"/>
          <w:numId w:val="5"/>
        </w:numPr>
        <w:spacing w:before="60" w:after="60"/>
        <w:ind w:left="360"/>
        <w:jc w:val="both"/>
        <w:rPr>
          <w:rFonts w:ascii="Times New Roman" w:eastAsia="Times New Roman" w:hAnsi="Times New Roman" w:cs="Times New Roman"/>
          <w:color w:val="000000" w:themeColor="text1"/>
          <w:sz w:val="24"/>
          <w:szCs w:val="24"/>
          <w:lang w:val="fr-FR"/>
        </w:rPr>
      </w:pPr>
      <w:hyperlink r:id="rId14">
        <w:r w:rsidR="00B56839">
          <w:rPr>
            <w:rStyle w:val="Hyperlink"/>
            <w:rFonts w:ascii="Times New Roman" w:eastAsia="Times New Roman" w:hAnsi="Times New Roman" w:cs="Times New Roman"/>
            <w:color w:val="000000" w:themeColor="text1"/>
            <w:sz w:val="24"/>
            <w:szCs w:val="24"/>
            <w:u w:val="none"/>
            <w:lang w:val="fr-FR"/>
          </w:rPr>
          <w:t>VKM nr. 78, datë 7.2.2007 “Për masën, kriteret dhe procedurat e përfitimit të një pakete të veçantë higjieno-sanitare, për invalidët paraplegjikë dhe tetraplegjikë”, i ndryshuar</w:t>
        </w:r>
      </w:hyperlink>
    </w:p>
    <w:p w14:paraId="3F8F3782" w14:textId="77777777" w:rsidR="005F2AC9" w:rsidRDefault="00B56839">
      <w:pPr>
        <w:numPr>
          <w:ilvl w:val="0"/>
          <w:numId w:val="5"/>
        </w:numPr>
        <w:spacing w:before="60" w:after="60"/>
        <w:ind w:left="360"/>
        <w:jc w:val="both"/>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color w:val="000000" w:themeColor="text1"/>
          <w:sz w:val="24"/>
          <w:szCs w:val="24"/>
          <w:lang w:val="fr-FR"/>
        </w:rPr>
        <w:lastRenderedPageBreak/>
        <w:t>VKM nr. 722, datë 11.11.2019, “Për përcaktimin e masës, të kritereve, procedurave dhe dokumentacionit për vlerësimin dhe përfitimin e aftësisë së kufizuar e të ndihmësit personal, dhe të strukturave përgjegjëse e të detyrave të tyre” i ndryshuar</w:t>
      </w:r>
    </w:p>
    <w:p w14:paraId="745146D9" w14:textId="77777777" w:rsidR="005F2AC9" w:rsidRDefault="00B56839">
      <w:pPr>
        <w:numPr>
          <w:ilvl w:val="0"/>
          <w:numId w:val="5"/>
        </w:numPr>
        <w:spacing w:before="60" w:after="60"/>
        <w:ind w:left="360"/>
        <w:jc w:val="both"/>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color w:val="000000" w:themeColor="text1"/>
          <w:sz w:val="24"/>
          <w:szCs w:val="24"/>
          <w:lang w:val="sq-AL"/>
        </w:rPr>
        <w:t>VKM nr. 182, datë 26.2.2020, “Për përcaktimin e masës, të kritereve, procedurave e dokumentacionit për vlerësimin dhe përfitimin e pagesës për personat me aftësi të kufizuara, si dhe të ndihmësit personal”, i ndryshuar</w:t>
      </w:r>
    </w:p>
    <w:p w14:paraId="6D17DDC1" w14:textId="77777777" w:rsidR="005F2AC9" w:rsidRDefault="00B56839">
      <w:pPr>
        <w:numPr>
          <w:ilvl w:val="0"/>
          <w:numId w:val="5"/>
        </w:numPr>
        <w:spacing w:before="60" w:after="60"/>
        <w:ind w:left="360"/>
        <w:jc w:val="both"/>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color w:val="000000" w:themeColor="text1"/>
          <w:sz w:val="24"/>
          <w:szCs w:val="24"/>
          <w:lang w:val="sq-AL"/>
        </w:rPr>
        <w:t>VKM nr. 874, datë 24.12.2019, “Për mënyrën e ofrimit të ndihmesës personale dhe kriteret e përzgjedhjes së ndihmësit personal”</w:t>
      </w:r>
    </w:p>
    <w:p w14:paraId="47A316BF" w14:textId="77777777" w:rsidR="005F2AC9" w:rsidRDefault="00B56839">
      <w:pPr>
        <w:numPr>
          <w:ilvl w:val="0"/>
          <w:numId w:val="5"/>
        </w:numPr>
        <w:spacing w:before="60" w:after="60"/>
        <w:ind w:left="360"/>
        <w:jc w:val="both"/>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color w:val="000000" w:themeColor="text1"/>
          <w:sz w:val="24"/>
          <w:szCs w:val="24"/>
          <w:lang w:val="sq-AL"/>
        </w:rPr>
        <w:t>VKM nr.617, datë 20.10.2021, “Për treguesit statistikorë të vlerësimit e të monitorimit të programeve të ndihmës ekonomike, të pagesës për personat me aftësi të kufizuar e të shërbimeve shoqërore si edhe periodicitetin e mbledhjes së tyre”</w:t>
      </w:r>
    </w:p>
    <w:p w14:paraId="56AC6AF0" w14:textId="77777777" w:rsidR="005F2AC9" w:rsidRDefault="00B56839">
      <w:pPr>
        <w:numPr>
          <w:ilvl w:val="0"/>
          <w:numId w:val="5"/>
        </w:numPr>
        <w:spacing w:before="60" w:after="60"/>
        <w:ind w:left="360"/>
        <w:jc w:val="both"/>
        <w:rPr>
          <w:rFonts w:ascii="Times New Roman" w:eastAsia="Times New Roman" w:hAnsi="Times New Roman" w:cs="Times New Roman"/>
          <w:color w:val="000000" w:themeColor="text1"/>
          <w:sz w:val="24"/>
          <w:szCs w:val="24"/>
          <w:lang w:val="fr-FR"/>
        </w:rPr>
      </w:pPr>
      <w:r>
        <w:rPr>
          <w:rFonts w:ascii="Times New Roman" w:eastAsia="Times New Roman" w:hAnsi="Times New Roman" w:cs="Times New Roman"/>
          <w:color w:val="000000" w:themeColor="text1"/>
          <w:sz w:val="24"/>
          <w:szCs w:val="24"/>
          <w:lang w:val="sq-AL"/>
        </w:rPr>
        <w:t>VKM nr. 404, datë 20.6.2012, “Për përcaktimin e masës së kritereve e të procedurave të përfitimit të kompensimit financiar, nga personat me statusin e të verbrit dhe invalidit, paraplegjik dhe tetraplegjik, për faturën e energjisë elektrike dhe faturën e telefonisë fikse” i ndryshuar</w:t>
      </w:r>
    </w:p>
    <w:p w14:paraId="2F8F52F4" w14:textId="77777777" w:rsidR="005F2AC9" w:rsidRDefault="00B56839">
      <w:pPr>
        <w:numPr>
          <w:ilvl w:val="0"/>
          <w:numId w:val="5"/>
        </w:numPr>
        <w:spacing w:before="60" w:after="60"/>
        <w:ind w:left="360"/>
        <w:jc w:val="both"/>
        <w:rPr>
          <w:rFonts w:ascii="Times New Roman" w:eastAsia="Times New Roman" w:hAnsi="Times New Roman" w:cs="Times New Roman"/>
          <w:color w:val="000000" w:themeColor="text1"/>
          <w:sz w:val="24"/>
          <w:szCs w:val="24"/>
          <w:lang w:val="fr-FR"/>
        </w:rPr>
      </w:pPr>
      <w:r>
        <w:rPr>
          <w:rFonts w:ascii="Times New Roman" w:eastAsia="Times New Roman" w:hAnsi="Times New Roman" w:cs="Times New Roman"/>
          <w:color w:val="000000" w:themeColor="text1"/>
          <w:sz w:val="24"/>
          <w:szCs w:val="24"/>
          <w:lang w:val="fr-FR"/>
        </w:rPr>
        <w:t>VKM nr. 8, datë 14.1.2015, “Për mbrojtjen e shtresave në nevojë, për efekt të heqjes së fashës së konsumit të energjisë elektrike deri në 300 këh në muaj”, i ndryshuar</w:t>
      </w:r>
    </w:p>
    <w:p w14:paraId="286E2559" w14:textId="77777777" w:rsidR="005F2AC9" w:rsidRDefault="00B56839">
      <w:pPr>
        <w:numPr>
          <w:ilvl w:val="0"/>
          <w:numId w:val="5"/>
        </w:numPr>
        <w:spacing w:before="60" w:after="60"/>
        <w:ind w:left="360"/>
        <w:jc w:val="both"/>
        <w:rPr>
          <w:rFonts w:ascii="Times New Roman" w:eastAsia="Times New Roman" w:hAnsi="Times New Roman" w:cs="Times New Roman"/>
          <w:color w:val="000000" w:themeColor="text1"/>
          <w:sz w:val="24"/>
          <w:szCs w:val="24"/>
          <w:lang w:val="fr-FR"/>
        </w:rPr>
      </w:pPr>
      <w:r>
        <w:rPr>
          <w:rFonts w:ascii="Times New Roman" w:eastAsia="Times New Roman" w:hAnsi="Times New Roman" w:cs="Times New Roman"/>
          <w:color w:val="000000" w:themeColor="text1"/>
          <w:sz w:val="24"/>
          <w:szCs w:val="24"/>
          <w:lang w:val="fr-FR"/>
        </w:rPr>
        <w:t>VKM nr.565, datë 9.8.2006 “Për mbrojtjen e shtresave në nevojë, nga rritja e çmimit të energjisë elektrike”, i ndryshuar</w:t>
      </w:r>
    </w:p>
    <w:p w14:paraId="249B7E7B" w14:textId="77777777" w:rsidR="005F2AC9" w:rsidRDefault="00B56839">
      <w:pPr>
        <w:numPr>
          <w:ilvl w:val="0"/>
          <w:numId w:val="5"/>
        </w:numPr>
        <w:spacing w:before="60" w:after="60"/>
        <w:ind w:left="360"/>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VKM Nr. 768 datë 15.12.2021 “Për përcaktimin e llojeve të shërbimeve sociale dhe shërbimeve të tjera specifike, llojeve të shërbimeve të veçanta”;</w:t>
      </w:r>
    </w:p>
    <w:p w14:paraId="7C500288" w14:textId="77777777" w:rsidR="005F2AC9" w:rsidRDefault="00B56839">
      <w:pPr>
        <w:numPr>
          <w:ilvl w:val="0"/>
          <w:numId w:val="5"/>
        </w:numPr>
        <w:spacing w:before="60" w:after="60"/>
        <w:ind w:left="360"/>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VKM 518/2018 “Për shërbimet e kujdesit shoqëror komunitar dhe rezidencial, kriteret, procedurat për përfitimin e tyre dhe masën e shumës për shpenzime personale për përfituesit e shërbimit të organizuar”;</w:t>
      </w:r>
    </w:p>
    <w:p w14:paraId="247E110C" w14:textId="77777777" w:rsidR="005F2AC9" w:rsidRDefault="00B56839">
      <w:pPr>
        <w:numPr>
          <w:ilvl w:val="0"/>
          <w:numId w:val="5"/>
        </w:numPr>
        <w:spacing w:before="60" w:after="60"/>
        <w:ind w:left="360"/>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VKM Nr. 149, datë 13.3.2018 “Për kriteret, dokumentacionin dhe procedurat për evidentimin e familjes kujdestare për fëmijët pa kujdes prindëror dhe masës së financimit për shpenzimet e fëmijës së vendosur në familje kujdestare”;</w:t>
      </w:r>
    </w:p>
    <w:p w14:paraId="1360B3BB" w14:textId="77777777" w:rsidR="005F2AC9" w:rsidRDefault="00B56839">
      <w:pPr>
        <w:numPr>
          <w:ilvl w:val="0"/>
          <w:numId w:val="5"/>
        </w:numPr>
        <w:spacing w:before="60" w:after="60"/>
        <w:ind w:left="360"/>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VKM 136/2018 “Për funksionimin dhe administrimin e regjistrit elektronik kombëtar të shërbimeve të kujdesit shoqëror”;</w:t>
      </w:r>
    </w:p>
    <w:p w14:paraId="7FDBD383" w14:textId="77777777" w:rsidR="005F2AC9" w:rsidRDefault="00B56839">
      <w:pPr>
        <w:numPr>
          <w:ilvl w:val="0"/>
          <w:numId w:val="5"/>
        </w:numPr>
        <w:spacing w:before="60" w:after="60"/>
        <w:ind w:left="360"/>
        <w:jc w:val="both"/>
        <w:rPr>
          <w:rFonts w:ascii="Times New Roman" w:hAnsi="Times New Roman" w:cs="Times New Roman"/>
          <w:color w:val="000000" w:themeColor="text1"/>
          <w:sz w:val="24"/>
        </w:rPr>
      </w:pPr>
      <w:r>
        <w:rPr>
          <w:rFonts w:ascii="Times New Roman" w:hAnsi="Times New Roman" w:cs="Times New Roman"/>
          <w:color w:val="000000" w:themeColor="text1"/>
          <w:sz w:val="24"/>
        </w:rPr>
        <w:t>VKM Nr. 135, datë 7.3.2018 “Për miratimin e statutit të shërbimit social shtetëror”;</w:t>
      </w:r>
    </w:p>
    <w:p w14:paraId="2F4E4CD7" w14:textId="77777777" w:rsidR="005F2AC9" w:rsidRDefault="00B56839">
      <w:pPr>
        <w:numPr>
          <w:ilvl w:val="0"/>
          <w:numId w:val="5"/>
        </w:numPr>
        <w:spacing w:before="60" w:after="60"/>
        <w:ind w:left="36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VKM Nr. 848, datë 28.10.2020 “Për standardet, kriteret e procedurat e akreditimit të aktiviteteve të edukimit të vazhdueshëm të profesionistëve të shërbimeve të kujdesit shoqëror, si dhe të ofruesve të tyre”; </w:t>
      </w:r>
    </w:p>
    <w:p w14:paraId="69E69E82" w14:textId="77777777" w:rsidR="005F2AC9" w:rsidRDefault="00B56839">
      <w:pPr>
        <w:numPr>
          <w:ilvl w:val="0"/>
          <w:numId w:val="5"/>
        </w:numPr>
        <w:spacing w:before="60" w:after="60"/>
        <w:ind w:left="360"/>
        <w:jc w:val="both"/>
        <w:rPr>
          <w:rFonts w:ascii="Times New Roman" w:hAnsi="Times New Roman" w:cs="Times New Roman"/>
          <w:color w:val="000000" w:themeColor="text1"/>
          <w:sz w:val="24"/>
        </w:rPr>
      </w:pPr>
      <w:r>
        <w:rPr>
          <w:rFonts w:ascii="Times New Roman" w:hAnsi="Times New Roman" w:cs="Times New Roman"/>
          <w:color w:val="000000" w:themeColor="text1"/>
          <w:sz w:val="24"/>
        </w:rPr>
        <w:t>VKM Nr. 624, datë 29.07.2020 “Për kriteret dhe procedurën e programit të certifikimit të profesionistëve të shërbimeve të kujdesit shoqëror”;</w:t>
      </w:r>
    </w:p>
    <w:p w14:paraId="4F5BC93A" w14:textId="3361A688" w:rsidR="005F2AC9" w:rsidRDefault="00B56839">
      <w:pPr>
        <w:numPr>
          <w:ilvl w:val="0"/>
          <w:numId w:val="5"/>
        </w:numPr>
        <w:spacing w:before="60" w:after="60"/>
        <w:ind w:left="360"/>
        <w:jc w:val="both"/>
        <w:rPr>
          <w:rFonts w:ascii="Times New Roman" w:hAnsi="Times New Roman" w:cs="Times New Roman"/>
          <w:color w:val="000000" w:themeColor="text1"/>
          <w:sz w:val="24"/>
        </w:rPr>
      </w:pPr>
      <w:r>
        <w:rPr>
          <w:rFonts w:ascii="Times New Roman" w:hAnsi="Times New Roman" w:cs="Times New Roman"/>
          <w:color w:val="000000" w:themeColor="text1"/>
          <w:sz w:val="24"/>
        </w:rPr>
        <w:t>VKM nr. 111 datë 23 shkurt 2018 “Për krijimin dhe funksionimin e Fondit Social</w:t>
      </w:r>
      <w:r w:rsidR="00C32943">
        <w:rPr>
          <w:rFonts w:ascii="Times New Roman" w:hAnsi="Times New Roman" w:cs="Times New Roman"/>
          <w:color w:val="000000" w:themeColor="text1"/>
          <w:sz w:val="24"/>
        </w:rPr>
        <w:t>”</w:t>
      </w:r>
      <w:r>
        <w:rPr>
          <w:rFonts w:ascii="Times New Roman" w:hAnsi="Times New Roman" w:cs="Times New Roman"/>
          <w:color w:val="000000" w:themeColor="text1"/>
          <w:sz w:val="24"/>
        </w:rPr>
        <w:t xml:space="preserve">, </w:t>
      </w:r>
      <w:r w:rsidR="00C32943">
        <w:rPr>
          <w:rFonts w:ascii="Times New Roman" w:hAnsi="Times New Roman" w:cs="Times New Roman"/>
          <w:color w:val="000000" w:themeColor="text1"/>
          <w:sz w:val="24"/>
        </w:rPr>
        <w:t xml:space="preserve">I </w:t>
      </w:r>
      <w:r>
        <w:rPr>
          <w:rFonts w:ascii="Times New Roman" w:hAnsi="Times New Roman" w:cs="Times New Roman"/>
          <w:color w:val="000000" w:themeColor="text1"/>
          <w:sz w:val="24"/>
        </w:rPr>
        <w:t>ndryshuar me VKM 613/2024</w:t>
      </w:r>
    </w:p>
    <w:p w14:paraId="0F439469" w14:textId="77777777" w:rsidR="005F2AC9" w:rsidRDefault="00B56839">
      <w:pPr>
        <w:numPr>
          <w:ilvl w:val="0"/>
          <w:numId w:val="5"/>
        </w:numPr>
        <w:spacing w:before="60" w:after="60"/>
        <w:ind w:left="360"/>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 xml:space="preserve">VKM Nr. 224/2024 “Për metodologjinë e llogaritjes së fondeve për financimin e shërbimeve të kujdesit shoqëror.”  </w:t>
      </w:r>
    </w:p>
    <w:p w14:paraId="2EA1278F" w14:textId="77777777" w:rsidR="005F2AC9" w:rsidRDefault="005F2AC9">
      <w:pPr>
        <w:sectPr w:rsidR="005F2AC9">
          <w:headerReference w:type="even" r:id="rId15"/>
          <w:headerReference w:type="default" r:id="rId16"/>
          <w:footerReference w:type="even" r:id="rId17"/>
          <w:footerReference w:type="default" r:id="rId18"/>
          <w:headerReference w:type="first" r:id="rId19"/>
          <w:footerReference w:type="first" r:id="rId20"/>
          <w:pgSz w:w="12240" w:h="15840"/>
          <w:pgMar w:top="900" w:right="1170" w:bottom="1440" w:left="1440" w:header="720" w:footer="720" w:gutter="0"/>
          <w:cols w:space="720"/>
          <w:formProt w:val="0"/>
          <w:docGrid w:linePitch="312" w:charSpace="2047"/>
        </w:sectPr>
      </w:pPr>
    </w:p>
    <w:p w14:paraId="77776141" w14:textId="77777777" w:rsidR="005F2AC9" w:rsidRDefault="005F2AC9">
      <w:pPr>
        <w:pStyle w:val="AAAAATEXT"/>
        <w:spacing w:line="276" w:lineRule="auto"/>
        <w:ind w:left="540" w:firstLine="0"/>
        <w:jc w:val="both"/>
        <w:rPr>
          <w:rFonts w:ascii="Times New Roman" w:hAnsi="Times New Roman"/>
          <w:i/>
          <w:color w:val="000000" w:themeColor="text1"/>
          <w:lang w:val="fr-FR"/>
        </w:rPr>
      </w:pPr>
    </w:p>
    <w:p w14:paraId="5F320717" w14:textId="77777777" w:rsidR="00A50E95" w:rsidRDefault="00A50E95">
      <w:pPr>
        <w:spacing w:after="0"/>
        <w:jc w:val="both"/>
        <w:rPr>
          <w:rFonts w:ascii="Times New Roman" w:hAnsi="Times New Roman"/>
          <w:b/>
          <w:bCs/>
          <w:color w:val="000000" w:themeColor="text1"/>
          <w:sz w:val="24"/>
          <w:szCs w:val="24"/>
          <w:lang w:val="pt-BR"/>
        </w:rPr>
      </w:pPr>
    </w:p>
    <w:p w14:paraId="1D46E56F" w14:textId="77777777" w:rsidR="00A50E95" w:rsidRDefault="00A50E95">
      <w:pPr>
        <w:spacing w:after="0"/>
        <w:jc w:val="both"/>
        <w:rPr>
          <w:rFonts w:ascii="Times New Roman" w:hAnsi="Times New Roman"/>
          <w:b/>
          <w:bCs/>
          <w:color w:val="000000" w:themeColor="text1"/>
          <w:sz w:val="24"/>
          <w:szCs w:val="24"/>
          <w:lang w:val="pt-BR"/>
        </w:rPr>
      </w:pPr>
    </w:p>
    <w:p w14:paraId="43DC9244" w14:textId="77777777" w:rsidR="00A50E95" w:rsidRDefault="00A50E95">
      <w:pPr>
        <w:spacing w:after="0"/>
        <w:jc w:val="both"/>
        <w:rPr>
          <w:rFonts w:ascii="Times New Roman" w:hAnsi="Times New Roman"/>
          <w:b/>
          <w:bCs/>
          <w:color w:val="000000" w:themeColor="text1"/>
          <w:sz w:val="24"/>
          <w:szCs w:val="24"/>
          <w:lang w:val="pt-BR"/>
        </w:rPr>
      </w:pPr>
    </w:p>
    <w:p w14:paraId="7FE4045B" w14:textId="77777777" w:rsidR="00A50E95" w:rsidRDefault="00A50E95">
      <w:pPr>
        <w:spacing w:after="0"/>
        <w:jc w:val="both"/>
        <w:rPr>
          <w:rFonts w:ascii="Times New Roman" w:hAnsi="Times New Roman"/>
          <w:b/>
          <w:bCs/>
          <w:color w:val="000000" w:themeColor="text1"/>
          <w:sz w:val="24"/>
          <w:szCs w:val="24"/>
          <w:lang w:val="pt-BR"/>
        </w:rPr>
      </w:pPr>
    </w:p>
    <w:p w14:paraId="6988061A" w14:textId="77777777" w:rsidR="00A50E95" w:rsidRDefault="00A50E95">
      <w:pPr>
        <w:spacing w:after="0"/>
        <w:jc w:val="both"/>
        <w:rPr>
          <w:rFonts w:ascii="Times New Roman" w:hAnsi="Times New Roman"/>
          <w:b/>
          <w:bCs/>
          <w:color w:val="000000" w:themeColor="text1"/>
          <w:sz w:val="24"/>
          <w:szCs w:val="24"/>
          <w:lang w:val="pt-BR"/>
        </w:rPr>
      </w:pPr>
    </w:p>
    <w:p w14:paraId="77E30E0D" w14:textId="77777777" w:rsidR="000D3687" w:rsidRDefault="000D3687">
      <w:pPr>
        <w:spacing w:after="0"/>
        <w:jc w:val="both"/>
        <w:rPr>
          <w:rFonts w:ascii="Times New Roman" w:hAnsi="Times New Roman"/>
          <w:b/>
          <w:bCs/>
          <w:color w:val="000000" w:themeColor="text1"/>
          <w:sz w:val="24"/>
          <w:szCs w:val="24"/>
          <w:lang w:val="pt-BR"/>
        </w:rPr>
      </w:pPr>
    </w:p>
    <w:p w14:paraId="39DADF51" w14:textId="77777777" w:rsidR="005F2AC9" w:rsidRDefault="00B56839">
      <w:pPr>
        <w:spacing w:after="0"/>
        <w:jc w:val="both"/>
        <w:rPr>
          <w:rFonts w:ascii="Times New Roman" w:hAnsi="Times New Roman"/>
          <w:color w:val="000000" w:themeColor="text1"/>
          <w:sz w:val="24"/>
          <w:szCs w:val="24"/>
          <w:lang w:val="pt-BR"/>
        </w:rPr>
      </w:pPr>
      <w:r>
        <w:rPr>
          <w:rFonts w:ascii="Times New Roman" w:hAnsi="Times New Roman"/>
          <w:b/>
          <w:bCs/>
          <w:color w:val="000000" w:themeColor="text1"/>
          <w:sz w:val="24"/>
          <w:szCs w:val="24"/>
          <w:lang w:val="pt-BR"/>
        </w:rPr>
        <w:t>INSTITUCIONET PËRGJEGJËSE</w:t>
      </w:r>
      <w:r>
        <w:rPr>
          <w:rFonts w:ascii="Times New Roman" w:hAnsi="Times New Roman"/>
          <w:color w:val="000000" w:themeColor="text1"/>
          <w:sz w:val="24"/>
          <w:szCs w:val="24"/>
          <w:lang w:val="pt-BR"/>
        </w:rPr>
        <w:t xml:space="preserve"> </w:t>
      </w:r>
    </w:p>
    <w:p w14:paraId="1CB60510" w14:textId="77777777" w:rsidR="005F2AC9" w:rsidRDefault="00B56839">
      <w:pPr>
        <w:jc w:val="both"/>
        <w:rPr>
          <w:rFonts w:ascii="Times New Roman" w:hAnsi="Times New Roman" w:cs="Times New Roman"/>
          <w:color w:val="000000" w:themeColor="text1"/>
          <w:sz w:val="24"/>
          <w:szCs w:val="24"/>
          <w:lang w:val="sq-AL"/>
        </w:rPr>
      </w:pPr>
      <w:r>
        <w:rPr>
          <w:rFonts w:ascii="Times New Roman" w:hAnsi="Times New Roman" w:cs="Times New Roman"/>
          <w:b/>
          <w:bCs/>
          <w:color w:val="000000" w:themeColor="text1"/>
          <w:sz w:val="24"/>
          <w:szCs w:val="24"/>
          <w:lang w:val="sq-AL"/>
        </w:rPr>
        <w:t>Ministria e Shëndetësisë dhe Mirëqenies Sociale</w:t>
      </w:r>
      <w:r>
        <w:rPr>
          <w:rFonts w:ascii="Times New Roman" w:hAnsi="Times New Roman" w:cs="Times New Roman"/>
          <w:color w:val="000000" w:themeColor="text1"/>
          <w:sz w:val="24"/>
          <w:szCs w:val="24"/>
          <w:lang w:val="sq-AL"/>
        </w:rPr>
        <w:t xml:space="preserve"> është institucioni kryesor, përgjegjës për hartimin dhe monitorimin e zbatimit të politikave të mbrojtjes, kujdesit dhe integrimit të individëve dhe grupeve në nevojë. </w:t>
      </w:r>
    </w:p>
    <w:p w14:paraId="0DECFA1A" w14:textId="21E752B9" w:rsidR="005F2AC9" w:rsidRDefault="00B56839">
      <w:pPr>
        <w:jc w:val="both"/>
        <w:rPr>
          <w:rFonts w:ascii="Times New Roman" w:hAnsi="Times New Roman" w:cs="Times New Roman"/>
          <w:color w:val="000000" w:themeColor="text1"/>
          <w:sz w:val="24"/>
          <w:lang w:val="sq-AL"/>
        </w:rPr>
      </w:pPr>
      <w:r>
        <w:rPr>
          <w:rFonts w:ascii="Times New Roman" w:hAnsi="Times New Roman" w:cs="Times New Roman"/>
          <w:b/>
          <w:color w:val="000000" w:themeColor="text1"/>
          <w:sz w:val="24"/>
          <w:lang w:val="sq-AL"/>
        </w:rPr>
        <w:t xml:space="preserve">Shërbimi Social Shtetëror </w:t>
      </w:r>
      <w:r>
        <w:rPr>
          <w:rFonts w:ascii="Times New Roman" w:hAnsi="Times New Roman" w:cs="Times New Roman"/>
          <w:color w:val="000000" w:themeColor="text1"/>
          <w:sz w:val="24"/>
          <w:lang w:val="sq-AL"/>
        </w:rPr>
        <w:t xml:space="preserve">është institucion në varësi të Ministrisë së Shëndetësisë dhe </w:t>
      </w:r>
      <w:r w:rsidR="00BA4B59">
        <w:rPr>
          <w:rFonts w:ascii="Times New Roman" w:hAnsi="Times New Roman" w:cs="Times New Roman"/>
          <w:color w:val="000000" w:themeColor="text1"/>
          <w:sz w:val="24"/>
          <w:lang w:val="sq-AL"/>
        </w:rPr>
        <w:t>Mirëqenies</w:t>
      </w:r>
      <w:r>
        <w:rPr>
          <w:rFonts w:ascii="Times New Roman" w:hAnsi="Times New Roman" w:cs="Times New Roman"/>
          <w:color w:val="000000" w:themeColor="text1"/>
          <w:sz w:val="24"/>
          <w:lang w:val="sq-AL"/>
        </w:rPr>
        <w:t xml:space="preserve"> Sociale, përgjegjës për zbatimin e politikave të ministrisë përgjegjëse për çështjet e ndihmës ekonomike, të aftësisë së kufizuar dhe të shërbimeve të kujdesit shoqëror. </w:t>
      </w:r>
    </w:p>
    <w:p w14:paraId="57436F44" w14:textId="77777777" w:rsidR="005F2AC9" w:rsidRDefault="00B56839">
      <w:pPr>
        <w:jc w:val="both"/>
        <w:rPr>
          <w:rFonts w:ascii="Times New Roman" w:hAnsi="Times New Roman" w:cs="Times New Roman"/>
          <w:color w:val="000000" w:themeColor="text1"/>
          <w:sz w:val="24"/>
          <w:lang w:val="sq-AL"/>
        </w:rPr>
      </w:pPr>
      <w:r>
        <w:rPr>
          <w:rFonts w:ascii="Times New Roman" w:hAnsi="Times New Roman" w:cs="Times New Roman"/>
          <w:b/>
          <w:color w:val="000000" w:themeColor="text1"/>
          <w:sz w:val="24"/>
          <w:lang w:val="sq-AL"/>
        </w:rPr>
        <w:t xml:space="preserve">Agjencia Shtetërore për të Drejtat dhe Mbrojtjen e Fëmijëve </w:t>
      </w:r>
      <w:r>
        <w:rPr>
          <w:rFonts w:ascii="Times New Roman" w:hAnsi="Times New Roman" w:cs="Times New Roman"/>
          <w:color w:val="000000" w:themeColor="text1"/>
          <w:sz w:val="24"/>
          <w:lang w:val="sq-AL"/>
        </w:rPr>
        <w:t>është institucioni përgjegjës për koordinimin dhe organizimin e sistemit të integruar të mbrojtjes së fëmijës, në zbatim të politikave kombëtare për mbrojtjen e fëmijës, duke përfshirë zbatimin e ndërhyrjeve dhe marrjen e masave për parandalimin dhe mbrojtjen e fëmijës nga abuzimi, neglizhimi, keqtrajtimi dhe dhuna.</w:t>
      </w:r>
    </w:p>
    <w:p w14:paraId="511069E8" w14:textId="3A9501D3" w:rsidR="005F2AC9" w:rsidRPr="00A50E95" w:rsidRDefault="00B56839" w:rsidP="00A50E95">
      <w:pPr>
        <w:shd w:val="clear" w:color="auto" w:fill="FFFFFF" w:themeFill="background1"/>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lang w:val="sq-AL"/>
        </w:rPr>
        <w:t>Njësitë e Qeverisjes Vendore</w:t>
      </w:r>
      <w:r w:rsidR="00A50E95">
        <w:rPr>
          <w:rFonts w:ascii="Times New Roman" w:hAnsi="Times New Roman" w:cs="Times New Roman"/>
          <w:b/>
          <w:bCs/>
          <w:color w:val="000000" w:themeColor="text1"/>
          <w:sz w:val="24"/>
          <w:szCs w:val="24"/>
          <w:lang w:val="sq-AL"/>
        </w:rPr>
        <w:t>,</w:t>
      </w:r>
      <w:r>
        <w:rPr>
          <w:rFonts w:ascii="Times New Roman" w:hAnsi="Times New Roman" w:cs="Times New Roman"/>
          <w:color w:val="000000" w:themeColor="text1"/>
          <w:sz w:val="24"/>
          <w:szCs w:val="24"/>
          <w:lang w:val="sq-AL"/>
        </w:rPr>
        <w:t xml:space="preserve"> </w:t>
      </w:r>
      <w:r w:rsidR="00A50E95" w:rsidRPr="00A50E95">
        <w:rPr>
          <w:rFonts w:ascii="Times New Roman" w:hAnsi="Times New Roman" w:cs="Times New Roman"/>
          <w:color w:val="000000" w:themeColor="text1"/>
          <w:sz w:val="24"/>
          <w:szCs w:val="24"/>
        </w:rPr>
        <w:t>në bazë të ligjit nr. 115/2014 “Për ndarjen administrativo-territoriale” dhe ligjit nr. 139/2015 “Për vetëqeverisjen vendore”, kanë përgjegjësinë për sigurimin dhe funksionimin e shërbimeve sociale në nivel lokal për kategoritë në nevojë, përfshirë të moshuarit. Kjo përfshin krijimin dhe administrimin e shërbimeve sociale komunitare, ndërtimin dhe menaxhimin e qendrave të shërbimeve sociale vendore, si dhe bashkëpunimin me ministrinë përgjegjëse për çështjet sociale për financimin e tyre përmes Fondit Social. Në nivel vendor, drejtoritë e shërbimeve sociale, së bashku me strukturat e specializuara si Njësitë e Vlerësimit dhe Referimit të Nevojave (NjVRN), Njësitë e Mbrojtjes së Fëmijëve (NJMF) dhe koordinatorët për dhunën në familje, janë përgjegjëse për planifikimin, administrimin dhe zhvillimin e shërbimeve sociale, duke përshtatur tipologjitë e shërbimeve sipas nevojave të komunitetit.</w:t>
      </w:r>
    </w:p>
    <w:p w14:paraId="7DBBB9D3" w14:textId="77777777" w:rsidR="005F2AC9" w:rsidRDefault="00B56839">
      <w:pPr>
        <w:spacing w:after="0"/>
        <w:jc w:val="both"/>
        <w:rPr>
          <w:rFonts w:ascii="Times New Roman" w:hAnsi="Times New Roman" w:cs="Times New Roman"/>
          <w:color w:val="000000" w:themeColor="text1"/>
          <w:sz w:val="24"/>
          <w:lang w:val="pt-BR"/>
        </w:rPr>
      </w:pPr>
      <w:r>
        <w:rPr>
          <w:rFonts w:ascii="Times New Roman" w:hAnsi="Times New Roman" w:cs="Times New Roman"/>
          <w:b/>
          <w:bCs/>
          <w:color w:val="000000" w:themeColor="text1"/>
          <w:sz w:val="24"/>
          <w:lang w:val="pt-BR"/>
        </w:rPr>
        <w:t xml:space="preserve">Inspektoriati i Punës dhe Shërbimeve Shoqërore, </w:t>
      </w:r>
      <w:r>
        <w:rPr>
          <w:rFonts w:ascii="Times New Roman" w:hAnsi="Times New Roman" w:cs="Times New Roman"/>
          <w:color w:val="000000" w:themeColor="text1"/>
          <w:sz w:val="24"/>
          <w:lang w:val="pt-BR"/>
        </w:rPr>
        <w:t xml:space="preserve">është institucion në varësi të Ministrisë së Ekonomisë dhe Inovacionit, përgjegjëse për kontrollin dhe verifikimin e zbatimit të standarteve të shërbimeve të kujdesit shoqëror në përputhje me standartet dhe kërkesat e ligjit “Për Shërbimet Shoqërore në Republikën e Shqipërisë”. </w:t>
      </w:r>
    </w:p>
    <w:p w14:paraId="25D4DDF9" w14:textId="19321E2B" w:rsidR="005F2AC9" w:rsidRDefault="00B56839">
      <w:pPr>
        <w:spacing w:after="0"/>
        <w:jc w:val="both"/>
        <w:rPr>
          <w:rFonts w:ascii="Times New Roman" w:hAnsi="Times New Roman" w:cs="Times New Roman"/>
          <w:color w:val="000000" w:themeColor="text1"/>
          <w:sz w:val="24"/>
          <w:lang w:val="pt-BR"/>
        </w:rPr>
      </w:pPr>
      <w:r>
        <w:rPr>
          <w:rFonts w:ascii="Times New Roman" w:hAnsi="Times New Roman" w:cs="Times New Roman"/>
          <w:b/>
          <w:bCs/>
          <w:color w:val="000000" w:themeColor="text1"/>
          <w:sz w:val="24"/>
          <w:lang w:val="pt-BR"/>
        </w:rPr>
        <w:lastRenderedPageBreak/>
        <w:t>Agjensia e Sigurimit të Cilësisë së Kujdesit Shëndetësor dhe Shoqëror,</w:t>
      </w:r>
      <w:r>
        <w:rPr>
          <w:rStyle w:val="FootnoteReference"/>
          <w:rFonts w:ascii="Times New Roman" w:hAnsi="Times New Roman" w:cs="Times New Roman"/>
          <w:b/>
          <w:bCs/>
          <w:color w:val="000000" w:themeColor="text1"/>
          <w:sz w:val="24"/>
          <w:lang w:val="pt-BR"/>
        </w:rPr>
        <w:footnoteReference w:id="13"/>
      </w:r>
      <w:r>
        <w:rPr>
          <w:rFonts w:ascii="Times New Roman" w:hAnsi="Times New Roman" w:cs="Times New Roman"/>
          <w:color w:val="000000" w:themeColor="text1"/>
          <w:sz w:val="24"/>
          <w:lang w:val="pt-BR"/>
        </w:rPr>
        <w:t xml:space="preserve"> është agjensi në varësi të Ministrisë së Shëndetësisë dhe M</w:t>
      </w:r>
      <w:r w:rsidR="006F193A">
        <w:rPr>
          <w:rFonts w:ascii="Times New Roman" w:hAnsi="Times New Roman" w:cs="Times New Roman"/>
          <w:color w:val="000000" w:themeColor="text1"/>
          <w:sz w:val="24"/>
          <w:lang w:val="pt-BR"/>
        </w:rPr>
        <w:t>irëqenies</w:t>
      </w:r>
      <w:r>
        <w:rPr>
          <w:rFonts w:ascii="Times New Roman" w:hAnsi="Times New Roman" w:cs="Times New Roman"/>
          <w:color w:val="000000" w:themeColor="text1"/>
          <w:sz w:val="24"/>
          <w:lang w:val="pt-BR"/>
        </w:rPr>
        <w:t xml:space="preserve"> Sociale e ngarkuar për garantimin  e cilësisë së shërbimeve shëndetësore dhe shoqërore bazuar në standarte, nëpërmjet edukimit, certifikimit, akreditimit  dhe kontrollit të sigurisë së shërbimeve për strukturat dhe profesionistët . </w:t>
      </w:r>
    </w:p>
    <w:p w14:paraId="725458EB" w14:textId="77777777" w:rsidR="005F2AC9" w:rsidRDefault="00B56839">
      <w:pPr>
        <w:jc w:val="both"/>
        <w:rPr>
          <w:rFonts w:ascii="Times New Roman" w:hAnsi="Times New Roman" w:cs="Times New Roman"/>
          <w:color w:val="000000" w:themeColor="text1"/>
          <w:sz w:val="24"/>
          <w:lang w:val="sq-AL"/>
        </w:rPr>
      </w:pPr>
      <w:r>
        <w:rPr>
          <w:rFonts w:ascii="Times New Roman" w:hAnsi="Times New Roman" w:cs="Times New Roman"/>
          <w:b/>
          <w:bCs/>
          <w:color w:val="000000" w:themeColor="text1"/>
          <w:sz w:val="24"/>
          <w:lang w:val="sq-AL"/>
        </w:rPr>
        <w:t>Urdhëri i Punonjësve Social</w:t>
      </w:r>
      <w:r>
        <w:rPr>
          <w:rFonts w:ascii="Times New Roman" w:hAnsi="Times New Roman" w:cs="Times New Roman"/>
          <w:color w:val="000000" w:themeColor="text1"/>
          <w:sz w:val="24"/>
          <w:lang w:val="sq-AL"/>
        </w:rPr>
        <w:t xml:space="preserve"> dhe Urdhëri i Psikologut - ente publike jobuxhetore të pavarura, të ngritura respektivisht me Ligjin </w:t>
      </w:r>
      <w:r>
        <w:rPr>
          <w:rFonts w:ascii="Times New Roman" w:hAnsi="Times New Roman" w:cs="Times New Roman"/>
          <w:color w:val="000000" w:themeColor="text1"/>
          <w:sz w:val="24"/>
          <w:lang w:val="pt-BR"/>
        </w:rPr>
        <w:t xml:space="preserve">164/2014, i ndryshuar “Për Urdhrin e PS në RSH” dhe </w:t>
      </w:r>
      <w:r>
        <w:rPr>
          <w:rFonts w:ascii="Times New Roman" w:hAnsi="Times New Roman" w:cs="Times New Roman"/>
          <w:color w:val="000000" w:themeColor="text1"/>
          <w:sz w:val="24"/>
          <w:lang w:val="sq-AL"/>
        </w:rPr>
        <w:t xml:space="preserve">Ligjin Nr.40/2016 “Për Urdhrin e Psikologut në RSH”, ngushtësisht të lidhura me garantimin dhe ruajtjen në vazhdimësi të standardeve dhe praktikave të mira të ushtrimit të profesionit në fushën e punës sociale dhe të psikologut, si dhe mbrojtjen e publikut nga veprimet joprofesionale dhe joetike të punonjësve socialë dhe psikologëve. </w:t>
      </w:r>
    </w:p>
    <w:p w14:paraId="28E429CE" w14:textId="766F484E" w:rsidR="005F2AC9" w:rsidRDefault="00B56839">
      <w:pPr>
        <w:spacing w:after="0"/>
        <w:rPr>
          <w:rFonts w:ascii="Times New Roman" w:hAnsi="Times New Roman" w:cs="Times New Roman"/>
          <w:color w:val="000000" w:themeColor="text1"/>
          <w:sz w:val="24"/>
          <w:lang w:val="pt-BR"/>
        </w:rPr>
      </w:pPr>
      <w:r>
        <w:rPr>
          <w:rFonts w:ascii="Times New Roman" w:hAnsi="Times New Roman" w:cs="Times New Roman"/>
          <w:b/>
          <w:bCs/>
          <w:color w:val="000000" w:themeColor="text1"/>
          <w:sz w:val="24"/>
          <w:lang w:val="pt-BR"/>
        </w:rPr>
        <w:t>Institucionet Publike Partnerë</w:t>
      </w:r>
      <w:r>
        <w:rPr>
          <w:rFonts w:ascii="Times New Roman" w:hAnsi="Times New Roman" w:cs="Times New Roman"/>
          <w:color w:val="000000" w:themeColor="text1"/>
          <w:sz w:val="24"/>
          <w:lang w:val="pt-BR"/>
        </w:rPr>
        <w:t xml:space="preserve"> në zbatimin e </w:t>
      </w:r>
      <w:r w:rsidR="006F193A">
        <w:rPr>
          <w:rFonts w:ascii="Times New Roman" w:hAnsi="Times New Roman" w:cs="Times New Roman"/>
          <w:color w:val="000000" w:themeColor="text1"/>
          <w:sz w:val="24"/>
          <w:lang w:val="pt-BR"/>
        </w:rPr>
        <w:t>S</w:t>
      </w:r>
      <w:r>
        <w:rPr>
          <w:rFonts w:ascii="Times New Roman" w:hAnsi="Times New Roman" w:cs="Times New Roman"/>
          <w:color w:val="000000" w:themeColor="text1"/>
          <w:sz w:val="24"/>
          <w:lang w:val="pt-BR"/>
        </w:rPr>
        <w:t xml:space="preserve">trategjisë së Mbrojtjes Sociale 2024-2030 janë: </w:t>
      </w:r>
    </w:p>
    <w:p w14:paraId="5424962E" w14:textId="77777777" w:rsidR="005F2AC9" w:rsidRDefault="00B56839">
      <w:pPr>
        <w:pStyle w:val="ListParagraph"/>
        <w:numPr>
          <w:ilvl w:val="0"/>
          <w:numId w:val="6"/>
        </w:numPr>
        <w:spacing w:after="0"/>
        <w:jc w:val="both"/>
        <w:rPr>
          <w:rFonts w:ascii="Times New Roman" w:hAnsi="Times New Roman" w:cs="Times New Roman"/>
          <w:color w:val="000000" w:themeColor="text1"/>
          <w:sz w:val="24"/>
          <w:lang w:val="pt-BR"/>
        </w:rPr>
      </w:pPr>
      <w:r>
        <w:rPr>
          <w:rFonts w:ascii="Times New Roman" w:hAnsi="Times New Roman" w:cs="Times New Roman"/>
          <w:color w:val="000000" w:themeColor="text1"/>
          <w:sz w:val="24"/>
          <w:lang w:val="pt-BR"/>
        </w:rPr>
        <w:t xml:space="preserve">Ministria e Financave </w:t>
      </w:r>
    </w:p>
    <w:p w14:paraId="1AA25474" w14:textId="77777777" w:rsidR="005F2AC9" w:rsidRDefault="00B56839">
      <w:pPr>
        <w:pStyle w:val="ListParagraph"/>
        <w:numPr>
          <w:ilvl w:val="0"/>
          <w:numId w:val="6"/>
        </w:numPr>
        <w:spacing w:after="0"/>
        <w:jc w:val="both"/>
        <w:rPr>
          <w:rFonts w:ascii="Times New Roman" w:hAnsi="Times New Roman" w:cs="Times New Roman"/>
          <w:color w:val="000000" w:themeColor="text1"/>
          <w:sz w:val="24"/>
          <w:lang w:val="pt-BR"/>
        </w:rPr>
      </w:pPr>
      <w:r>
        <w:rPr>
          <w:rFonts w:ascii="Times New Roman" w:hAnsi="Times New Roman" w:cs="Times New Roman"/>
          <w:color w:val="000000" w:themeColor="text1"/>
          <w:sz w:val="24"/>
          <w:lang w:val="pt-BR"/>
        </w:rPr>
        <w:t>Ministria e Arsimit dhe Sportit</w:t>
      </w:r>
    </w:p>
    <w:p w14:paraId="608EB5A3" w14:textId="77777777" w:rsidR="005F2AC9" w:rsidRDefault="00B56839">
      <w:pPr>
        <w:pStyle w:val="ListParagraph"/>
        <w:numPr>
          <w:ilvl w:val="0"/>
          <w:numId w:val="6"/>
        </w:numPr>
        <w:spacing w:after="0"/>
        <w:jc w:val="both"/>
        <w:rPr>
          <w:rFonts w:ascii="Times New Roman" w:hAnsi="Times New Roman" w:cs="Times New Roman"/>
          <w:color w:val="000000" w:themeColor="text1"/>
          <w:sz w:val="24"/>
          <w:lang w:val="pt-BR"/>
        </w:rPr>
      </w:pPr>
      <w:r>
        <w:rPr>
          <w:rFonts w:ascii="Times New Roman" w:hAnsi="Times New Roman" w:cs="Times New Roman"/>
          <w:color w:val="000000" w:themeColor="text1"/>
          <w:sz w:val="24"/>
          <w:lang w:val="pt-BR"/>
        </w:rPr>
        <w:t>Ministria e Brendshme</w:t>
      </w:r>
    </w:p>
    <w:p w14:paraId="5DDB23B3" w14:textId="77777777" w:rsidR="005F2AC9" w:rsidRDefault="00B56839">
      <w:pPr>
        <w:pStyle w:val="ListParagraph"/>
        <w:numPr>
          <w:ilvl w:val="0"/>
          <w:numId w:val="6"/>
        </w:numPr>
        <w:spacing w:after="0"/>
        <w:jc w:val="both"/>
        <w:rPr>
          <w:rFonts w:ascii="Times New Roman" w:hAnsi="Times New Roman" w:cs="Times New Roman"/>
          <w:color w:val="000000" w:themeColor="text1"/>
          <w:sz w:val="24"/>
          <w:lang w:val="pt-BR"/>
        </w:rPr>
      </w:pPr>
      <w:r>
        <w:rPr>
          <w:rFonts w:ascii="Times New Roman" w:hAnsi="Times New Roman" w:cs="Times New Roman"/>
          <w:color w:val="000000" w:themeColor="text1"/>
          <w:sz w:val="24"/>
          <w:lang w:val="pt-BR"/>
        </w:rPr>
        <w:t xml:space="preserve">Ministria e Drejtësisë </w:t>
      </w:r>
    </w:p>
    <w:p w14:paraId="3AF5830A" w14:textId="77777777" w:rsidR="005F2AC9" w:rsidRDefault="00B56839">
      <w:pPr>
        <w:pStyle w:val="ListParagraph"/>
        <w:numPr>
          <w:ilvl w:val="0"/>
          <w:numId w:val="6"/>
        </w:numPr>
        <w:spacing w:after="0"/>
        <w:jc w:val="both"/>
        <w:rPr>
          <w:rFonts w:ascii="Times New Roman" w:hAnsi="Times New Roman" w:cs="Times New Roman"/>
          <w:color w:val="000000" w:themeColor="text1"/>
          <w:sz w:val="24"/>
          <w:lang w:val="pt-BR"/>
        </w:rPr>
      </w:pPr>
      <w:r>
        <w:rPr>
          <w:rFonts w:ascii="Times New Roman" w:hAnsi="Times New Roman" w:cs="Times New Roman"/>
          <w:color w:val="000000" w:themeColor="text1"/>
          <w:sz w:val="24"/>
          <w:lang w:val="pt-BR"/>
        </w:rPr>
        <w:t>Agjensia Kombëtare e Punësimit dhe Aftësimit Profesional ( AKPA)</w:t>
      </w:r>
    </w:p>
    <w:p w14:paraId="77B0D785" w14:textId="77777777" w:rsidR="005F2AC9" w:rsidRDefault="00B56839">
      <w:pPr>
        <w:pStyle w:val="ListParagraph"/>
        <w:numPr>
          <w:ilvl w:val="0"/>
          <w:numId w:val="6"/>
        </w:numPr>
        <w:spacing w:after="0"/>
        <w:jc w:val="both"/>
        <w:rPr>
          <w:rFonts w:ascii="Times New Roman" w:hAnsi="Times New Roman" w:cs="Times New Roman"/>
          <w:color w:val="000000" w:themeColor="text1"/>
          <w:sz w:val="24"/>
          <w:lang w:val="pt-BR"/>
        </w:rPr>
      </w:pPr>
      <w:r>
        <w:rPr>
          <w:rFonts w:ascii="Times New Roman" w:hAnsi="Times New Roman" w:cs="Times New Roman"/>
          <w:color w:val="000000" w:themeColor="text1"/>
          <w:sz w:val="24"/>
          <w:lang w:val="pt-BR"/>
        </w:rPr>
        <w:t>Agjensia e Mbështetjes së Vetëqeverisjes Vendore</w:t>
      </w:r>
    </w:p>
    <w:p w14:paraId="5648EEB1" w14:textId="77777777" w:rsidR="005F2AC9" w:rsidRDefault="00B56839">
      <w:pPr>
        <w:pStyle w:val="ListParagraph"/>
        <w:numPr>
          <w:ilvl w:val="0"/>
          <w:numId w:val="6"/>
        </w:numPr>
        <w:spacing w:after="0"/>
        <w:jc w:val="both"/>
        <w:rPr>
          <w:rFonts w:ascii="Times New Roman" w:hAnsi="Times New Roman" w:cs="Times New Roman"/>
          <w:color w:val="000000" w:themeColor="text1"/>
          <w:sz w:val="24"/>
          <w:lang w:val="pt-BR"/>
        </w:rPr>
      </w:pPr>
      <w:r>
        <w:rPr>
          <w:rFonts w:ascii="Times New Roman" w:hAnsi="Times New Roman" w:cs="Times New Roman"/>
          <w:color w:val="000000" w:themeColor="text1"/>
          <w:sz w:val="24"/>
          <w:lang w:val="pt-BR"/>
        </w:rPr>
        <w:t>Agjensia Kombëtare e Shërbimeve të Informacionit</w:t>
      </w:r>
    </w:p>
    <w:p w14:paraId="46F9F35D" w14:textId="77777777" w:rsidR="005F2AC9" w:rsidRDefault="00B56839">
      <w:pPr>
        <w:pStyle w:val="ListParagraph"/>
        <w:numPr>
          <w:ilvl w:val="0"/>
          <w:numId w:val="6"/>
        </w:numPr>
        <w:spacing w:after="0"/>
        <w:jc w:val="both"/>
        <w:rPr>
          <w:rFonts w:ascii="Times New Roman" w:hAnsi="Times New Roman" w:cs="Times New Roman"/>
          <w:color w:val="000000" w:themeColor="text1"/>
          <w:sz w:val="24"/>
          <w:lang w:val="pt-BR"/>
        </w:rPr>
      </w:pPr>
      <w:r>
        <w:rPr>
          <w:rFonts w:ascii="Times New Roman" w:hAnsi="Times New Roman" w:cs="Times New Roman"/>
          <w:color w:val="000000" w:themeColor="text1"/>
          <w:sz w:val="24"/>
          <w:lang w:val="pt-BR"/>
        </w:rPr>
        <w:t>Instituti i Sigurimeve Shoqërore</w:t>
      </w:r>
    </w:p>
    <w:p w14:paraId="7DFA024F" w14:textId="77777777" w:rsidR="005F2AC9" w:rsidRDefault="00B56839">
      <w:pPr>
        <w:pStyle w:val="ListParagraph"/>
        <w:numPr>
          <w:ilvl w:val="0"/>
          <w:numId w:val="6"/>
        </w:numPr>
        <w:spacing w:after="0"/>
        <w:jc w:val="both"/>
        <w:rPr>
          <w:rFonts w:ascii="Times New Roman" w:hAnsi="Times New Roman" w:cs="Times New Roman"/>
          <w:color w:val="000000" w:themeColor="text1"/>
          <w:sz w:val="24"/>
          <w:lang w:val="pt-BR"/>
        </w:rPr>
      </w:pPr>
      <w:r>
        <w:rPr>
          <w:rFonts w:ascii="Times New Roman" w:hAnsi="Times New Roman" w:cs="Times New Roman"/>
          <w:color w:val="000000" w:themeColor="text1"/>
          <w:sz w:val="24"/>
          <w:lang w:val="pt-BR"/>
        </w:rPr>
        <w:t>Inspektoriati i Punës dhe Shërbimeve Shoqërore</w:t>
      </w:r>
    </w:p>
    <w:p w14:paraId="66FF97F1" w14:textId="340FBA58" w:rsidR="005F2AC9" w:rsidRDefault="00B56839" w:rsidP="00962E92">
      <w:pPr>
        <w:pStyle w:val="ListParagraph"/>
        <w:numPr>
          <w:ilvl w:val="0"/>
          <w:numId w:val="6"/>
        </w:numPr>
        <w:spacing w:after="0"/>
        <w:jc w:val="both"/>
        <w:rPr>
          <w:rFonts w:ascii="Times New Roman" w:hAnsi="Times New Roman" w:cs="Times New Roman"/>
          <w:color w:val="000000" w:themeColor="text1"/>
          <w:sz w:val="24"/>
          <w:lang w:val="pt-BR"/>
        </w:rPr>
      </w:pPr>
      <w:r>
        <w:rPr>
          <w:rFonts w:ascii="Times New Roman" w:hAnsi="Times New Roman" w:cs="Times New Roman"/>
          <w:color w:val="000000" w:themeColor="text1"/>
          <w:sz w:val="24"/>
          <w:lang w:val="pt-BR"/>
        </w:rPr>
        <w:t>61 Njësitë Vendore</w:t>
      </w:r>
    </w:p>
    <w:p w14:paraId="12B3909C" w14:textId="77777777" w:rsidR="00962E92" w:rsidRPr="00962E92" w:rsidRDefault="00962E92" w:rsidP="00A50E95">
      <w:pPr>
        <w:pStyle w:val="ListParagraph"/>
        <w:spacing w:after="0"/>
        <w:jc w:val="both"/>
        <w:rPr>
          <w:rFonts w:ascii="Times New Roman" w:hAnsi="Times New Roman" w:cs="Times New Roman"/>
          <w:color w:val="000000" w:themeColor="text1"/>
          <w:sz w:val="24"/>
          <w:lang w:val="pt-BR"/>
        </w:rPr>
      </w:pPr>
    </w:p>
    <w:p w14:paraId="7674DB9A" w14:textId="77777777" w:rsidR="005F2AC9" w:rsidRDefault="00B56839">
      <w:pPr>
        <w:spacing w:after="0"/>
        <w:jc w:val="both"/>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Lidhja e Strategjisë</w:t>
      </w:r>
      <w:r>
        <w:rPr>
          <w:rFonts w:ascii="Times New Roman" w:eastAsia="Calibri" w:hAnsi="Times New Roman"/>
          <w:bCs/>
          <w:color w:val="000000" w:themeColor="text1"/>
          <w:sz w:val="24"/>
          <w:szCs w:val="24"/>
          <w:lang w:val="sq-AL"/>
        </w:rPr>
        <w:t xml:space="preserve"> </w:t>
      </w:r>
      <w:r>
        <w:rPr>
          <w:rFonts w:ascii="Times New Roman" w:hAnsi="Times New Roman"/>
          <w:b/>
          <w:color w:val="000000" w:themeColor="text1"/>
          <w:sz w:val="24"/>
          <w:szCs w:val="24"/>
          <w:lang w:val="pt-BR"/>
        </w:rPr>
        <w:t>së Mbrojtjes Sociale me Objektivat e Zhvillimit të Qëndrushëm (OZHQ/SDG):</w:t>
      </w:r>
    </w:p>
    <w:p w14:paraId="7C19A817" w14:textId="77777777" w:rsidR="005F2AC9" w:rsidRDefault="00B56839">
      <w:pPr>
        <w:spacing w:after="0"/>
        <w:jc w:val="both"/>
        <w:rPr>
          <w:rFonts w:ascii="Times New Roman" w:hAnsi="Times New Roman"/>
          <w:b/>
          <w:bCs/>
          <w:color w:val="000000" w:themeColor="text1"/>
          <w:sz w:val="24"/>
          <w:szCs w:val="24"/>
          <w:lang w:val="pt-BR"/>
        </w:rPr>
      </w:pPr>
      <w:r>
        <w:rPr>
          <w:rFonts w:ascii="Times New Roman" w:hAnsi="Times New Roman"/>
          <w:i/>
          <w:iCs/>
          <w:color w:val="000000" w:themeColor="text1"/>
          <w:sz w:val="24"/>
          <w:szCs w:val="24"/>
          <w:lang w:val="pt-BR"/>
        </w:rPr>
        <w:t>Strategjia e Mbrojtjes Sociale 2024-2030 lidhet me objektivat e zhvillimit të qëndrueshëm sa më poshtë</w:t>
      </w:r>
      <w:r>
        <w:rPr>
          <w:rFonts w:ascii="Times New Roman" w:hAnsi="Times New Roman"/>
          <w:b/>
          <w:bCs/>
          <w:color w:val="000000" w:themeColor="text1"/>
          <w:sz w:val="24"/>
          <w:szCs w:val="24"/>
          <w:lang w:val="pt-BR"/>
        </w:rPr>
        <w:t xml:space="preserve"> :</w:t>
      </w:r>
    </w:p>
    <w:p w14:paraId="7F527203" w14:textId="77777777" w:rsidR="005F2AC9" w:rsidRDefault="00B56839">
      <w:pPr>
        <w:pStyle w:val="ListParagraph"/>
        <w:numPr>
          <w:ilvl w:val="0"/>
          <w:numId w:val="5"/>
        </w:numPr>
        <w:spacing w:after="0"/>
        <w:jc w:val="both"/>
        <w:rPr>
          <w:rFonts w:ascii="Times New Roman" w:hAnsi="Times New Roman"/>
          <w:bCs/>
          <w:color w:val="000000" w:themeColor="text1"/>
          <w:sz w:val="24"/>
          <w:szCs w:val="24"/>
          <w:lang w:val="pt-BR"/>
        </w:rPr>
      </w:pPr>
      <w:r>
        <w:rPr>
          <w:rFonts w:ascii="Times New Roman" w:hAnsi="Times New Roman"/>
          <w:bCs/>
          <w:color w:val="000000" w:themeColor="text1"/>
          <w:sz w:val="24"/>
          <w:szCs w:val="24"/>
          <w:lang w:val="pt-BR"/>
        </w:rPr>
        <w:t>OZHQ  1.: Zhdukja e varfërisë kudo dhë në të gjitha format</w:t>
      </w:r>
    </w:p>
    <w:p w14:paraId="18ECE071" w14:textId="77777777" w:rsidR="005F2AC9" w:rsidRDefault="00B56839">
      <w:pPr>
        <w:pStyle w:val="ListParagraph"/>
        <w:numPr>
          <w:ilvl w:val="0"/>
          <w:numId w:val="5"/>
        </w:numPr>
        <w:spacing w:after="0"/>
        <w:jc w:val="both"/>
        <w:rPr>
          <w:rFonts w:ascii="Times New Roman" w:hAnsi="Times New Roman"/>
          <w:bCs/>
          <w:color w:val="000000" w:themeColor="text1"/>
          <w:sz w:val="24"/>
          <w:szCs w:val="24"/>
          <w:lang w:val="pt-BR"/>
        </w:rPr>
      </w:pPr>
      <w:r>
        <w:rPr>
          <w:rFonts w:ascii="Times New Roman" w:hAnsi="Times New Roman"/>
          <w:bCs/>
          <w:color w:val="000000" w:themeColor="text1"/>
          <w:sz w:val="24"/>
          <w:szCs w:val="24"/>
          <w:lang w:val="pt-BR"/>
        </w:rPr>
        <w:t>OZHQ 3 : Sigurimi i jetës së shëndetshme dhe promovimi i mirëqënies për të gjithë në të gjitha moshat.</w:t>
      </w:r>
    </w:p>
    <w:p w14:paraId="526B128F" w14:textId="77777777" w:rsidR="005F2AC9" w:rsidRDefault="00B56839">
      <w:pPr>
        <w:pStyle w:val="ListParagraph"/>
        <w:numPr>
          <w:ilvl w:val="0"/>
          <w:numId w:val="5"/>
        </w:numPr>
        <w:spacing w:after="0"/>
        <w:jc w:val="both"/>
        <w:rPr>
          <w:rFonts w:ascii="Times New Roman" w:hAnsi="Times New Roman"/>
          <w:bCs/>
          <w:color w:val="000000" w:themeColor="text1"/>
          <w:sz w:val="24"/>
          <w:szCs w:val="24"/>
          <w:lang w:val="pt-BR"/>
        </w:rPr>
      </w:pPr>
      <w:r>
        <w:rPr>
          <w:rFonts w:ascii="Times New Roman" w:hAnsi="Times New Roman"/>
          <w:bCs/>
          <w:color w:val="000000" w:themeColor="text1"/>
          <w:sz w:val="24"/>
          <w:szCs w:val="24"/>
          <w:lang w:val="pt-BR"/>
        </w:rPr>
        <w:t>OZHQ 4 : Sigurimi i arsimimit gjithëpërfshirës dhe krijimi i mundësive për të mësuarit gjatë gjithë jetës, për të gjithë .</w:t>
      </w:r>
    </w:p>
    <w:p w14:paraId="70B3EB09" w14:textId="77777777" w:rsidR="005F2AC9" w:rsidRDefault="00B56839">
      <w:pPr>
        <w:pStyle w:val="ListParagraph"/>
        <w:numPr>
          <w:ilvl w:val="0"/>
          <w:numId w:val="5"/>
        </w:numPr>
        <w:spacing w:after="0"/>
        <w:jc w:val="both"/>
        <w:rPr>
          <w:rFonts w:ascii="Times New Roman" w:hAnsi="Times New Roman"/>
          <w:bCs/>
          <w:color w:val="000000" w:themeColor="text1"/>
          <w:sz w:val="24"/>
          <w:szCs w:val="24"/>
          <w:lang w:val="pt-BR"/>
        </w:rPr>
      </w:pPr>
      <w:r>
        <w:rPr>
          <w:rFonts w:ascii="Times New Roman" w:hAnsi="Times New Roman"/>
          <w:bCs/>
          <w:color w:val="000000" w:themeColor="text1"/>
          <w:sz w:val="24"/>
          <w:szCs w:val="24"/>
          <w:lang w:val="pt-BR"/>
        </w:rPr>
        <w:t>OZHQ 5: Arrtije e barazisë gjinore dhe fuqizim i grave</w:t>
      </w:r>
    </w:p>
    <w:p w14:paraId="414CB879" w14:textId="77777777" w:rsidR="005F2AC9" w:rsidRDefault="00B56839">
      <w:pPr>
        <w:pStyle w:val="ListParagraph"/>
        <w:numPr>
          <w:ilvl w:val="0"/>
          <w:numId w:val="5"/>
        </w:numPr>
        <w:spacing w:after="0"/>
        <w:jc w:val="both"/>
        <w:rPr>
          <w:rFonts w:ascii="Times New Roman" w:hAnsi="Times New Roman"/>
          <w:bCs/>
          <w:color w:val="000000" w:themeColor="text1"/>
          <w:sz w:val="24"/>
          <w:szCs w:val="24"/>
          <w:lang w:val="pt-BR"/>
        </w:rPr>
      </w:pPr>
      <w:r>
        <w:rPr>
          <w:rFonts w:ascii="Times New Roman" w:hAnsi="Times New Roman"/>
          <w:bCs/>
          <w:color w:val="000000" w:themeColor="text1"/>
          <w:sz w:val="24"/>
          <w:szCs w:val="24"/>
          <w:lang w:val="pt-BR"/>
        </w:rPr>
        <w:t>OZHQ 8: Promovimi i rritjes së qëndrueshme dhe gjithë përfshirëse ekonomike,punësim dhe punë për të gjithë</w:t>
      </w:r>
    </w:p>
    <w:p w14:paraId="374DCBB4" w14:textId="77777777" w:rsidR="005F2AC9" w:rsidRDefault="00B56839">
      <w:pPr>
        <w:pStyle w:val="ListParagraph"/>
        <w:numPr>
          <w:ilvl w:val="0"/>
          <w:numId w:val="5"/>
        </w:numPr>
        <w:spacing w:after="0"/>
        <w:jc w:val="both"/>
        <w:rPr>
          <w:rFonts w:ascii="Times New Roman" w:hAnsi="Times New Roman"/>
          <w:bCs/>
          <w:color w:val="000000" w:themeColor="text1"/>
          <w:sz w:val="24"/>
          <w:szCs w:val="24"/>
          <w:lang w:val="pt-BR"/>
        </w:rPr>
      </w:pPr>
      <w:r>
        <w:rPr>
          <w:rFonts w:ascii="Times New Roman" w:hAnsi="Times New Roman"/>
          <w:bCs/>
          <w:color w:val="000000" w:themeColor="text1"/>
          <w:sz w:val="24"/>
          <w:szCs w:val="24"/>
          <w:lang w:val="pt-BR"/>
        </w:rPr>
        <w:t>OZHQ 10: Reduktimi i pabarazive</w:t>
      </w:r>
    </w:p>
    <w:p w14:paraId="3E8C98C0" w14:textId="77777777" w:rsidR="005F2AC9" w:rsidRDefault="00B56839">
      <w:pPr>
        <w:pStyle w:val="ListParagraph"/>
        <w:numPr>
          <w:ilvl w:val="0"/>
          <w:numId w:val="5"/>
        </w:numPr>
        <w:spacing w:after="0"/>
        <w:jc w:val="both"/>
        <w:rPr>
          <w:rFonts w:ascii="Times New Roman" w:hAnsi="Times New Roman"/>
          <w:bCs/>
          <w:color w:val="000000" w:themeColor="text1"/>
          <w:sz w:val="24"/>
          <w:szCs w:val="24"/>
          <w:lang w:val="pt-BR"/>
        </w:rPr>
      </w:pPr>
      <w:r>
        <w:rPr>
          <w:rFonts w:ascii="Times New Roman" w:hAnsi="Times New Roman"/>
          <w:bCs/>
          <w:color w:val="000000" w:themeColor="text1"/>
          <w:sz w:val="24"/>
          <w:szCs w:val="24"/>
          <w:lang w:val="pt-BR"/>
        </w:rPr>
        <w:t>OZHQ 11: Qytete për të gjithë, të sigurta, reziliente dhe të qëndrueshme.</w:t>
      </w:r>
    </w:p>
    <w:p w14:paraId="32CCC7DB" w14:textId="77777777" w:rsidR="005F2AC9" w:rsidRDefault="00B56839">
      <w:pPr>
        <w:pStyle w:val="ListParagraph"/>
        <w:numPr>
          <w:ilvl w:val="0"/>
          <w:numId w:val="5"/>
        </w:numPr>
        <w:spacing w:after="0"/>
        <w:jc w:val="both"/>
        <w:rPr>
          <w:rFonts w:ascii="Times New Roman" w:hAnsi="Times New Roman"/>
          <w:bCs/>
          <w:color w:val="000000" w:themeColor="text1"/>
          <w:sz w:val="24"/>
          <w:szCs w:val="24"/>
          <w:lang w:val="pt-BR"/>
        </w:rPr>
      </w:pPr>
      <w:r>
        <w:rPr>
          <w:rFonts w:ascii="Times New Roman" w:hAnsi="Times New Roman"/>
          <w:bCs/>
          <w:color w:val="000000" w:themeColor="text1"/>
          <w:sz w:val="24"/>
          <w:szCs w:val="24"/>
          <w:lang w:val="pt-BR"/>
        </w:rPr>
        <w:lastRenderedPageBreak/>
        <w:t>OZHQ16: Paqe, Drejtësi dhe Institucione të Forta, të Agjendës 2030 për Zhvillim të Qëndrueshëm të OKB.</w:t>
      </w:r>
    </w:p>
    <w:p w14:paraId="751BE8AF" w14:textId="77777777" w:rsidR="005F2AC9" w:rsidRDefault="005F2AC9">
      <w:pPr>
        <w:rPr>
          <w:rFonts w:ascii="Times New Roman" w:hAnsi="Times New Roman" w:cs="Times New Roman"/>
          <w:b/>
          <w:bCs/>
          <w:color w:val="000000" w:themeColor="text1"/>
          <w:sz w:val="24"/>
          <w:lang w:val="pt-BR"/>
        </w:rPr>
      </w:pPr>
    </w:p>
    <w:p w14:paraId="4ABA7065" w14:textId="77777777" w:rsidR="005F2AC9" w:rsidRDefault="00B56839">
      <w:pPr>
        <w:rPr>
          <w:rFonts w:ascii="Times New Roman" w:hAnsi="Times New Roman" w:cs="Times New Roman"/>
          <w:color w:val="000000" w:themeColor="text1"/>
          <w:sz w:val="24"/>
          <w:lang w:val="pt-BR"/>
        </w:rPr>
      </w:pPr>
      <w:r>
        <w:rPr>
          <w:rFonts w:ascii="Times New Roman" w:hAnsi="Times New Roman" w:cs="Times New Roman"/>
          <w:b/>
          <w:bCs/>
          <w:color w:val="000000" w:themeColor="text1"/>
          <w:sz w:val="24"/>
          <w:lang w:val="pt-BR"/>
        </w:rPr>
        <w:t>Parimet mbështetëse të Strategjisë</w:t>
      </w:r>
      <w:r>
        <w:rPr>
          <w:rFonts w:ascii="Times New Roman" w:hAnsi="Times New Roman" w:cs="Times New Roman"/>
          <w:color w:val="000000" w:themeColor="text1"/>
          <w:sz w:val="24"/>
          <w:lang w:val="pt-BR"/>
        </w:rPr>
        <w:t xml:space="preserve">: </w:t>
      </w:r>
    </w:p>
    <w:p w14:paraId="6D769F0A" w14:textId="77777777" w:rsidR="005F2AC9" w:rsidRDefault="00B56839">
      <w:pPr>
        <w:spacing w:after="0"/>
        <w:jc w:val="both"/>
        <w:rPr>
          <w:rFonts w:ascii="Times New Roman" w:hAnsi="Times New Roman"/>
          <w:bCs/>
          <w:color w:val="000000" w:themeColor="text1"/>
          <w:sz w:val="24"/>
          <w:szCs w:val="24"/>
          <w:lang w:val="pt-BR"/>
        </w:rPr>
      </w:pPr>
      <w:r>
        <w:rPr>
          <w:rFonts w:ascii="Times New Roman" w:hAnsi="Times New Roman"/>
          <w:bCs/>
          <w:color w:val="000000" w:themeColor="text1"/>
          <w:sz w:val="24"/>
          <w:szCs w:val="24"/>
          <w:lang w:val="pt-BR"/>
        </w:rPr>
        <w:t>Strategjia e Mbrojtjes Sociale 2024–2030 është e ndërtuar mbi parimet që rrjedhin nga Kushtetuta e Republikës së Shqipërisë, Konventa për Mbrojtjen e të Drejtave të Njeriut, Konventa për të Drejtat e Fëmijëve, Konventa për të Drejtën e Personave me Aftësi të Kufizuar, Karta Sociale Evropiane e rishikuar, Karta Evropiane e Autonomisë Lokale, Komunikata e Komisionit Evropian, datë 12 Mars 1997, “Mbi modernizimin dhe përmirësimin e Mbrojtjes Shoqërore”, Strategjinë Evropiane deri në 2020. E drejta për mbrojtjen sociale është reflektuar në Kushtetutën e Shqipërisë. Neni 9 i Konventës Ndërkombëtare për të Drejtat Ekonomike, Sociale dhe Kulturore njeh të drejtën e secilit për të pasur mbrojtje sociale. Në mënyrë të ngjashme, në Konventat e Kombeve të Bashkuara mbi të Drejtat e Fëmijëve dhe mbi të Drejtat e Personave me Aftësi të Kufizuara njohin gjithashtu të drejtat e veçanta për mbrojtjen sociale. Zbatimi i suksesshëm i kësaj strategjie kontribuon në përforcimin e mbrojtjes së të drejtave të njeriut në Shqipëri.</w:t>
      </w:r>
    </w:p>
    <w:p w14:paraId="7AC0465A" w14:textId="77777777" w:rsidR="005F2AC9" w:rsidRDefault="005F2AC9">
      <w:pPr>
        <w:spacing w:after="0"/>
        <w:jc w:val="both"/>
        <w:rPr>
          <w:rFonts w:ascii="Times New Roman" w:hAnsi="Times New Roman"/>
          <w:bCs/>
          <w:color w:val="000000" w:themeColor="text1"/>
          <w:sz w:val="24"/>
          <w:szCs w:val="24"/>
          <w:lang w:val="pt-BR"/>
        </w:rPr>
      </w:pPr>
    </w:p>
    <w:p w14:paraId="3D57F77C" w14:textId="77777777" w:rsidR="005F2AC9" w:rsidRDefault="00B56839">
      <w:pPr>
        <w:pStyle w:val="ListParagraph"/>
        <w:numPr>
          <w:ilvl w:val="0"/>
          <w:numId w:val="5"/>
        </w:numPr>
        <w:spacing w:before="0" w:after="0"/>
        <w:jc w:val="both"/>
        <w:rPr>
          <w:rFonts w:ascii="Times New Roman" w:hAnsi="Times New Roman" w:cs="Times New Roman"/>
          <w:color w:val="000000" w:themeColor="text1"/>
          <w:sz w:val="24"/>
          <w:lang w:val="pt-BR"/>
        </w:rPr>
      </w:pPr>
      <w:r>
        <w:rPr>
          <w:rFonts w:ascii="Times New Roman" w:hAnsi="Times New Roman" w:cs="Times New Roman"/>
          <w:i/>
          <w:iCs/>
          <w:color w:val="000000" w:themeColor="text1"/>
          <w:sz w:val="24"/>
          <w:lang w:val="pt-BR"/>
        </w:rPr>
        <w:t>Të drejtat civile, barazia dhe mosdiskriminimi</w:t>
      </w:r>
      <w:r>
        <w:rPr>
          <w:rFonts w:ascii="Times New Roman" w:hAnsi="Times New Roman" w:cs="Times New Roman"/>
          <w:color w:val="000000" w:themeColor="text1"/>
          <w:sz w:val="24"/>
          <w:lang w:val="pt-BR"/>
        </w:rPr>
        <w:t>:  Mbrojtja sociale ofrohet për çdo individ në nevojë, pavarësisht nga gjinia, feja, mosha, aftësitë e kufizuara etj.</w:t>
      </w:r>
    </w:p>
    <w:p w14:paraId="72BE3592" w14:textId="77777777" w:rsidR="005F2AC9" w:rsidRDefault="00B56839">
      <w:pPr>
        <w:pStyle w:val="ListParagraph"/>
        <w:numPr>
          <w:ilvl w:val="0"/>
          <w:numId w:val="5"/>
        </w:numPr>
        <w:spacing w:before="0" w:after="0"/>
        <w:jc w:val="both"/>
        <w:rPr>
          <w:rFonts w:ascii="Times New Roman" w:hAnsi="Times New Roman" w:cs="Times New Roman"/>
          <w:color w:val="000000" w:themeColor="text1"/>
          <w:sz w:val="24"/>
          <w:lang w:val="pt-BR"/>
        </w:rPr>
      </w:pPr>
      <w:r>
        <w:rPr>
          <w:rFonts w:ascii="Times New Roman" w:hAnsi="Times New Roman" w:cs="Times New Roman"/>
          <w:i/>
          <w:iCs/>
          <w:color w:val="000000" w:themeColor="text1"/>
          <w:sz w:val="24"/>
          <w:lang w:val="pt-BR"/>
        </w:rPr>
        <w:t>Mbrojtja e vecantë</w:t>
      </w:r>
      <w:r>
        <w:rPr>
          <w:rFonts w:ascii="Times New Roman" w:hAnsi="Times New Roman" w:cs="Times New Roman"/>
          <w:color w:val="000000" w:themeColor="text1"/>
          <w:sz w:val="24"/>
          <w:lang w:val="pt-BR"/>
        </w:rPr>
        <w:t>: Grupe të veçanta, duke përfshirë fëmijët, duhet të jenë subjekt i mbrojtjes së veçantë, bazuar në nevojat dhe të drejtat e tyre.</w:t>
      </w:r>
    </w:p>
    <w:p w14:paraId="061A26F7" w14:textId="77777777" w:rsidR="005F2AC9" w:rsidRDefault="00B56839">
      <w:pPr>
        <w:pStyle w:val="ListParagraph"/>
        <w:numPr>
          <w:ilvl w:val="0"/>
          <w:numId w:val="5"/>
        </w:numPr>
        <w:spacing w:before="0" w:after="0"/>
        <w:jc w:val="both"/>
        <w:rPr>
          <w:rFonts w:ascii="Times New Roman" w:hAnsi="Times New Roman" w:cs="Times New Roman"/>
          <w:color w:val="000000" w:themeColor="text1"/>
          <w:sz w:val="24"/>
          <w:lang w:val="pt-BR"/>
        </w:rPr>
      </w:pPr>
      <w:r>
        <w:rPr>
          <w:rFonts w:ascii="Times New Roman" w:hAnsi="Times New Roman" w:cs="Times New Roman"/>
          <w:i/>
          <w:iCs/>
          <w:color w:val="000000" w:themeColor="text1"/>
          <w:sz w:val="24"/>
          <w:lang w:val="pt-BR"/>
        </w:rPr>
        <w:t>E drejta e jetës, mbijetesës dhe zhvillimit</w:t>
      </w:r>
      <w:r>
        <w:rPr>
          <w:rFonts w:ascii="Times New Roman" w:hAnsi="Times New Roman" w:cs="Times New Roman"/>
          <w:color w:val="000000" w:themeColor="text1"/>
          <w:sz w:val="24"/>
          <w:lang w:val="pt-BR"/>
        </w:rPr>
        <w:t>: Një mjedis i përshtatshëm duhet të mbështesë zhvillimin maksimal të individëve.</w:t>
      </w:r>
    </w:p>
    <w:p w14:paraId="34558E33" w14:textId="77777777" w:rsidR="005F2AC9" w:rsidRDefault="00B56839">
      <w:pPr>
        <w:pStyle w:val="ListParagraph"/>
        <w:numPr>
          <w:ilvl w:val="0"/>
          <w:numId w:val="5"/>
        </w:numPr>
        <w:spacing w:before="0" w:after="0"/>
        <w:jc w:val="both"/>
        <w:rPr>
          <w:rFonts w:ascii="Times New Roman" w:hAnsi="Times New Roman" w:cs="Times New Roman"/>
          <w:color w:val="000000" w:themeColor="text1"/>
          <w:sz w:val="24"/>
          <w:lang w:val="pt-BR"/>
        </w:rPr>
      </w:pPr>
      <w:r>
        <w:rPr>
          <w:rFonts w:ascii="Times New Roman" w:hAnsi="Times New Roman" w:cs="Times New Roman"/>
          <w:i/>
          <w:iCs/>
          <w:color w:val="000000" w:themeColor="text1"/>
          <w:sz w:val="24"/>
          <w:lang w:val="pt-BR"/>
        </w:rPr>
        <w:t>Pavarësia, autonomia dhe respektimi i pikëpamjeve</w:t>
      </w:r>
      <w:r>
        <w:rPr>
          <w:rFonts w:ascii="Times New Roman" w:hAnsi="Times New Roman" w:cs="Times New Roman"/>
          <w:color w:val="000000" w:themeColor="text1"/>
          <w:sz w:val="24"/>
          <w:lang w:val="pt-BR"/>
        </w:rPr>
        <w:t xml:space="preserve">: Individët janë përgjegjës për jetën e tyre. Ata duhet të inkurajohen që të marrin vendime për jetën e tyre të cilat ndjekin intersin më të lartë të tyre dhe në përputhje me të drejtat e njeriut. </w:t>
      </w:r>
    </w:p>
    <w:p w14:paraId="513D0468" w14:textId="77777777" w:rsidR="005F2AC9" w:rsidRDefault="00B56839">
      <w:pPr>
        <w:pStyle w:val="ListParagraph"/>
        <w:numPr>
          <w:ilvl w:val="0"/>
          <w:numId w:val="5"/>
        </w:numPr>
        <w:spacing w:before="0" w:after="0"/>
        <w:jc w:val="both"/>
        <w:rPr>
          <w:rFonts w:ascii="Times New Roman" w:hAnsi="Times New Roman" w:cs="Times New Roman"/>
          <w:color w:val="000000" w:themeColor="text1"/>
          <w:sz w:val="24"/>
          <w:lang w:val="pt-BR"/>
        </w:rPr>
      </w:pPr>
      <w:r>
        <w:rPr>
          <w:rFonts w:ascii="Times New Roman" w:hAnsi="Times New Roman" w:cs="Times New Roman"/>
          <w:i/>
          <w:iCs/>
          <w:color w:val="000000" w:themeColor="text1"/>
          <w:sz w:val="24"/>
          <w:lang w:val="pt-BR"/>
        </w:rPr>
        <w:t>Përfshirja dhe integrimi</w:t>
      </w:r>
      <w:r>
        <w:rPr>
          <w:rFonts w:ascii="Times New Roman" w:hAnsi="Times New Roman" w:cs="Times New Roman"/>
          <w:color w:val="000000" w:themeColor="text1"/>
          <w:sz w:val="24"/>
          <w:lang w:val="pt-BR"/>
        </w:rPr>
        <w:t xml:space="preserve">. Krijimi i mjedisit të politikave dhe programeve të cilat synojnë integrimin e të gjithë individëve dhe grupeve në nevojë si dhe masat specifike të cilat hartohen në bazë të nëvojave specifike të çdo grupi apo individi. </w:t>
      </w:r>
    </w:p>
    <w:p w14:paraId="2CDEE75E" w14:textId="77777777" w:rsidR="005F2AC9" w:rsidRDefault="00B56839">
      <w:pPr>
        <w:pStyle w:val="ListParagraph"/>
        <w:numPr>
          <w:ilvl w:val="0"/>
          <w:numId w:val="5"/>
        </w:numPr>
        <w:spacing w:before="0" w:after="0"/>
        <w:jc w:val="both"/>
        <w:rPr>
          <w:rFonts w:ascii="Times New Roman" w:hAnsi="Times New Roman" w:cs="Times New Roman"/>
          <w:color w:val="000000" w:themeColor="text1"/>
          <w:sz w:val="24"/>
          <w:lang w:val="it-IT"/>
        </w:rPr>
      </w:pPr>
      <w:r>
        <w:rPr>
          <w:rFonts w:ascii="Times New Roman" w:hAnsi="Times New Roman" w:cs="Times New Roman"/>
          <w:i/>
          <w:iCs/>
          <w:color w:val="000000" w:themeColor="text1"/>
          <w:sz w:val="24"/>
          <w:lang w:val="it-IT"/>
        </w:rPr>
        <w:t>Partneriteti</w:t>
      </w:r>
      <w:r>
        <w:rPr>
          <w:rFonts w:ascii="Times New Roman" w:hAnsi="Times New Roman" w:cs="Times New Roman"/>
          <w:color w:val="000000" w:themeColor="text1"/>
          <w:sz w:val="24"/>
          <w:lang w:val="it-IT"/>
        </w:rPr>
        <w:t xml:space="preserve">: koordinimi i strukturave qendrore, qeverisjes rajonale dhe vendore, si dhe partnerë të tjerë në komunitet, në vecanti me shoqërinë civile. </w:t>
      </w:r>
    </w:p>
    <w:p w14:paraId="7E5ED5F7" w14:textId="77777777" w:rsidR="005F2AC9" w:rsidRDefault="00B56839">
      <w:pPr>
        <w:pStyle w:val="ListParagraph"/>
        <w:numPr>
          <w:ilvl w:val="0"/>
          <w:numId w:val="5"/>
        </w:numPr>
        <w:spacing w:before="0" w:after="0"/>
        <w:jc w:val="both"/>
        <w:rPr>
          <w:rFonts w:ascii="Times New Roman" w:hAnsi="Times New Roman" w:cs="Times New Roman"/>
          <w:color w:val="000000" w:themeColor="text1"/>
          <w:sz w:val="24"/>
          <w:lang w:val="it-IT"/>
        </w:rPr>
      </w:pPr>
      <w:r>
        <w:rPr>
          <w:rFonts w:ascii="Times New Roman" w:hAnsi="Times New Roman" w:cs="Times New Roman"/>
          <w:i/>
          <w:iCs/>
          <w:color w:val="000000" w:themeColor="text1"/>
          <w:sz w:val="24"/>
          <w:lang w:val="it-IT"/>
        </w:rPr>
        <w:t>Starndartet dhe cilësia e shërbimeve</w:t>
      </w:r>
      <w:r>
        <w:rPr>
          <w:rFonts w:ascii="Times New Roman" w:hAnsi="Times New Roman" w:cs="Times New Roman"/>
          <w:color w:val="000000" w:themeColor="text1"/>
          <w:sz w:val="24"/>
          <w:lang w:val="it-IT"/>
        </w:rPr>
        <w:t xml:space="preserve">: Standardet kombëtare të shërbimeve sociale udhëheqin vendimmarrjen në nivel vendor si dhe ofrimin me cilësi të shërbimeve sociale duke u nisur nga interesi më i lartë i përfituesve. </w:t>
      </w:r>
    </w:p>
    <w:p w14:paraId="17435640" w14:textId="77777777" w:rsidR="005F2AC9" w:rsidRDefault="00B56839">
      <w:pPr>
        <w:pStyle w:val="ListParagraph"/>
        <w:numPr>
          <w:ilvl w:val="0"/>
          <w:numId w:val="5"/>
        </w:numPr>
        <w:spacing w:before="0" w:after="0"/>
        <w:jc w:val="both"/>
        <w:rPr>
          <w:rFonts w:ascii="Times New Roman" w:hAnsi="Times New Roman" w:cs="Times New Roman"/>
          <w:color w:val="000000" w:themeColor="text1"/>
          <w:sz w:val="24"/>
          <w:lang w:val="it-IT"/>
        </w:rPr>
      </w:pPr>
      <w:r>
        <w:rPr>
          <w:rFonts w:ascii="Times New Roman" w:hAnsi="Times New Roman" w:cs="Times New Roman"/>
          <w:i/>
          <w:iCs/>
          <w:color w:val="000000" w:themeColor="text1"/>
          <w:sz w:val="24"/>
          <w:lang w:val="it-IT"/>
        </w:rPr>
        <w:t>Transparenca dhe aksesi në informacion</w:t>
      </w:r>
      <w:r>
        <w:rPr>
          <w:rFonts w:ascii="Times New Roman" w:hAnsi="Times New Roman" w:cs="Times New Roman"/>
          <w:color w:val="000000" w:themeColor="text1"/>
          <w:sz w:val="24"/>
          <w:lang w:val="it-IT"/>
        </w:rPr>
        <w:t xml:space="preserve">. Këto janë element të rëndësishëm të llogaridhënies. Çdo individ duhet të ushtrojë të drejtën për tu informuar për kriteret e përfitimeve, tipologjitë e shërbimeve, përfitimet specifike si dhe mekanizmat e ankimimit. Kur llogaridhënia dhe mekanizmat e ankimimit janë funksional, atëherë programi i mbrojtjes sociale ka mundësi të adresojë cështjet e stigmës dhe paragjkimit që ekziston shpesh herë për individët apo grupet përfituese. </w:t>
      </w:r>
    </w:p>
    <w:p w14:paraId="0D508FEC" w14:textId="77777777" w:rsidR="005F2AC9" w:rsidRDefault="00B56839">
      <w:pPr>
        <w:rPr>
          <w:rFonts w:ascii="Times New Roman" w:hAnsi="Times New Roman"/>
          <w:b/>
          <w:iCs/>
          <w:color w:val="000000" w:themeColor="text1"/>
          <w:sz w:val="28"/>
          <w:szCs w:val="28"/>
          <w:lang w:val="pt-BR"/>
        </w:rPr>
        <w:sectPr w:rsidR="005F2AC9">
          <w:type w:val="continuous"/>
          <w:pgSz w:w="12240" w:h="15840"/>
          <w:pgMar w:top="900" w:right="1170" w:bottom="1440" w:left="1440" w:header="720" w:footer="720" w:gutter="0"/>
          <w:cols w:space="720"/>
          <w:formProt w:val="0"/>
          <w:docGrid w:linePitch="312" w:charSpace="2047"/>
        </w:sectPr>
      </w:pPr>
      <w:r>
        <w:lastRenderedPageBreak/>
        <w:br w:type="page"/>
      </w:r>
    </w:p>
    <w:p w14:paraId="66AE0CD3" w14:textId="77777777" w:rsidR="005F2AC9" w:rsidRDefault="00B56839">
      <w:pPr>
        <w:pStyle w:val="Heading1"/>
        <w:spacing w:before="0"/>
        <w:rPr>
          <w:color w:val="000000" w:themeColor="text1"/>
          <w:sz w:val="28"/>
          <w:szCs w:val="28"/>
        </w:rPr>
      </w:pPr>
      <w:bookmarkStart w:id="13" w:name="_Toc140431363"/>
      <w:r>
        <w:rPr>
          <w:color w:val="000000" w:themeColor="text1"/>
          <w:sz w:val="28"/>
          <w:szCs w:val="28"/>
        </w:rPr>
        <w:lastRenderedPageBreak/>
        <w:t>PËRMBLEDHJE E ARRITJEVE DHE SFIDAVE</w:t>
      </w:r>
      <w:bookmarkEnd w:id="13"/>
      <w:r>
        <w:rPr>
          <w:color w:val="000000" w:themeColor="text1"/>
          <w:sz w:val="28"/>
          <w:szCs w:val="28"/>
        </w:rPr>
        <w:t xml:space="preserve">  </w:t>
      </w:r>
      <w:bookmarkEnd w:id="9"/>
      <w:bookmarkEnd w:id="10"/>
      <w:bookmarkEnd w:id="11"/>
    </w:p>
    <w:p w14:paraId="3E2EEE6B" w14:textId="77777777" w:rsidR="005F2AC9" w:rsidRDefault="00B56839">
      <w:pPr>
        <w:spacing w:beforeAutospacing="1" w:afterAutospacing="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Gjatë vitit 2025, procesi i hartimit dhe zbatimit të politikave u përqendrua në konsolidimin e reformave strukturore të nisura në vitet e fundit dhe në vendosjen e themeleve për zbatimin e plotë të objektivave strategjikë. </w:t>
      </w:r>
    </w:p>
    <w:p w14:paraId="297D4AB3" w14:textId="77777777" w:rsidR="005F2AC9" w:rsidRDefault="00B56839">
      <w:pPr>
        <w:spacing w:beforeAutospacing="1" w:afterAutospacing="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Vëmendje e veçantë iu kushtua përmirësimit të programeve kryesore të mbështetjes së përfituesve nga skema e Ndihmës Ekonomike, me fokus në përmirësimin e targetimit, rritjen e transparencës dhe forcimin e lidhjes mes përfitimeve dhe shërbimeve mbështetëse. </w:t>
      </w:r>
    </w:p>
    <w:p w14:paraId="46A787F9" w14:textId="77777777" w:rsidR="005F2AC9" w:rsidRDefault="00B56839">
      <w:pPr>
        <w:spacing w:before="0" w:after="0"/>
        <w:jc w:val="both"/>
        <w:rPr>
          <w:rFonts w:ascii="Times New Roman" w:eastAsia="Times New Roman" w:hAnsi="Times New Roman" w:cs="Times New Roman"/>
          <w:color w:val="000000" w:themeColor="text1"/>
          <w:sz w:val="24"/>
          <w:szCs w:val="24"/>
          <w:lang w:val="it-IT"/>
        </w:rPr>
      </w:pPr>
      <w:r>
        <w:rPr>
          <w:rFonts w:ascii="Times New Roman" w:eastAsia="Times New Roman" w:hAnsi="Times New Roman" w:cs="Times New Roman"/>
          <w:color w:val="000000" w:themeColor="text1"/>
          <w:sz w:val="24"/>
          <w:szCs w:val="24"/>
          <w:lang w:val="it-IT"/>
        </w:rPr>
        <w:t>Përfituan mbështetjen financiare në masën 15,000 (pesëmbëdhjetë mijë) lekë f</w:t>
      </w:r>
      <w:r>
        <w:rPr>
          <w:rFonts w:ascii="Times New Roman" w:eastAsia="Times New Roman" w:hAnsi="Times New Roman" w:cs="Times New Roman"/>
          <w:color w:val="000000" w:themeColor="text1"/>
          <w:sz w:val="24"/>
          <w:szCs w:val="24"/>
          <w:lang w:val="sq-AL"/>
        </w:rPr>
        <w:t>amiljet dhe individët që trajtohen me ndihmë ekonomike, si edhe fëmijët pa kujdes prindëror të vendosur në familje kujdestare.</w:t>
      </w:r>
    </w:p>
    <w:p w14:paraId="24183838" w14:textId="77777777" w:rsidR="005F2AC9" w:rsidRDefault="00B56839">
      <w:pPr>
        <w:spacing w:before="0" w:after="0"/>
        <w:jc w:val="both"/>
        <w:rPr>
          <w:color w:val="000000" w:themeColor="text1"/>
        </w:rPr>
      </w:pPr>
      <w:r>
        <w:rPr>
          <w:rFonts w:ascii="Times New Roman" w:eastAsia="Times New Roman" w:hAnsi="Times New Roman" w:cs="Times New Roman"/>
          <w:color w:val="000000" w:themeColor="text1"/>
          <w:sz w:val="24"/>
          <w:szCs w:val="24"/>
        </w:rPr>
        <w:t xml:space="preserve">Personat me aftësi të kufizuar janë në qendër të politikave dhe programeve të ndërmarra nga qeveria me qëllim garantimin dhe respektimin e të drejtave të tyre, mbështetjen, rehabilitimin dhe integrimin e tyre në jetën shoqërore. Në kuadër të objektivit strategjik ka vijuar zbatimi dhe monitorimi i reformës në sistemin e vlerësimit të aftësisë së kufizuar, sipas modelit bio-psiko-social, bazuar në standartet ndërkombëtare të OBSH-së, ICF-së dhe në Konventën e OKB-së për të Drejtat e PAK. </w:t>
      </w:r>
    </w:p>
    <w:p w14:paraId="5031913D" w14:textId="77777777" w:rsidR="005F2AC9" w:rsidRDefault="00B56839">
      <w:pPr>
        <w:spacing w:before="0" w:after="0"/>
        <w:jc w:val="both"/>
        <w:rPr>
          <w:color w:val="000000" w:themeColor="text1"/>
        </w:rPr>
      </w:pPr>
      <w:r>
        <w:rPr>
          <w:rFonts w:ascii="Times New Roman" w:eastAsia="Times New Roman" w:hAnsi="Times New Roman" w:cs="Times New Roman"/>
          <w:color w:val="000000" w:themeColor="text1"/>
          <w:sz w:val="24"/>
          <w:szCs w:val="24"/>
          <w:lang w:val="sq-AL"/>
        </w:rPr>
        <w:t xml:space="preserve"> </w:t>
      </w:r>
    </w:p>
    <w:p w14:paraId="189DA349" w14:textId="77777777" w:rsidR="005F2AC9" w:rsidRDefault="00B56839">
      <w:pPr>
        <w:spacing w:before="0" w:after="0"/>
        <w:jc w:val="both"/>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color w:val="000000" w:themeColor="text1"/>
          <w:sz w:val="24"/>
          <w:szCs w:val="24"/>
          <w:lang w:val="sq-AL"/>
        </w:rPr>
        <w:t xml:space="preserve">Zbatimi i reformës së vlerësimit bio-psiko-social, me qasje bazuar në të drejtat e njeriut  reflekton praktikat bashkëkohore ndërkombëtare përmes një koncepti të ri të aftësisë së kufizuar si një ndërveprim i dëmtimeve të shkaktuara nga një sëmundje me faktorët psikologjikë e socialë. Kjo ka rritur eficencën e vlerësimit, duke krijuar  mekanizma administrativë që reduktojnë ndjeshëm shkallën e abuzimit, rrisin besueshmërinë dhe ulin koston e vlerësimit, si edhe ka përmirësuar shërbimin për qytetarët. </w:t>
      </w:r>
    </w:p>
    <w:p w14:paraId="728DDDFD" w14:textId="77777777" w:rsidR="005F2AC9" w:rsidRDefault="005F2AC9">
      <w:pPr>
        <w:spacing w:before="0" w:after="0"/>
        <w:jc w:val="both"/>
        <w:rPr>
          <w:rFonts w:ascii="Times New Roman" w:eastAsia="Times New Roman" w:hAnsi="Times New Roman" w:cs="Times New Roman"/>
          <w:color w:val="000000" w:themeColor="text1"/>
          <w:sz w:val="24"/>
          <w:szCs w:val="24"/>
          <w:lang w:val="sq-AL"/>
        </w:rPr>
      </w:pPr>
    </w:p>
    <w:p w14:paraId="478A3523" w14:textId="77777777" w:rsidR="005F2AC9" w:rsidRDefault="00B56839">
      <w:pPr>
        <w:spacing w:before="0" w:after="0"/>
        <w:jc w:val="both"/>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color w:val="000000" w:themeColor="text1"/>
          <w:sz w:val="24"/>
          <w:szCs w:val="24"/>
          <w:lang w:val="sq-AL"/>
        </w:rPr>
        <w:t>Gjatë vitit 2025, janë mbështetur nga programi i aftësisë së kufizuar 97,685 persona, nga të cilët 57,030 PAK, 15,303 të verbër, 5,710 paraplegjikë e tetraplegjikë dhe 19,642 ndihmës personal.</w:t>
      </w:r>
    </w:p>
    <w:p w14:paraId="1C254DDE" w14:textId="77777777" w:rsidR="005F2AC9" w:rsidRDefault="005F2AC9">
      <w:pPr>
        <w:spacing w:before="0" w:after="0"/>
        <w:jc w:val="both"/>
        <w:rPr>
          <w:rFonts w:ascii="Times New Roman" w:eastAsia="Times New Roman" w:hAnsi="Times New Roman" w:cs="Times New Roman"/>
          <w:color w:val="000000" w:themeColor="text1"/>
          <w:sz w:val="24"/>
          <w:szCs w:val="24"/>
          <w:lang w:val="sq-AL"/>
        </w:rPr>
      </w:pPr>
    </w:p>
    <w:p w14:paraId="5E29026E" w14:textId="77777777" w:rsidR="005F2AC9" w:rsidRDefault="00B56839">
      <w:pPr>
        <w:spacing w:before="0" w:after="0"/>
        <w:jc w:val="both"/>
        <w:rPr>
          <w:rFonts w:ascii="Times New Roman" w:eastAsia="Times New Roman" w:hAnsi="Times New Roman" w:cs="Times New Roman"/>
          <w:color w:val="000000" w:themeColor="text1"/>
          <w:sz w:val="24"/>
          <w:szCs w:val="24"/>
          <w:lang w:val="da-DK"/>
        </w:rPr>
      </w:pPr>
      <w:r>
        <w:rPr>
          <w:rFonts w:ascii="Times New Roman" w:eastAsia="Times New Roman" w:hAnsi="Times New Roman" w:cs="Times New Roman"/>
          <w:color w:val="000000" w:themeColor="text1"/>
          <w:sz w:val="24"/>
          <w:szCs w:val="24"/>
          <w:lang w:val="sq-AL"/>
        </w:rPr>
        <w:t>Pagesat e aftësisë së kufizuar janë indeksuar sipas përcaktimeve të legjislacionit në fuqi, po ashtu edhe masa e përfitimit për mbulimin e shpenzimeve për paketën higjieno-sanitare për paraplegjikët dhe tetraplegjikët,</w:t>
      </w:r>
      <w:r>
        <w:rPr>
          <w:rFonts w:ascii="Calibri" w:eastAsia="Calibri" w:hAnsi="Calibri" w:cs="Calibri"/>
          <w:color w:val="000000" w:themeColor="text1"/>
          <w:sz w:val="22"/>
          <w:szCs w:val="22"/>
          <w:lang w:val="da-DK"/>
        </w:rPr>
        <w:t xml:space="preserve"> </w:t>
      </w:r>
      <w:r>
        <w:rPr>
          <w:rFonts w:ascii="Times New Roman" w:eastAsia="Times New Roman" w:hAnsi="Times New Roman" w:cs="Times New Roman"/>
          <w:color w:val="000000" w:themeColor="text1"/>
          <w:sz w:val="24"/>
          <w:szCs w:val="24"/>
          <w:lang w:val="da-DK"/>
        </w:rPr>
        <w:t>indeksohet me 2,4% në bazë të indeksit të çmimeve të konsumit sipas INSTAT.</w:t>
      </w:r>
    </w:p>
    <w:p w14:paraId="664F2C6C" w14:textId="77777777" w:rsidR="005F2AC9" w:rsidRDefault="005F2AC9">
      <w:pPr>
        <w:spacing w:before="0" w:after="0"/>
        <w:jc w:val="both"/>
        <w:rPr>
          <w:rFonts w:ascii="Times New Roman" w:eastAsia="Times New Roman" w:hAnsi="Times New Roman" w:cs="Times New Roman"/>
          <w:color w:val="000000" w:themeColor="text1"/>
          <w:sz w:val="24"/>
          <w:szCs w:val="24"/>
          <w:lang w:val="da-DK"/>
        </w:rPr>
      </w:pPr>
    </w:p>
    <w:p w14:paraId="06680BBF" w14:textId="77777777" w:rsidR="005F2AC9" w:rsidRDefault="00B56839">
      <w:pPr>
        <w:spacing w:before="0" w:after="0"/>
        <w:jc w:val="both"/>
        <w:rPr>
          <w:rFonts w:ascii="Times New Roman" w:eastAsia="Times New Roman" w:hAnsi="Times New Roman" w:cs="Times New Roman"/>
          <w:color w:val="000000" w:themeColor="text1"/>
          <w:sz w:val="24"/>
          <w:szCs w:val="24"/>
          <w:lang w:val="it-IT"/>
        </w:rPr>
      </w:pPr>
      <w:r>
        <w:rPr>
          <w:rFonts w:ascii="Times New Roman" w:eastAsia="Times New Roman" w:hAnsi="Times New Roman" w:cs="Times New Roman"/>
          <w:color w:val="000000" w:themeColor="text1"/>
          <w:sz w:val="24"/>
          <w:szCs w:val="24"/>
          <w:lang w:val="it-IT"/>
        </w:rPr>
        <w:t>Përfituan mbështetje financiare në masën 15,000 lekë p</w:t>
      </w:r>
      <w:r>
        <w:rPr>
          <w:rFonts w:ascii="Times New Roman" w:eastAsia="Times New Roman" w:hAnsi="Times New Roman" w:cs="Times New Roman"/>
          <w:color w:val="000000" w:themeColor="text1"/>
          <w:sz w:val="24"/>
          <w:szCs w:val="24"/>
          <w:lang w:val="sq-AL"/>
        </w:rPr>
        <w:t>ersonat me aftësi të kufizuara, të verbrit, paraplegjikët dhe tetraplegjikët, si edhe ndihmësit personal të tyre.</w:t>
      </w:r>
    </w:p>
    <w:p w14:paraId="60975010" w14:textId="77777777" w:rsidR="005F2AC9" w:rsidRDefault="00B56839">
      <w:pPr>
        <w:spacing w:before="0" w:after="0"/>
        <w:jc w:val="both"/>
        <w:rPr>
          <w:color w:val="000000" w:themeColor="text1"/>
        </w:rPr>
      </w:pPr>
      <w:r>
        <w:rPr>
          <w:rFonts w:ascii="Times New Roman" w:eastAsia="Times New Roman" w:hAnsi="Times New Roman" w:cs="Times New Roman"/>
          <w:color w:val="000000" w:themeColor="text1"/>
          <w:sz w:val="24"/>
          <w:szCs w:val="24"/>
        </w:rPr>
        <w:t xml:space="preserve"> </w:t>
      </w:r>
    </w:p>
    <w:p w14:paraId="27E76010" w14:textId="77777777" w:rsidR="005F2AC9" w:rsidRDefault="00B56839">
      <w:pPr>
        <w:spacing w:before="0"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Janë marrë të gjitha masat për rritjen e kapaciteteve të stafeve të komisioneve të vlerësimit, gjatë muajit Prill 2025, janë zhvilluar trajnime për punonjësit në nivel rajonal dhe lokal</w:t>
      </w:r>
    </w:p>
    <w:p w14:paraId="725D0F04" w14:textId="77777777" w:rsidR="005F2AC9" w:rsidRDefault="00B56839">
      <w:pPr>
        <w:spacing w:before="0"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(administratorët shoqërorë të) me tematikë "Rritja e kapaciteteve të personelit shëndetësor dhe psikosocial të vlerësimit të aftësisë së kufizuar", duke përfshire edhe ngritjen e kapaciteteve për referimin, ndjekjen, menaxhimin dhe mbështetjen me shërbime të personave me aftësi të kufizuar.</w:t>
      </w:r>
    </w:p>
    <w:p w14:paraId="7715F80C" w14:textId="77777777" w:rsidR="005F2AC9" w:rsidRDefault="005F2AC9">
      <w:pPr>
        <w:spacing w:before="0" w:after="0"/>
        <w:jc w:val="both"/>
        <w:rPr>
          <w:rFonts w:ascii="Times New Roman" w:eastAsia="Times New Roman" w:hAnsi="Times New Roman" w:cs="Times New Roman"/>
          <w:color w:val="000000" w:themeColor="text1"/>
          <w:sz w:val="24"/>
          <w:szCs w:val="24"/>
        </w:rPr>
      </w:pPr>
    </w:p>
    <w:p w14:paraId="20D9DE45" w14:textId="77777777" w:rsidR="005F2AC9" w:rsidRDefault="00B56839">
      <w:pPr>
        <w:spacing w:before="0" w:after="0"/>
        <w:jc w:val="both"/>
        <w:rPr>
          <w:rFonts w:ascii="Times New Roman" w:hAnsi="Times New Roman"/>
          <w:color w:val="000000" w:themeColor="text1"/>
          <w:sz w:val="24"/>
          <w:szCs w:val="24"/>
          <w:lang w:val="sq-AL"/>
        </w:rPr>
      </w:pPr>
      <w:r>
        <w:rPr>
          <w:rFonts w:ascii="Times New Roman" w:hAnsi="Times New Roman"/>
          <w:color w:val="000000" w:themeColor="text1"/>
          <w:sz w:val="24"/>
          <w:szCs w:val="24"/>
          <w:lang w:val="sq-AL"/>
        </w:rPr>
        <w:t>U miratuan kriteret e vlerësimit bio-psiko-social të aftësisë së kufizuar tek të rriturit dhe fëmijët dhe metodologjia e rishikimit të tyre.</w:t>
      </w:r>
    </w:p>
    <w:p w14:paraId="6130C4EC" w14:textId="77777777" w:rsidR="005F2AC9" w:rsidRDefault="00B56839">
      <w:pPr>
        <w:spacing w:beforeAutospacing="1" w:afterAutospacing="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Një nga arritjet më të rëndësishme gjatë vitit të parë të zbatimit të Strategjisë lidhet me avancimin e reformës së shërbimeve të kujdesit shoqëror. Gjatë vitit 2025 u vijua zgjerimi i hartës së shërbimeve në nivel vendor, me rritje të mbulimit territorial dhe diversifikim të tipologjive të shërbimeve në përgjigje të nevojave specifike të komuniteteve. U forcua më tej roli i pushtetit vendor në planifikimin, kontraktimin dhe monitorimin e shërbimeve, në përputhje me parimin e decentralizimit, ndërsa Fondi Social mbeti një instrument kyç për financimin e shërbimeve të reja dhe inovative për grupet në nevojë. Përmes këtij mekanizmi u mbështetën shërbime komunitare që synojnë parandalimin e institucionalizimit, mbështetjen e familjes, riintegrimin social dhe fuqizimin e individëve në situatë vulnerabiliteti.</w:t>
      </w:r>
    </w:p>
    <w:p w14:paraId="26FF72FE" w14:textId="77777777" w:rsidR="005F2AC9" w:rsidRDefault="00B56839">
      <w:pPr>
        <w:spacing w:beforeAutospacing="1" w:afterAutospacing="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Progres i rëndësishëm u shënua edhe në drejtim të transformimit të shërbimeve rezidenciale drejt modeleve më të vogla, me bazë komunitare dhe me në qendër individin, veçanërisht për fëmijët pa kujdes prindëror dhe personat me aftësi të kufizuara. Paralelisht, u përmirësuan mekanizmat e referimit dhe bashkëpunimit ndërmjet strukturave të shërbimeve sociale, mbrojtjes së fëmijëve, shëndetësisë, arsimit dhe punësimit, duke kontribuar në ofrimin e mbështetjes më të integruar për individët dhe familjet në nevojë.</w:t>
      </w:r>
    </w:p>
    <w:p w14:paraId="30EB4B46" w14:textId="77777777" w:rsidR="005F2AC9" w:rsidRDefault="00B56839">
      <w:pPr>
        <w:spacing w:beforeAutospacing="1" w:afterAutospacing="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Një tjetër zhvillim i rëndësishëm gjatë vitit 2025 ishte forcimi i dimensionit të monitorimit dhe cilësisë së shërbimeve. U rrit përdorimi i sistemeve të digjitalizuara për menaxhimin e informacionit në Programin e Mbrojtjes Sociale, duke përmirësuar gjurmueshmërinë e përfituesve, raportimin e të dhënave dhe koordinimin ndërinstitucional. Këto zhvillime kanë krijuar bazë më të qëndrueshme për vlerësimin e performancës së shërbimeve dhe për orientimin e politikave në vijim drejt ndërhyrjeve më efektive dhe të bazuara në evidencë.</w:t>
      </w:r>
    </w:p>
    <w:p w14:paraId="4DB37D78" w14:textId="77777777" w:rsidR="005F2AC9" w:rsidRDefault="00B56839">
      <w:pPr>
        <w:spacing w:beforeAutospacing="1" w:afterAutospacing="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Në tërësi, viti i parë i zbatimit të Strategjisë ka shërbyer si një fazë konsolidimi dhe operacionalizimi të reformave, duke vendosur theksin në forcimin e shërbimeve komunitare, rritjen e rolit të pushtetit vendor dhe ndërtimin e një sistemi më të integruar, më të aksesueshëm dhe më të ndjeshëm ndaj nevojave të grupeve në rrezik përjashtimi social.</w:t>
      </w:r>
    </w:p>
    <w:p w14:paraId="79E1318B" w14:textId="77777777" w:rsidR="005F2AC9" w:rsidRDefault="005F2AC9">
      <w:pPr>
        <w:spacing w:after="0"/>
        <w:jc w:val="both"/>
        <w:rPr>
          <w:rFonts w:ascii="Times New Roman" w:hAnsi="Times New Roman"/>
          <w:b/>
          <w:bCs/>
          <w:color w:val="000000" w:themeColor="text1"/>
          <w:sz w:val="24"/>
          <w:szCs w:val="24"/>
          <w:lang w:val="sq-AL"/>
        </w:rPr>
      </w:pPr>
    </w:p>
    <w:p w14:paraId="4F36903D" w14:textId="77777777" w:rsidR="005F2AC9" w:rsidRDefault="005F2AC9">
      <w:pPr>
        <w:spacing w:after="0"/>
        <w:jc w:val="both"/>
        <w:rPr>
          <w:rFonts w:ascii="Times New Roman" w:hAnsi="Times New Roman"/>
          <w:b/>
          <w:bCs/>
          <w:color w:val="000000" w:themeColor="text1"/>
          <w:sz w:val="24"/>
          <w:szCs w:val="24"/>
          <w:lang w:val="sq-AL"/>
        </w:rPr>
      </w:pPr>
    </w:p>
    <w:p w14:paraId="7B485FFB" w14:textId="77777777" w:rsidR="005F2AC9" w:rsidRDefault="005F2AC9">
      <w:pPr>
        <w:spacing w:after="0"/>
        <w:jc w:val="both"/>
        <w:rPr>
          <w:rFonts w:ascii="Times New Roman" w:hAnsi="Times New Roman"/>
          <w:b/>
          <w:bCs/>
          <w:color w:val="000000" w:themeColor="text1"/>
          <w:sz w:val="24"/>
          <w:szCs w:val="24"/>
          <w:lang w:val="sq-AL"/>
        </w:rPr>
      </w:pPr>
    </w:p>
    <w:p w14:paraId="229708A3" w14:textId="77777777" w:rsidR="005F2AC9" w:rsidRDefault="00B56839">
      <w:pPr>
        <w:spacing w:after="0"/>
        <w:jc w:val="both"/>
        <w:rPr>
          <w:rFonts w:ascii="Times New Roman" w:hAnsi="Times New Roman"/>
          <w:b/>
          <w:bCs/>
          <w:color w:val="000000" w:themeColor="text1"/>
          <w:sz w:val="24"/>
          <w:szCs w:val="24"/>
          <w:lang w:val="sq-AL"/>
        </w:rPr>
      </w:pPr>
      <w:bookmarkStart w:id="14" w:name="_Toc150809624"/>
      <w:bookmarkStart w:id="15" w:name="_Toc156593596"/>
      <w:r>
        <w:rPr>
          <w:rFonts w:ascii="Times New Roman" w:hAnsi="Times New Roman"/>
          <w:b/>
          <w:bCs/>
          <w:color w:val="000000" w:themeColor="text1"/>
          <w:sz w:val="24"/>
          <w:szCs w:val="24"/>
          <w:lang w:val="sq-AL"/>
        </w:rPr>
        <w:lastRenderedPageBreak/>
        <w:t>VIZIONI: Mbrojtje sociale në një mjedis mundësues dhe fuqizues për çdo individ në nevojë, duke garantuar jetesë dinjitoze përgjatë ciklit të jetës</w:t>
      </w:r>
      <w:bookmarkEnd w:id="14"/>
      <w:r>
        <w:rPr>
          <w:rFonts w:ascii="Times New Roman" w:hAnsi="Times New Roman"/>
          <w:b/>
          <w:bCs/>
          <w:color w:val="000000" w:themeColor="text1"/>
          <w:sz w:val="24"/>
          <w:szCs w:val="24"/>
          <w:lang w:val="sq-AL"/>
        </w:rPr>
        <w:t>.</w:t>
      </w:r>
      <w:bookmarkEnd w:id="15"/>
    </w:p>
    <w:p w14:paraId="173310C9" w14:textId="77777777" w:rsidR="005F2AC9" w:rsidRDefault="005F2AC9">
      <w:pPr>
        <w:spacing w:after="0"/>
        <w:jc w:val="both"/>
        <w:rPr>
          <w:rFonts w:ascii="Times New Roman" w:hAnsi="Times New Roman"/>
          <w:color w:val="000000" w:themeColor="text1"/>
          <w:sz w:val="24"/>
          <w:szCs w:val="24"/>
          <w:lang w:val="pt-BR"/>
        </w:rPr>
      </w:pPr>
    </w:p>
    <w:p w14:paraId="1D17B202" w14:textId="77777777" w:rsidR="005F2AC9" w:rsidRDefault="00B56839">
      <w:pPr>
        <w:pStyle w:val="Heading1"/>
        <w:rPr>
          <w:color w:val="000000" w:themeColor="text1"/>
          <w:lang w:val="sq-AL"/>
        </w:rPr>
      </w:pPr>
      <w:bookmarkStart w:id="16" w:name="_Toc156593598"/>
      <w:bookmarkStart w:id="17" w:name="_Toc150809626"/>
      <w:r>
        <w:rPr>
          <w:b/>
          <w:bCs/>
          <w:color w:val="000000" w:themeColor="text1"/>
          <w:lang w:val="sq-AL"/>
        </w:rPr>
        <w:t>Qëllimi i politikës A:</w:t>
      </w:r>
      <w:r>
        <w:rPr>
          <w:color w:val="000000" w:themeColor="text1"/>
          <w:lang w:val="sq-AL"/>
        </w:rPr>
        <w:t xml:space="preserve"> Zbutja e varfërisë për çdo individ në nevojë dhe përmirësimi i jetesës për personat me Aftësi të Kufizuara përmes mbështetjes me skemat financiare dhe përfitimeve të përshtatshme, të përgjegjshme gjinore,  transparente, të afta për përballimin e rreziqeve e krizave.</w:t>
      </w:r>
      <w:bookmarkEnd w:id="16"/>
      <w:bookmarkEnd w:id="17"/>
    </w:p>
    <w:p w14:paraId="3114B90A" w14:textId="77777777" w:rsidR="005F2AC9" w:rsidRDefault="005F2AC9">
      <w:pPr>
        <w:pStyle w:val="Heading1"/>
        <w:rPr>
          <w:color w:val="000000" w:themeColor="text1"/>
        </w:rPr>
      </w:pPr>
      <w:bookmarkStart w:id="18" w:name="_Hlk136119358"/>
      <w:bookmarkEnd w:id="18"/>
    </w:p>
    <w:p w14:paraId="030B84F6" w14:textId="77777777" w:rsidR="005F2AC9" w:rsidRDefault="005F2AC9">
      <w:pPr>
        <w:spacing w:after="0"/>
        <w:jc w:val="both"/>
        <w:rPr>
          <w:rFonts w:ascii="Times New Roman" w:hAnsi="Times New Roman"/>
          <w:b/>
          <w:color w:val="000000" w:themeColor="text1"/>
          <w:sz w:val="24"/>
          <w:szCs w:val="24"/>
          <w:lang w:val="sq-AL"/>
        </w:rPr>
      </w:pPr>
    </w:p>
    <w:p w14:paraId="6BF87A0D" w14:textId="77777777" w:rsidR="005F2AC9" w:rsidRDefault="00B56839">
      <w:pPr>
        <w:pStyle w:val="Caption"/>
        <w:keepNext/>
        <w:jc w:val="both"/>
        <w:rPr>
          <w:color w:val="000000" w:themeColor="text1"/>
          <w:sz w:val="24"/>
          <w:szCs w:val="24"/>
          <w:lang w:val="it-IT"/>
        </w:rPr>
      </w:pPr>
      <w:r>
        <w:rPr>
          <w:rFonts w:ascii="Times New Roman" w:hAnsi="Times New Roman" w:cs="Times New Roman"/>
          <w:color w:val="000000" w:themeColor="text1"/>
          <w:sz w:val="24"/>
          <w:szCs w:val="24"/>
          <w:lang w:val="sq-AL"/>
        </w:rPr>
        <w:t>Statusi i Realizimit të Indikatorëve (në nr. dhe %) për Politikën A</w:t>
      </w:r>
    </w:p>
    <w:tbl>
      <w:tblPr>
        <w:tblW w:w="9250" w:type="dxa"/>
        <w:tblLayout w:type="fixed"/>
        <w:tblLook w:val="0000" w:firstRow="0" w:lastRow="0" w:firstColumn="0" w:lastColumn="0" w:noHBand="0" w:noVBand="0"/>
      </w:tblPr>
      <w:tblGrid>
        <w:gridCol w:w="2884"/>
        <w:gridCol w:w="1468"/>
        <w:gridCol w:w="1481"/>
        <w:gridCol w:w="1469"/>
        <w:gridCol w:w="1948"/>
      </w:tblGrid>
      <w:tr w:rsidR="005F2AC9" w14:paraId="35186CE6" w14:textId="77777777">
        <w:trPr>
          <w:trHeight w:val="300"/>
        </w:trPr>
        <w:tc>
          <w:tcPr>
            <w:tcW w:w="2884" w:type="dxa"/>
            <w:tcBorders>
              <w:top w:val="single" w:sz="8" w:space="0" w:color="000000"/>
              <w:left w:val="single" w:sz="8" w:space="0" w:color="000000"/>
              <w:bottom w:val="single" w:sz="4" w:space="0" w:color="000000"/>
              <w:right w:val="single" w:sz="8" w:space="0" w:color="000000"/>
            </w:tcBorders>
            <w:shd w:val="clear" w:color="auto" w:fill="F7CAAC"/>
          </w:tcPr>
          <w:p w14:paraId="366F36C4" w14:textId="77777777" w:rsidR="005F2AC9" w:rsidRDefault="00B56839">
            <w:pPr>
              <w:ind w:hanging="2"/>
              <w:jc w:val="both"/>
              <w:rPr>
                <w:color w:val="000000" w:themeColor="text1"/>
                <w:sz w:val="24"/>
                <w:szCs w:val="24"/>
              </w:rPr>
            </w:pPr>
            <w:r>
              <w:rPr>
                <w:b/>
                <w:bCs/>
                <w:color w:val="000000" w:themeColor="text1"/>
                <w:sz w:val="24"/>
                <w:szCs w:val="24"/>
              </w:rPr>
              <w:t xml:space="preserve">Gjithsej Indikatorë të parashikuar </w:t>
            </w:r>
          </w:p>
        </w:tc>
        <w:tc>
          <w:tcPr>
            <w:tcW w:w="2949" w:type="dxa"/>
            <w:gridSpan w:val="2"/>
            <w:tcBorders>
              <w:top w:val="single" w:sz="8" w:space="0" w:color="000000"/>
              <w:left w:val="single" w:sz="8" w:space="0" w:color="000000"/>
              <w:bottom w:val="single" w:sz="4" w:space="0" w:color="000000"/>
              <w:right w:val="single" w:sz="8" w:space="0" w:color="000000"/>
            </w:tcBorders>
            <w:shd w:val="clear" w:color="auto" w:fill="C5E0B3"/>
          </w:tcPr>
          <w:p w14:paraId="6394D94A" w14:textId="77777777" w:rsidR="005F2AC9" w:rsidRDefault="00B56839">
            <w:pPr>
              <w:ind w:hanging="2"/>
              <w:jc w:val="both"/>
              <w:rPr>
                <w:color w:val="000000" w:themeColor="text1"/>
                <w:sz w:val="24"/>
                <w:szCs w:val="24"/>
              </w:rPr>
            </w:pPr>
            <w:r>
              <w:rPr>
                <w:b/>
                <w:bCs/>
                <w:color w:val="000000" w:themeColor="text1"/>
                <w:sz w:val="24"/>
                <w:szCs w:val="24"/>
              </w:rPr>
              <w:t>Indikatorë të raportuar</w:t>
            </w:r>
          </w:p>
          <w:p w14:paraId="6060CEC9" w14:textId="77777777" w:rsidR="005F2AC9" w:rsidRDefault="005F2AC9">
            <w:pPr>
              <w:ind w:hanging="2"/>
              <w:jc w:val="both"/>
              <w:rPr>
                <w:color w:val="000000" w:themeColor="text1"/>
                <w:sz w:val="24"/>
                <w:szCs w:val="24"/>
              </w:rPr>
            </w:pPr>
          </w:p>
        </w:tc>
        <w:tc>
          <w:tcPr>
            <w:tcW w:w="3417" w:type="dxa"/>
            <w:gridSpan w:val="2"/>
            <w:tcBorders>
              <w:top w:val="single" w:sz="8" w:space="0" w:color="000000"/>
              <w:left w:val="single" w:sz="8" w:space="0" w:color="000000"/>
              <w:bottom w:val="single" w:sz="4" w:space="0" w:color="000000"/>
              <w:right w:val="single" w:sz="8" w:space="0" w:color="000000"/>
            </w:tcBorders>
            <w:shd w:val="clear" w:color="auto" w:fill="C5E0B3"/>
          </w:tcPr>
          <w:p w14:paraId="7CE9EC3A" w14:textId="77777777" w:rsidR="005F2AC9" w:rsidRDefault="00B56839">
            <w:pPr>
              <w:ind w:hanging="2"/>
              <w:jc w:val="both"/>
              <w:rPr>
                <w:color w:val="000000" w:themeColor="text1"/>
                <w:sz w:val="24"/>
                <w:szCs w:val="24"/>
              </w:rPr>
            </w:pPr>
            <w:r>
              <w:rPr>
                <w:b/>
                <w:bCs/>
                <w:color w:val="000000" w:themeColor="text1"/>
                <w:sz w:val="24"/>
                <w:szCs w:val="24"/>
              </w:rPr>
              <w:t>Indikatorë të realizuar</w:t>
            </w:r>
          </w:p>
        </w:tc>
      </w:tr>
      <w:tr w:rsidR="005F2AC9" w14:paraId="6AC1591F" w14:textId="77777777">
        <w:trPr>
          <w:trHeight w:val="300"/>
        </w:trPr>
        <w:tc>
          <w:tcPr>
            <w:tcW w:w="2884" w:type="dxa"/>
            <w:tcBorders>
              <w:top w:val="single" w:sz="4" w:space="0" w:color="000000"/>
              <w:left w:val="single" w:sz="8" w:space="0" w:color="000000"/>
              <w:bottom w:val="single" w:sz="8" w:space="0" w:color="000000"/>
              <w:right w:val="single" w:sz="8" w:space="0" w:color="000000"/>
            </w:tcBorders>
            <w:shd w:val="clear" w:color="auto" w:fill="F7CAAC"/>
          </w:tcPr>
          <w:p w14:paraId="051688E7" w14:textId="77777777" w:rsidR="005F2AC9" w:rsidRDefault="00B56839">
            <w:pPr>
              <w:ind w:hanging="2"/>
              <w:jc w:val="both"/>
              <w:rPr>
                <w:color w:val="000000" w:themeColor="text1"/>
                <w:sz w:val="24"/>
                <w:szCs w:val="24"/>
              </w:rPr>
            </w:pPr>
            <w:r>
              <w:rPr>
                <w:color w:val="000000" w:themeColor="text1"/>
                <w:sz w:val="24"/>
                <w:szCs w:val="24"/>
              </w:rPr>
              <w:t>24</w:t>
            </w:r>
          </w:p>
        </w:tc>
        <w:tc>
          <w:tcPr>
            <w:tcW w:w="1468" w:type="dxa"/>
            <w:tcBorders>
              <w:top w:val="single" w:sz="4" w:space="0" w:color="000000"/>
              <w:left w:val="single" w:sz="8" w:space="0" w:color="000000"/>
              <w:bottom w:val="single" w:sz="8" w:space="0" w:color="000000"/>
              <w:right w:val="single" w:sz="8" w:space="0" w:color="000000"/>
            </w:tcBorders>
            <w:shd w:val="clear" w:color="auto" w:fill="C5E0B3"/>
          </w:tcPr>
          <w:p w14:paraId="4C8EB51F" w14:textId="77777777" w:rsidR="005F2AC9" w:rsidRDefault="00B56839">
            <w:pPr>
              <w:ind w:hanging="2"/>
              <w:jc w:val="both"/>
              <w:rPr>
                <w:color w:val="000000" w:themeColor="text1"/>
                <w:sz w:val="24"/>
                <w:szCs w:val="24"/>
              </w:rPr>
            </w:pPr>
            <w:r>
              <w:rPr>
                <w:color w:val="000000" w:themeColor="text1"/>
                <w:sz w:val="24"/>
                <w:szCs w:val="24"/>
              </w:rPr>
              <w:t>21</w:t>
            </w:r>
          </w:p>
        </w:tc>
        <w:tc>
          <w:tcPr>
            <w:tcW w:w="1481" w:type="dxa"/>
            <w:tcBorders>
              <w:top w:val="single" w:sz="4" w:space="0" w:color="000000"/>
              <w:left w:val="single" w:sz="8" w:space="0" w:color="000000"/>
              <w:bottom w:val="single" w:sz="8" w:space="0" w:color="000000"/>
              <w:right w:val="single" w:sz="8" w:space="0" w:color="000000"/>
            </w:tcBorders>
            <w:shd w:val="clear" w:color="auto" w:fill="C5E0B3"/>
          </w:tcPr>
          <w:p w14:paraId="19C750BD" w14:textId="77777777" w:rsidR="005F2AC9" w:rsidRDefault="00B56839">
            <w:pPr>
              <w:ind w:hanging="2"/>
              <w:jc w:val="both"/>
              <w:rPr>
                <w:color w:val="000000" w:themeColor="text1"/>
                <w:sz w:val="24"/>
                <w:szCs w:val="24"/>
              </w:rPr>
            </w:pPr>
            <w:r>
              <w:rPr>
                <w:color w:val="000000" w:themeColor="text1"/>
                <w:sz w:val="24"/>
                <w:szCs w:val="24"/>
              </w:rPr>
              <w:t>87.5%</w:t>
            </w:r>
          </w:p>
        </w:tc>
        <w:tc>
          <w:tcPr>
            <w:tcW w:w="1469" w:type="dxa"/>
            <w:tcBorders>
              <w:top w:val="single" w:sz="4" w:space="0" w:color="000000"/>
              <w:left w:val="single" w:sz="8" w:space="0" w:color="000000"/>
              <w:bottom w:val="single" w:sz="8" w:space="0" w:color="000000"/>
              <w:right w:val="single" w:sz="8" w:space="0" w:color="000000"/>
            </w:tcBorders>
            <w:shd w:val="clear" w:color="auto" w:fill="C5E0B3"/>
          </w:tcPr>
          <w:p w14:paraId="0E711A69" w14:textId="77777777" w:rsidR="005F2AC9" w:rsidRDefault="00B56839">
            <w:pPr>
              <w:ind w:hanging="2"/>
              <w:jc w:val="both"/>
              <w:rPr>
                <w:color w:val="000000" w:themeColor="text1"/>
                <w:sz w:val="24"/>
                <w:szCs w:val="24"/>
              </w:rPr>
            </w:pPr>
            <w:r>
              <w:rPr>
                <w:color w:val="000000" w:themeColor="text1"/>
                <w:sz w:val="24"/>
                <w:szCs w:val="24"/>
              </w:rPr>
              <w:t>21</w:t>
            </w:r>
          </w:p>
        </w:tc>
        <w:tc>
          <w:tcPr>
            <w:tcW w:w="1948" w:type="dxa"/>
            <w:tcBorders>
              <w:top w:val="single" w:sz="4" w:space="0" w:color="000000"/>
              <w:left w:val="single" w:sz="8" w:space="0" w:color="000000"/>
              <w:bottom w:val="single" w:sz="8" w:space="0" w:color="000000"/>
              <w:right w:val="single" w:sz="8" w:space="0" w:color="000000"/>
            </w:tcBorders>
            <w:shd w:val="clear" w:color="auto" w:fill="C5E0B3"/>
          </w:tcPr>
          <w:p w14:paraId="240EE704" w14:textId="77777777" w:rsidR="005F2AC9" w:rsidRDefault="00B56839">
            <w:pPr>
              <w:tabs>
                <w:tab w:val="left" w:pos="435"/>
                <w:tab w:val="center" w:pos="748"/>
              </w:tabs>
              <w:ind w:hanging="2"/>
              <w:jc w:val="both"/>
              <w:rPr>
                <w:color w:val="000000" w:themeColor="text1"/>
                <w:sz w:val="24"/>
                <w:szCs w:val="24"/>
              </w:rPr>
            </w:pPr>
            <w:r>
              <w:rPr>
                <w:color w:val="000000" w:themeColor="text1"/>
                <w:sz w:val="24"/>
                <w:szCs w:val="24"/>
              </w:rPr>
              <w:t>100%</w:t>
            </w:r>
          </w:p>
        </w:tc>
      </w:tr>
    </w:tbl>
    <w:p w14:paraId="1684DDD8" w14:textId="77777777" w:rsidR="005F2AC9" w:rsidRDefault="005F2AC9">
      <w:pPr>
        <w:spacing w:after="0"/>
        <w:jc w:val="both"/>
        <w:rPr>
          <w:rFonts w:ascii="Times New Roman" w:hAnsi="Times New Roman"/>
          <w:b/>
          <w:bCs/>
          <w:i/>
          <w:iCs/>
          <w:color w:val="000000" w:themeColor="text1"/>
          <w:sz w:val="24"/>
          <w:szCs w:val="24"/>
          <w:u w:val="single"/>
          <w:lang w:val="sq-AL"/>
        </w:rPr>
      </w:pPr>
    </w:p>
    <w:p w14:paraId="023F6A4F" w14:textId="77777777" w:rsidR="005F2AC9" w:rsidRDefault="00B56839">
      <w:pPr>
        <w:spacing w:after="0"/>
        <w:jc w:val="both"/>
        <w:rPr>
          <w:rFonts w:ascii="Times New Roman" w:hAnsi="Times New Roman"/>
          <w:b/>
          <w:bCs/>
          <w:i/>
          <w:iCs/>
          <w:color w:val="000000" w:themeColor="text1"/>
          <w:sz w:val="24"/>
          <w:szCs w:val="24"/>
          <w:lang w:val="sq-AL"/>
        </w:rPr>
      </w:pPr>
      <w:bookmarkStart w:id="19" w:name="_Toc156593599"/>
      <w:bookmarkStart w:id="20" w:name="_Toc150809627"/>
      <w:r>
        <w:rPr>
          <w:rFonts w:ascii="Times New Roman" w:hAnsi="Times New Roman"/>
          <w:b/>
          <w:bCs/>
          <w:i/>
          <w:iCs/>
          <w:color w:val="000000" w:themeColor="text1"/>
          <w:sz w:val="24"/>
          <w:szCs w:val="24"/>
          <w:u w:val="single"/>
          <w:lang w:val="sq-AL"/>
        </w:rPr>
        <w:t>Objektivi specifik/strategjik A1:</w:t>
      </w:r>
      <w:r>
        <w:rPr>
          <w:rFonts w:ascii="Times New Roman" w:hAnsi="Times New Roman"/>
          <w:b/>
          <w:bCs/>
          <w:i/>
          <w:iCs/>
          <w:color w:val="000000" w:themeColor="text1"/>
          <w:sz w:val="24"/>
          <w:szCs w:val="24"/>
          <w:lang w:val="sq-AL"/>
        </w:rPr>
        <w:t xml:space="preserve"> Të përmirësohet performanca, përshtatshmëria dhe përgjigjja ndaj krizave e skemave financiare dhe përfitimeve për individët (burra, gra, djem dhe vajza)</w:t>
      </w:r>
      <w:bookmarkEnd w:id="19"/>
      <w:bookmarkEnd w:id="20"/>
      <w:r>
        <w:rPr>
          <w:rFonts w:ascii="Times New Roman" w:hAnsi="Times New Roman"/>
          <w:b/>
          <w:bCs/>
          <w:i/>
          <w:iCs/>
          <w:color w:val="000000" w:themeColor="text1"/>
          <w:sz w:val="24"/>
          <w:szCs w:val="24"/>
          <w:lang w:val="sq-AL"/>
        </w:rPr>
        <w:t>.</w:t>
      </w:r>
    </w:p>
    <w:p w14:paraId="55DE0D13" w14:textId="77777777" w:rsidR="005F2AC9" w:rsidRDefault="005F2AC9">
      <w:pPr>
        <w:spacing w:after="0"/>
        <w:jc w:val="both"/>
        <w:rPr>
          <w:rFonts w:ascii="Times New Roman" w:hAnsi="Times New Roman"/>
          <w:bCs/>
          <w:color w:val="000000" w:themeColor="text1"/>
          <w:sz w:val="24"/>
          <w:szCs w:val="24"/>
        </w:rPr>
      </w:pPr>
      <w:bookmarkStart w:id="21" w:name="_Toc156593600"/>
    </w:p>
    <w:p w14:paraId="42A86A78" w14:textId="77777777" w:rsidR="005F2AC9" w:rsidRDefault="00B56839">
      <w:pPr>
        <w:spacing w:after="0"/>
        <w:jc w:val="both"/>
        <w:rPr>
          <w:rFonts w:ascii="Times New Roman" w:hAnsi="Times New Roman"/>
          <w:color w:val="000000" w:themeColor="text1"/>
          <w:sz w:val="24"/>
          <w:szCs w:val="24"/>
          <w:lang w:eastAsia="fr-FR"/>
        </w:rPr>
      </w:pPr>
      <w:r>
        <w:rPr>
          <w:rFonts w:ascii="Times New Roman" w:hAnsi="Times New Roman"/>
          <w:color w:val="000000" w:themeColor="text1"/>
          <w:sz w:val="24"/>
          <w:szCs w:val="24"/>
          <w:lang w:eastAsia="fr-FR"/>
        </w:rPr>
        <w:t xml:space="preserve">Ky objektiv specifik, synon të realizohet nëpërmjet masave prioritare: </w:t>
      </w:r>
    </w:p>
    <w:p w14:paraId="520962E5" w14:textId="77777777" w:rsidR="005F2AC9" w:rsidRDefault="00B56839">
      <w:pPr>
        <w:spacing w:after="0"/>
        <w:jc w:val="both"/>
        <w:rPr>
          <w:rFonts w:ascii="Times New Roman" w:hAnsi="Times New Roman"/>
          <w:bCs/>
          <w:color w:val="000000" w:themeColor="text1"/>
          <w:sz w:val="24"/>
          <w:szCs w:val="24"/>
        </w:rPr>
      </w:pPr>
      <w:r>
        <w:rPr>
          <w:rFonts w:ascii="Times New Roman" w:hAnsi="Times New Roman"/>
          <w:bCs/>
          <w:color w:val="000000" w:themeColor="text1"/>
          <w:sz w:val="24"/>
          <w:szCs w:val="24"/>
        </w:rPr>
        <w:t>A.1.1 Përmirësimi i performancës, transparencës dhe miradministrimit në të gjitha nivelet të skemës së ndihmës ekonomike dhe përfitimeve të tjera për të siguruar plotësim efektiv dhe të ndjeshëm gjinor të nevojave të çdo individi.</w:t>
      </w:r>
    </w:p>
    <w:p w14:paraId="4D23DB35" w14:textId="77777777" w:rsidR="005F2AC9" w:rsidRDefault="00B56839">
      <w:pPr>
        <w:spacing w:after="0"/>
        <w:jc w:val="both"/>
        <w:rPr>
          <w:rFonts w:ascii="Times New Roman" w:hAnsi="Times New Roman"/>
          <w:bCs/>
          <w:color w:val="000000" w:themeColor="text1"/>
          <w:sz w:val="24"/>
          <w:szCs w:val="24"/>
        </w:rPr>
      </w:pPr>
      <w:r>
        <w:rPr>
          <w:rFonts w:ascii="Times New Roman" w:hAnsi="Times New Roman"/>
          <w:bCs/>
          <w:color w:val="000000" w:themeColor="text1"/>
          <w:sz w:val="24"/>
          <w:szCs w:val="24"/>
        </w:rPr>
        <w:t>A.1.2 Përmirësimi i riintegrimit social- ekonomik i individëve, burra dhe gra pjesë e skemës së ndihmës ekonomike, përmes lidhjes me punësimin dhe promovimi i ndërmarrjeve sociale.</w:t>
      </w:r>
    </w:p>
    <w:p w14:paraId="739D6F4B" w14:textId="77777777" w:rsidR="005F2AC9" w:rsidRDefault="00B56839">
      <w:pPr>
        <w:spacing w:after="0"/>
        <w:jc w:val="both"/>
        <w:rPr>
          <w:rFonts w:ascii="Times New Roman" w:hAnsi="Times New Roman"/>
          <w:bCs/>
          <w:color w:val="000000" w:themeColor="text1"/>
          <w:sz w:val="24"/>
          <w:szCs w:val="24"/>
        </w:rPr>
      </w:pPr>
      <w:r>
        <w:rPr>
          <w:rFonts w:ascii="Times New Roman" w:hAnsi="Times New Roman"/>
          <w:bCs/>
          <w:color w:val="000000" w:themeColor="text1"/>
          <w:sz w:val="24"/>
          <w:szCs w:val="24"/>
        </w:rPr>
        <w:t>A.1.3 Përmirësimi i aftësisë së programit të ndihmës ekonomike dhe përfitimeve financiare për t’iu përgjigjur në kohë vulnerabiliteteve të situatave të krizave dhe emergjencave.</w:t>
      </w:r>
    </w:p>
    <w:p w14:paraId="79C397CA" w14:textId="77777777" w:rsidR="005F2AC9" w:rsidRDefault="005F2AC9">
      <w:pPr>
        <w:spacing w:after="0"/>
        <w:jc w:val="both"/>
        <w:rPr>
          <w:rFonts w:ascii="Times New Roman" w:hAnsi="Times New Roman"/>
          <w:color w:val="000000" w:themeColor="text1"/>
          <w:sz w:val="24"/>
          <w:szCs w:val="24"/>
          <w:lang w:val="sq-AL"/>
        </w:rPr>
      </w:pPr>
    </w:p>
    <w:p w14:paraId="5FA310D9" w14:textId="77777777" w:rsidR="005F2AC9" w:rsidRDefault="005F2AC9">
      <w:pPr>
        <w:spacing w:after="0"/>
        <w:contextualSpacing/>
        <w:jc w:val="both"/>
        <w:rPr>
          <w:rFonts w:ascii="Times New Roman" w:hAnsi="Times New Roman"/>
          <w:color w:val="000000" w:themeColor="text1"/>
          <w:sz w:val="24"/>
          <w:szCs w:val="24"/>
          <w:lang w:val="sq-AL"/>
        </w:rPr>
      </w:pPr>
    </w:p>
    <w:p w14:paraId="0DCA4767" w14:textId="77777777" w:rsidR="005F2AC9" w:rsidRDefault="005F2AC9">
      <w:pPr>
        <w:spacing w:after="0"/>
        <w:contextualSpacing/>
        <w:jc w:val="both"/>
        <w:rPr>
          <w:rFonts w:ascii="Times New Roman" w:eastAsia="Times New Roman" w:hAnsi="Times New Roman" w:cs="Times New Roman"/>
          <w:b/>
          <w:bCs/>
          <w:color w:val="000000" w:themeColor="text1"/>
          <w:sz w:val="24"/>
          <w:szCs w:val="24"/>
          <w:lang w:val="it-IT"/>
        </w:rPr>
      </w:pPr>
    </w:p>
    <w:p w14:paraId="2421E37B" w14:textId="77777777" w:rsidR="005F2AC9" w:rsidRDefault="005F2AC9">
      <w:pPr>
        <w:spacing w:after="0"/>
        <w:contextualSpacing/>
        <w:jc w:val="both"/>
        <w:rPr>
          <w:rFonts w:ascii="Times New Roman" w:eastAsia="Times New Roman" w:hAnsi="Times New Roman" w:cs="Times New Roman"/>
          <w:b/>
          <w:bCs/>
          <w:color w:val="000000" w:themeColor="text1"/>
          <w:sz w:val="24"/>
          <w:szCs w:val="24"/>
          <w:lang w:val="it-IT"/>
        </w:rPr>
      </w:pPr>
    </w:p>
    <w:p w14:paraId="4320ADD7" w14:textId="77777777" w:rsidR="005F2AC9" w:rsidRDefault="005F2AC9">
      <w:pPr>
        <w:spacing w:after="0"/>
        <w:contextualSpacing/>
        <w:jc w:val="both"/>
        <w:rPr>
          <w:rFonts w:ascii="Times New Roman" w:eastAsia="Times New Roman" w:hAnsi="Times New Roman" w:cs="Times New Roman"/>
          <w:b/>
          <w:bCs/>
          <w:color w:val="000000" w:themeColor="text1"/>
          <w:sz w:val="24"/>
          <w:szCs w:val="24"/>
          <w:lang w:val="it-IT"/>
        </w:rPr>
      </w:pPr>
    </w:p>
    <w:p w14:paraId="57B9E7DF" w14:textId="77777777" w:rsidR="005F2AC9" w:rsidRDefault="005F2AC9">
      <w:pPr>
        <w:spacing w:after="0"/>
        <w:contextualSpacing/>
        <w:jc w:val="both"/>
        <w:rPr>
          <w:rFonts w:ascii="Times New Roman" w:eastAsia="Times New Roman" w:hAnsi="Times New Roman" w:cs="Times New Roman"/>
          <w:b/>
          <w:bCs/>
          <w:color w:val="000000" w:themeColor="text1"/>
          <w:sz w:val="24"/>
          <w:szCs w:val="24"/>
          <w:lang w:val="it-IT"/>
        </w:rPr>
      </w:pPr>
    </w:p>
    <w:p w14:paraId="12013CE4" w14:textId="77777777" w:rsidR="005F2AC9" w:rsidRDefault="005F2AC9">
      <w:pPr>
        <w:spacing w:after="0"/>
        <w:contextualSpacing/>
        <w:jc w:val="both"/>
        <w:rPr>
          <w:rFonts w:ascii="Times New Roman" w:eastAsia="Times New Roman" w:hAnsi="Times New Roman" w:cs="Times New Roman"/>
          <w:b/>
          <w:bCs/>
          <w:color w:val="000000" w:themeColor="text1"/>
          <w:sz w:val="24"/>
          <w:szCs w:val="24"/>
          <w:lang w:val="it-IT"/>
        </w:rPr>
      </w:pPr>
    </w:p>
    <w:p w14:paraId="5489B95D" w14:textId="77777777" w:rsidR="005F2AC9" w:rsidRDefault="00B56839">
      <w:pPr>
        <w:spacing w:after="0"/>
        <w:ind w:firstLine="720"/>
        <w:contextualSpacing/>
        <w:jc w:val="both"/>
        <w:rPr>
          <w:rFonts w:ascii="Times New Roman" w:eastAsia="Times New Roman" w:hAnsi="Times New Roman" w:cs="Times New Roman"/>
          <w:b/>
          <w:bCs/>
          <w:color w:val="000000" w:themeColor="text1"/>
          <w:sz w:val="24"/>
          <w:szCs w:val="24"/>
          <w:lang w:val="pt-BR"/>
        </w:rPr>
      </w:pPr>
      <w:r>
        <w:rPr>
          <w:rFonts w:ascii="Times New Roman" w:eastAsia="Times New Roman" w:hAnsi="Times New Roman" w:cs="Times New Roman"/>
          <w:b/>
          <w:bCs/>
          <w:color w:val="000000" w:themeColor="text1"/>
          <w:sz w:val="24"/>
          <w:szCs w:val="24"/>
          <w:lang w:val="it-IT"/>
        </w:rPr>
        <w:t>Tabela:</w:t>
      </w:r>
      <w:r>
        <w:rPr>
          <w:rFonts w:eastAsia="Garamond" w:cs="Garamond"/>
          <w:b/>
          <w:bCs/>
          <w:color w:val="000000" w:themeColor="text1"/>
          <w:lang w:val="it-IT"/>
        </w:rPr>
        <w:t xml:space="preserve"> </w:t>
      </w:r>
      <w:r>
        <w:rPr>
          <w:rFonts w:ascii="Times New Roman" w:eastAsia="Times New Roman" w:hAnsi="Times New Roman" w:cs="Times New Roman"/>
          <w:b/>
          <w:bCs/>
          <w:color w:val="000000" w:themeColor="text1"/>
          <w:sz w:val="24"/>
          <w:szCs w:val="24"/>
          <w:lang w:val="pt-BR"/>
        </w:rPr>
        <w:t>Indikatorët e Pasaportës për Objektivin specifik A.1</w:t>
      </w:r>
    </w:p>
    <w:p w14:paraId="42990A03" w14:textId="77777777" w:rsidR="005F2AC9" w:rsidRDefault="005F2AC9">
      <w:pPr>
        <w:spacing w:after="0"/>
        <w:contextualSpacing/>
        <w:jc w:val="both"/>
        <w:rPr>
          <w:rFonts w:ascii="Times New Roman" w:eastAsia="Times New Roman" w:hAnsi="Times New Roman" w:cs="Times New Roman"/>
          <w:b/>
          <w:bCs/>
          <w:color w:val="000000" w:themeColor="text1"/>
          <w:sz w:val="24"/>
          <w:szCs w:val="24"/>
          <w:lang w:val="pt-BR"/>
        </w:rPr>
      </w:pPr>
    </w:p>
    <w:tbl>
      <w:tblPr>
        <w:tblStyle w:val="TableGrid"/>
        <w:tblW w:w="9119" w:type="dxa"/>
        <w:tblInd w:w="135" w:type="dxa"/>
        <w:tblLayout w:type="fixed"/>
        <w:tblLook w:val="04A0" w:firstRow="1" w:lastRow="0" w:firstColumn="1" w:lastColumn="0" w:noHBand="0" w:noVBand="1"/>
      </w:tblPr>
      <w:tblGrid>
        <w:gridCol w:w="954"/>
        <w:gridCol w:w="1481"/>
        <w:gridCol w:w="1568"/>
        <w:gridCol w:w="925"/>
        <w:gridCol w:w="946"/>
        <w:gridCol w:w="927"/>
        <w:gridCol w:w="1218"/>
        <w:gridCol w:w="1100"/>
      </w:tblGrid>
      <w:tr w:rsidR="005F2AC9" w14:paraId="04F8B64E" w14:textId="77777777">
        <w:trPr>
          <w:trHeight w:val="1980"/>
        </w:trPr>
        <w:tc>
          <w:tcPr>
            <w:tcW w:w="953" w:type="dxa"/>
            <w:tcBorders>
              <w:top w:val="single" w:sz="6" w:space="0" w:color="000000"/>
              <w:left w:val="single" w:sz="6" w:space="0" w:color="000000"/>
              <w:bottom w:val="single" w:sz="6" w:space="0" w:color="000000"/>
              <w:right w:val="single" w:sz="6" w:space="0" w:color="000000"/>
            </w:tcBorders>
            <w:shd w:val="clear" w:color="auto" w:fill="DAE8F8"/>
            <w:vAlign w:val="center"/>
          </w:tcPr>
          <w:p w14:paraId="0421FE25" w14:textId="77777777" w:rsidR="005F2AC9" w:rsidRDefault="005F2AC9">
            <w:pPr>
              <w:spacing w:before="0" w:after="0" w:line="240" w:lineRule="auto"/>
              <w:rPr>
                <w:rFonts w:ascii="Times New Roman" w:eastAsia="Times New Roman" w:hAnsi="Times New Roman" w:cs="Times New Roman"/>
                <w:b/>
                <w:bCs/>
                <w:color w:val="000000" w:themeColor="text1"/>
              </w:rPr>
            </w:pPr>
          </w:p>
        </w:tc>
        <w:tc>
          <w:tcPr>
            <w:tcW w:w="1481" w:type="dxa"/>
            <w:tcBorders>
              <w:top w:val="single" w:sz="6" w:space="0" w:color="000000"/>
              <w:left w:val="single" w:sz="6" w:space="0" w:color="000000"/>
              <w:bottom w:val="single" w:sz="6" w:space="0" w:color="000000"/>
              <w:right w:val="single" w:sz="6" w:space="0" w:color="000000"/>
            </w:tcBorders>
            <w:shd w:val="clear" w:color="auto" w:fill="DAE8F8"/>
          </w:tcPr>
          <w:p w14:paraId="271F77E2" w14:textId="77777777" w:rsidR="005F2AC9" w:rsidRDefault="00B56839">
            <w:pPr>
              <w:spacing w:before="0"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Objektivat</w:t>
            </w:r>
          </w:p>
        </w:tc>
        <w:tc>
          <w:tcPr>
            <w:tcW w:w="1568" w:type="dxa"/>
            <w:tcBorders>
              <w:top w:val="single" w:sz="6" w:space="0" w:color="000000"/>
              <w:left w:val="single" w:sz="6" w:space="0" w:color="000000"/>
              <w:bottom w:val="single" w:sz="6" w:space="0" w:color="000000"/>
              <w:right w:val="single" w:sz="6" w:space="0" w:color="000000"/>
            </w:tcBorders>
            <w:shd w:val="clear" w:color="auto" w:fill="DAE8F8"/>
          </w:tcPr>
          <w:p w14:paraId="7D46D38B" w14:textId="77777777" w:rsidR="005F2AC9" w:rsidRDefault="00B56839">
            <w:pPr>
              <w:spacing w:before="0"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Treguesi</w:t>
            </w:r>
          </w:p>
        </w:tc>
        <w:tc>
          <w:tcPr>
            <w:tcW w:w="925" w:type="dxa"/>
            <w:tcBorders>
              <w:top w:val="single" w:sz="6" w:space="0" w:color="000000"/>
              <w:left w:val="single" w:sz="6" w:space="0" w:color="000000"/>
              <w:bottom w:val="single" w:sz="6" w:space="0" w:color="000000"/>
              <w:right w:val="single" w:sz="6" w:space="0" w:color="000000"/>
            </w:tcBorders>
            <w:shd w:val="clear" w:color="auto" w:fill="DAE8F8"/>
          </w:tcPr>
          <w:p w14:paraId="212E6F6A" w14:textId="77777777" w:rsidR="005F2AC9" w:rsidRDefault="00B56839">
            <w:pPr>
              <w:spacing w:before="0" w:after="0" w:line="240" w:lineRule="auto"/>
              <w:rPr>
                <w:color w:val="000000" w:themeColor="text1"/>
              </w:rPr>
            </w:pPr>
            <w:r>
              <w:rPr>
                <w:rFonts w:ascii="Times New Roman" w:eastAsia="Times New Roman" w:hAnsi="Times New Roman" w:cs="Times New Roman"/>
                <w:b/>
                <w:bCs/>
                <w:color w:val="000000" w:themeColor="text1"/>
              </w:rPr>
              <w:t>Vlera bazë</w:t>
            </w:r>
          </w:p>
        </w:tc>
        <w:tc>
          <w:tcPr>
            <w:tcW w:w="946" w:type="dxa"/>
            <w:tcBorders>
              <w:top w:val="single" w:sz="6" w:space="0" w:color="000000"/>
              <w:left w:val="single" w:sz="6" w:space="0" w:color="000000"/>
              <w:bottom w:val="single" w:sz="6" w:space="0" w:color="000000"/>
              <w:right w:val="single" w:sz="6" w:space="0" w:color="000000"/>
            </w:tcBorders>
            <w:shd w:val="clear" w:color="auto" w:fill="DAE8F8"/>
          </w:tcPr>
          <w:p w14:paraId="0D74E8FD" w14:textId="77777777" w:rsidR="005F2AC9" w:rsidRDefault="00B56839">
            <w:pPr>
              <w:spacing w:before="0" w:after="0" w:line="240" w:lineRule="auto"/>
              <w:jc w:val="center"/>
              <w:rPr>
                <w:color w:val="000000" w:themeColor="text1"/>
              </w:rPr>
            </w:pPr>
            <w:r>
              <w:rPr>
                <w:rFonts w:ascii="Times New Roman" w:eastAsia="Times New Roman" w:hAnsi="Times New Roman" w:cs="Times New Roman"/>
                <w:b/>
                <w:bCs/>
                <w:color w:val="000000" w:themeColor="text1"/>
                <w:lang w:val="sq-AL"/>
              </w:rPr>
              <w:t>Viti 2025</w:t>
            </w:r>
          </w:p>
          <w:p w14:paraId="591ADD38" w14:textId="77777777" w:rsidR="005F2AC9" w:rsidRDefault="005F2AC9">
            <w:pPr>
              <w:spacing w:before="0" w:after="0" w:line="240" w:lineRule="auto"/>
              <w:rPr>
                <w:rFonts w:ascii="Times New Roman" w:eastAsia="Times New Roman" w:hAnsi="Times New Roman" w:cs="Times New Roman"/>
                <w:color w:val="000000" w:themeColor="text1"/>
              </w:rPr>
            </w:pPr>
          </w:p>
        </w:tc>
        <w:tc>
          <w:tcPr>
            <w:tcW w:w="927" w:type="dxa"/>
            <w:tcBorders>
              <w:top w:val="single" w:sz="6" w:space="0" w:color="000000"/>
              <w:left w:val="single" w:sz="6" w:space="0" w:color="000000"/>
              <w:bottom w:val="single" w:sz="6" w:space="0" w:color="000000"/>
              <w:right w:val="single" w:sz="6" w:space="0" w:color="000000"/>
            </w:tcBorders>
            <w:shd w:val="clear" w:color="auto" w:fill="DAE8F8"/>
          </w:tcPr>
          <w:p w14:paraId="76A586BB" w14:textId="77777777" w:rsidR="005F2AC9" w:rsidRDefault="00B56839">
            <w:pPr>
              <w:spacing w:before="0" w:after="0" w:line="240" w:lineRule="auto"/>
              <w:rPr>
                <w:color w:val="000000" w:themeColor="text1"/>
              </w:rPr>
            </w:pPr>
            <w:r>
              <w:rPr>
                <w:rFonts w:ascii="Times New Roman" w:eastAsia="Times New Roman" w:hAnsi="Times New Roman" w:cs="Times New Roman"/>
                <w:b/>
                <w:bCs/>
                <w:color w:val="000000" w:themeColor="text1"/>
              </w:rPr>
              <w:t>Synimi 2030</w:t>
            </w:r>
          </w:p>
        </w:tc>
        <w:tc>
          <w:tcPr>
            <w:tcW w:w="1218" w:type="dxa"/>
            <w:tcBorders>
              <w:top w:val="single" w:sz="6" w:space="0" w:color="000000"/>
              <w:left w:val="single" w:sz="6" w:space="0" w:color="000000"/>
              <w:bottom w:val="single" w:sz="6" w:space="0" w:color="000000"/>
              <w:right w:val="single" w:sz="6" w:space="0" w:color="000000"/>
            </w:tcBorders>
            <w:shd w:val="clear" w:color="auto" w:fill="DAE8F8"/>
          </w:tcPr>
          <w:p w14:paraId="472EA886" w14:textId="77777777" w:rsidR="005F2AC9" w:rsidRDefault="00B56839">
            <w:pPr>
              <w:spacing w:before="0" w:after="0" w:line="240" w:lineRule="auto"/>
              <w:rPr>
                <w:color w:val="000000" w:themeColor="text1"/>
              </w:rPr>
            </w:pPr>
            <w:r>
              <w:rPr>
                <w:rFonts w:ascii="Times New Roman" w:eastAsia="Times New Roman" w:hAnsi="Times New Roman" w:cs="Times New Roman"/>
                <w:b/>
                <w:bCs/>
                <w:color w:val="000000" w:themeColor="text1"/>
                <w:lang w:val="it-IT"/>
              </w:rPr>
              <w:t>Burimet dhe mjetet e verifikimit</w:t>
            </w:r>
          </w:p>
        </w:tc>
        <w:tc>
          <w:tcPr>
            <w:tcW w:w="1100" w:type="dxa"/>
            <w:tcBorders>
              <w:top w:val="single" w:sz="6" w:space="0" w:color="000000"/>
              <w:left w:val="single" w:sz="6" w:space="0" w:color="000000"/>
              <w:bottom w:val="single" w:sz="6" w:space="0" w:color="000000"/>
              <w:right w:val="single" w:sz="6" w:space="0" w:color="000000"/>
            </w:tcBorders>
            <w:shd w:val="clear" w:color="auto" w:fill="DAE8F8"/>
          </w:tcPr>
          <w:p w14:paraId="6403E86E" w14:textId="77777777" w:rsidR="005F2AC9" w:rsidRDefault="00B56839">
            <w:pPr>
              <w:spacing w:before="0" w:after="0" w:line="240" w:lineRule="auto"/>
              <w:rPr>
                <w:color w:val="000000" w:themeColor="text1"/>
              </w:rPr>
            </w:pPr>
            <w:r>
              <w:rPr>
                <w:rFonts w:ascii="Times New Roman" w:eastAsia="Times New Roman" w:hAnsi="Times New Roman" w:cs="Times New Roman"/>
                <w:b/>
                <w:bCs/>
                <w:color w:val="000000" w:themeColor="text1"/>
              </w:rPr>
              <w:t>Referenca në dok. të tjera</w:t>
            </w:r>
          </w:p>
        </w:tc>
      </w:tr>
      <w:tr w:rsidR="005F2AC9" w14:paraId="134B6209" w14:textId="77777777">
        <w:trPr>
          <w:trHeight w:val="1980"/>
        </w:trPr>
        <w:tc>
          <w:tcPr>
            <w:tcW w:w="953" w:type="dxa"/>
            <w:tcBorders>
              <w:top w:val="single" w:sz="6" w:space="0" w:color="000000"/>
              <w:left w:val="single" w:sz="6" w:space="0" w:color="000000"/>
              <w:bottom w:val="single" w:sz="6" w:space="0" w:color="000000"/>
              <w:right w:val="single" w:sz="6" w:space="0" w:color="000000"/>
            </w:tcBorders>
            <w:shd w:val="clear" w:color="auto" w:fill="E2EFD9"/>
            <w:vAlign w:val="center"/>
          </w:tcPr>
          <w:p w14:paraId="547688DB" w14:textId="77777777" w:rsidR="005F2AC9" w:rsidRDefault="00B56839">
            <w:pPr>
              <w:spacing w:before="0" w:after="0" w:line="240" w:lineRule="auto"/>
              <w:rPr>
                <w:color w:val="000000" w:themeColor="text1"/>
              </w:rPr>
            </w:pPr>
            <w:r>
              <w:rPr>
                <w:rFonts w:ascii="Times New Roman" w:eastAsia="Times New Roman" w:hAnsi="Times New Roman" w:cs="Times New Roman"/>
                <w:b/>
                <w:bCs/>
                <w:color w:val="000000" w:themeColor="text1"/>
              </w:rPr>
              <w:t>Qëllimi i politikës (Ndikimi)</w:t>
            </w:r>
          </w:p>
        </w:tc>
        <w:tc>
          <w:tcPr>
            <w:tcW w:w="1481" w:type="dxa"/>
            <w:tcBorders>
              <w:top w:val="single" w:sz="6" w:space="0" w:color="000000"/>
              <w:left w:val="single" w:sz="6" w:space="0" w:color="000000"/>
              <w:bottom w:val="single" w:sz="6" w:space="0" w:color="000000"/>
              <w:right w:val="single" w:sz="6" w:space="0" w:color="000000"/>
            </w:tcBorders>
            <w:shd w:val="clear" w:color="auto" w:fill="E2EFD9"/>
          </w:tcPr>
          <w:p w14:paraId="626D0E13" w14:textId="77777777" w:rsidR="005F2AC9" w:rsidRDefault="00B56839">
            <w:pPr>
              <w:spacing w:before="0" w:after="0" w:line="240" w:lineRule="auto"/>
              <w:rPr>
                <w:color w:val="000000" w:themeColor="text1"/>
              </w:rPr>
            </w:pPr>
            <w:r>
              <w:rPr>
                <w:rFonts w:ascii="Times New Roman" w:eastAsia="Times New Roman" w:hAnsi="Times New Roman" w:cs="Times New Roman"/>
                <w:b/>
                <w:bCs/>
                <w:color w:val="000000" w:themeColor="text1"/>
              </w:rPr>
              <w:t xml:space="preserve">Qëllimi i politikës A: </w:t>
            </w:r>
          </w:p>
          <w:p w14:paraId="0CC1EAEA"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065DB7BA"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sq-AL"/>
              </w:rPr>
              <w:t>Zbutja e varfërisë për çdo individ në nevojë dhe përmirësimi i jetesës për personat me Aftësi të Kufizuara përmes mbështetjes me skemat financiare dhe përfitimeve të përshtatshme, të përgjegjshme gjinore,  transparente, të afta për përballimin e rreziqeve e krizave</w:t>
            </w:r>
          </w:p>
        </w:tc>
        <w:tc>
          <w:tcPr>
            <w:tcW w:w="1568" w:type="dxa"/>
            <w:tcBorders>
              <w:top w:val="single" w:sz="6" w:space="0" w:color="000000"/>
              <w:left w:val="single" w:sz="6" w:space="0" w:color="000000"/>
              <w:bottom w:val="single" w:sz="6" w:space="0" w:color="000000"/>
              <w:right w:val="single" w:sz="6" w:space="0" w:color="000000"/>
            </w:tcBorders>
            <w:shd w:val="clear" w:color="auto" w:fill="E2EFD9"/>
          </w:tcPr>
          <w:p w14:paraId="545E0E32"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Rreziku për të qenë i varfër, sipas gjinisë</w:t>
            </w:r>
          </w:p>
          <w:p w14:paraId="375373C6" w14:textId="77777777" w:rsidR="005F2AC9" w:rsidRDefault="00B56839">
            <w:pPr>
              <w:spacing w:before="0" w:after="0" w:line="240" w:lineRule="auto"/>
              <w:ind w:right="450"/>
              <w:rPr>
                <w:color w:val="000000" w:themeColor="text1"/>
              </w:rPr>
            </w:pPr>
            <w:r>
              <w:rPr>
                <w:rFonts w:ascii="Times New Roman" w:eastAsia="Times New Roman" w:hAnsi="Times New Roman" w:cs="Times New Roman"/>
                <w:color w:val="000000" w:themeColor="text1"/>
              </w:rPr>
              <w:t xml:space="preserve"> </w:t>
            </w:r>
          </w:p>
          <w:p w14:paraId="178D4414"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2179823E"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4D86493B"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33B44BEE"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26D1A7BA"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541C623C"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5FF18591"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4F9DE97C"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Fëmijët (0-17 vjec</w:t>
            </w:r>
            <w:proofErr w:type="gramStart"/>
            <w:r>
              <w:rPr>
                <w:rFonts w:ascii="Times New Roman" w:eastAsia="Times New Roman" w:hAnsi="Times New Roman" w:cs="Times New Roman"/>
                <w:color w:val="000000" w:themeColor="text1"/>
              </w:rPr>
              <w:t>)  në</w:t>
            </w:r>
            <w:proofErr w:type="gramEnd"/>
            <w:r>
              <w:rPr>
                <w:rFonts w:ascii="Times New Roman" w:eastAsia="Times New Roman" w:hAnsi="Times New Roman" w:cs="Times New Roman"/>
                <w:color w:val="000000" w:themeColor="text1"/>
              </w:rPr>
              <w:t xml:space="preserve"> rrezik për të qenë të varfër, sipas gjinisë; -  </w:t>
            </w:r>
          </w:p>
          <w:p w14:paraId="781323C5"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115021B9"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4A2A7213"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596721C3"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tc>
        <w:tc>
          <w:tcPr>
            <w:tcW w:w="925" w:type="dxa"/>
            <w:tcBorders>
              <w:top w:val="single" w:sz="6" w:space="0" w:color="000000"/>
              <w:left w:val="single" w:sz="6" w:space="0" w:color="000000"/>
              <w:bottom w:val="single" w:sz="6" w:space="0" w:color="000000"/>
              <w:right w:val="single" w:sz="6" w:space="0" w:color="000000"/>
            </w:tcBorders>
            <w:shd w:val="clear" w:color="auto" w:fill="E2EFD9"/>
          </w:tcPr>
          <w:p w14:paraId="64870E07"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22% (2021)</w:t>
            </w:r>
          </w:p>
          <w:p w14:paraId="2C321ABB"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22,5% (femra) </w:t>
            </w:r>
          </w:p>
          <w:p w14:paraId="193838E6"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21,5% (meshkuj)  </w:t>
            </w:r>
          </w:p>
          <w:p w14:paraId="1CEB958A"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14D49BA3"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3B638126"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735E6CD6"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08824C60"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09B8B175"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0D7C79EC"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7B5E10D9"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28,5% </w:t>
            </w:r>
            <w:proofErr w:type="gramStart"/>
            <w:r>
              <w:rPr>
                <w:rFonts w:ascii="Times New Roman" w:eastAsia="Times New Roman" w:hAnsi="Times New Roman" w:cs="Times New Roman"/>
                <w:color w:val="000000" w:themeColor="text1"/>
              </w:rPr>
              <w:t>( 2021</w:t>
            </w:r>
            <w:proofErr w:type="gramEnd"/>
            <w:r>
              <w:rPr>
                <w:rFonts w:ascii="Times New Roman" w:eastAsia="Times New Roman" w:hAnsi="Times New Roman" w:cs="Times New Roman"/>
                <w:color w:val="000000" w:themeColor="text1"/>
              </w:rPr>
              <w:t xml:space="preserve">) </w:t>
            </w:r>
          </w:p>
          <w:p w14:paraId="62B944EC"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30,2% </w:t>
            </w:r>
            <w:proofErr w:type="gramStart"/>
            <w:r>
              <w:rPr>
                <w:rFonts w:ascii="Times New Roman" w:eastAsia="Times New Roman" w:hAnsi="Times New Roman" w:cs="Times New Roman"/>
                <w:color w:val="000000" w:themeColor="text1"/>
              </w:rPr>
              <w:t>( femra</w:t>
            </w:r>
            <w:proofErr w:type="gramEnd"/>
            <w:r>
              <w:rPr>
                <w:rFonts w:ascii="Times New Roman" w:eastAsia="Times New Roman" w:hAnsi="Times New Roman" w:cs="Times New Roman"/>
                <w:color w:val="000000" w:themeColor="text1"/>
              </w:rPr>
              <w:t xml:space="preserve">) </w:t>
            </w:r>
          </w:p>
          <w:p w14:paraId="789607BE"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26,8% (meshkuj) </w:t>
            </w:r>
          </w:p>
          <w:p w14:paraId="2EB40773"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4B8E9155"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376A3974"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012AED3D"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66DBE552"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1CF9626B"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tc>
        <w:tc>
          <w:tcPr>
            <w:tcW w:w="946" w:type="dxa"/>
            <w:tcBorders>
              <w:top w:val="single" w:sz="6" w:space="0" w:color="000000"/>
              <w:left w:val="single" w:sz="6" w:space="0" w:color="000000"/>
              <w:bottom w:val="single" w:sz="6" w:space="0" w:color="000000"/>
              <w:right w:val="single" w:sz="6" w:space="0" w:color="000000"/>
            </w:tcBorders>
            <w:shd w:val="clear" w:color="auto" w:fill="E2EFD9"/>
          </w:tcPr>
          <w:p w14:paraId="264169D5"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19,2% (SILC 2024)</w:t>
            </w:r>
          </w:p>
          <w:p w14:paraId="3685C461"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19,5% (</w:t>
            </w:r>
            <w:proofErr w:type="gramStart"/>
            <w:r>
              <w:rPr>
                <w:rFonts w:ascii="Times New Roman" w:eastAsia="Times New Roman" w:hAnsi="Times New Roman" w:cs="Times New Roman"/>
                <w:color w:val="000000" w:themeColor="text1"/>
              </w:rPr>
              <w:t>femra )</w:t>
            </w:r>
            <w:proofErr w:type="gramEnd"/>
            <w:r>
              <w:rPr>
                <w:rFonts w:ascii="Times New Roman" w:eastAsia="Times New Roman" w:hAnsi="Times New Roman" w:cs="Times New Roman"/>
                <w:color w:val="000000" w:themeColor="text1"/>
              </w:rPr>
              <w:t xml:space="preserve"> </w:t>
            </w:r>
          </w:p>
          <w:p w14:paraId="44CB9953"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18,9% (meshkuj)</w:t>
            </w:r>
          </w:p>
          <w:p w14:paraId="51C5E80F"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3064584C"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149C3514"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47ACEF18"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505D59B6"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28478DD6"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26.6% (SILC 2024)</w:t>
            </w:r>
          </w:p>
          <w:p w14:paraId="5C1901BD" w14:textId="77777777" w:rsidR="005F2AC9" w:rsidRDefault="00B56839">
            <w:pPr>
              <w:spacing w:before="0"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26.8 % femra</w:t>
            </w:r>
          </w:p>
          <w:p w14:paraId="466495F0" w14:textId="77777777" w:rsidR="005F2AC9" w:rsidRDefault="00B56839">
            <w:pPr>
              <w:spacing w:before="0"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26.4% meshkuj</w:t>
            </w:r>
          </w:p>
        </w:tc>
        <w:tc>
          <w:tcPr>
            <w:tcW w:w="927" w:type="dxa"/>
            <w:tcBorders>
              <w:top w:val="single" w:sz="6" w:space="0" w:color="000000"/>
              <w:left w:val="single" w:sz="6" w:space="0" w:color="000000"/>
              <w:bottom w:val="single" w:sz="6" w:space="0" w:color="000000"/>
              <w:right w:val="single" w:sz="6" w:space="0" w:color="000000"/>
            </w:tcBorders>
            <w:shd w:val="clear" w:color="auto" w:fill="E2EFD9"/>
          </w:tcPr>
          <w:p w14:paraId="1BD8EFB5"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6C70AC39"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20,8</w:t>
            </w:r>
          </w:p>
          <w:p w14:paraId="398BECC3"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4806B79A"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44BE62B7"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56DDE32A"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1960B68D"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2E47EF1A"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18AC94E9"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2FD967AB" w14:textId="77777777" w:rsidR="005F2AC9" w:rsidRDefault="005F2AC9">
            <w:pPr>
              <w:spacing w:before="0" w:after="0" w:line="240" w:lineRule="auto"/>
              <w:rPr>
                <w:rFonts w:ascii="Times New Roman" w:eastAsia="Times New Roman" w:hAnsi="Times New Roman" w:cs="Times New Roman"/>
                <w:color w:val="000000" w:themeColor="text1"/>
              </w:rPr>
            </w:pPr>
          </w:p>
          <w:p w14:paraId="426AC75D" w14:textId="77777777" w:rsidR="005F2AC9" w:rsidRDefault="005F2AC9">
            <w:pPr>
              <w:spacing w:before="0" w:after="0" w:line="240" w:lineRule="auto"/>
              <w:rPr>
                <w:rFonts w:ascii="Times New Roman" w:eastAsia="Times New Roman" w:hAnsi="Times New Roman" w:cs="Times New Roman"/>
                <w:color w:val="000000" w:themeColor="text1"/>
              </w:rPr>
            </w:pPr>
          </w:p>
          <w:p w14:paraId="156F1620"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61B08D35"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27,3</w:t>
            </w:r>
          </w:p>
        </w:tc>
        <w:tc>
          <w:tcPr>
            <w:tcW w:w="1218" w:type="dxa"/>
            <w:tcBorders>
              <w:top w:val="single" w:sz="6" w:space="0" w:color="000000"/>
              <w:left w:val="single" w:sz="6" w:space="0" w:color="000000"/>
              <w:bottom w:val="single" w:sz="6" w:space="0" w:color="000000"/>
              <w:right w:val="single" w:sz="6" w:space="0" w:color="000000"/>
            </w:tcBorders>
            <w:shd w:val="clear" w:color="auto" w:fill="E2EFD9"/>
          </w:tcPr>
          <w:p w14:paraId="4D262450"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INSTAT - Anketa e të Ardhurave dhe Nivelit të Jetesës publikim - 2021</w:t>
            </w:r>
          </w:p>
          <w:p w14:paraId="4B4BE6C8"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39E158B4"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1514C743"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592D0EF5"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30A3C0FF"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INSTAT - Anketa e të Ardhurave dhe Nivelit të Jetesës </w:t>
            </w:r>
            <w:proofErr w:type="gramStart"/>
            <w:r>
              <w:rPr>
                <w:rFonts w:ascii="Times New Roman" w:eastAsia="Times New Roman" w:hAnsi="Times New Roman" w:cs="Times New Roman"/>
                <w:color w:val="000000" w:themeColor="text1"/>
              </w:rPr>
              <w:t>publikim  2021</w:t>
            </w:r>
            <w:proofErr w:type="gramEnd"/>
          </w:p>
          <w:p w14:paraId="152FB102"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61A6604F"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46C99496"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SSS/ të dhëna administrative </w:t>
            </w:r>
          </w:p>
        </w:tc>
        <w:tc>
          <w:tcPr>
            <w:tcW w:w="1100" w:type="dxa"/>
            <w:tcBorders>
              <w:top w:val="single" w:sz="6" w:space="0" w:color="000000"/>
              <w:left w:val="single" w:sz="6" w:space="0" w:color="000000"/>
              <w:bottom w:val="single" w:sz="6" w:space="0" w:color="000000"/>
              <w:right w:val="single" w:sz="6" w:space="0" w:color="000000"/>
            </w:tcBorders>
            <w:shd w:val="clear" w:color="auto" w:fill="E2EFD9"/>
          </w:tcPr>
          <w:p w14:paraId="3E5608D2"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CH"/>
              </w:rPr>
              <w:t xml:space="preserve">EU SILC </w:t>
            </w:r>
          </w:p>
          <w:p w14:paraId="059D4153"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CH"/>
              </w:rPr>
              <w:t xml:space="preserve">Pashaporta e Indikatorëve IPA 2019 </w:t>
            </w:r>
          </w:p>
          <w:p w14:paraId="7CDFC93E"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CH"/>
              </w:rPr>
              <w:t>OZhQ- 1.2.1</w:t>
            </w:r>
          </w:p>
          <w:p w14:paraId="3038434A"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CH"/>
              </w:rPr>
              <w:t xml:space="preserve"> </w:t>
            </w:r>
          </w:p>
          <w:p w14:paraId="797A39C8"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CH"/>
              </w:rPr>
              <w:t xml:space="preserve"> </w:t>
            </w:r>
          </w:p>
          <w:p w14:paraId="6107ADEF"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CH"/>
              </w:rPr>
              <w:t xml:space="preserve"> </w:t>
            </w:r>
          </w:p>
          <w:p w14:paraId="7EA88276"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CH"/>
              </w:rPr>
              <w:t xml:space="preserve"> </w:t>
            </w:r>
          </w:p>
          <w:p w14:paraId="21A1E480"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CH"/>
              </w:rPr>
              <w:t xml:space="preserve">EU SILC/ Pashaporta e Indikatorëve IPA 2019 </w:t>
            </w:r>
          </w:p>
          <w:p w14:paraId="5AC7D140"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OZhQ 1.2.1 </w:t>
            </w:r>
          </w:p>
          <w:p w14:paraId="3EB35A6B"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5.4.1, 5.C1</w:t>
            </w:r>
          </w:p>
          <w:p w14:paraId="01A0905E"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07CF234B"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3089B01E"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Banka Botërore</w:t>
            </w:r>
          </w:p>
          <w:p w14:paraId="2D3632E6"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tc>
      </w:tr>
      <w:tr w:rsidR="005F2AC9" w14:paraId="03A02C9B" w14:textId="77777777">
        <w:trPr>
          <w:trHeight w:val="300"/>
        </w:trPr>
        <w:tc>
          <w:tcPr>
            <w:tcW w:w="953" w:type="dxa"/>
            <w:tcBorders>
              <w:top w:val="single" w:sz="6" w:space="0" w:color="000000"/>
              <w:left w:val="single" w:sz="6" w:space="0" w:color="000000"/>
              <w:bottom w:val="single" w:sz="6" w:space="0" w:color="000000"/>
              <w:right w:val="single" w:sz="6" w:space="0" w:color="000000"/>
            </w:tcBorders>
            <w:shd w:val="clear" w:color="auto" w:fill="FFF2CC"/>
            <w:vAlign w:val="center"/>
          </w:tcPr>
          <w:p w14:paraId="4DFC9F24" w14:textId="77777777" w:rsidR="005F2AC9" w:rsidRDefault="00B56839">
            <w:pPr>
              <w:spacing w:before="0" w:after="0" w:line="240" w:lineRule="auto"/>
              <w:rPr>
                <w:rFonts w:ascii="Times New Roman" w:eastAsia="Times New Roman" w:hAnsi="Times New Roman" w:cs="Times New Roman"/>
                <w:b/>
                <w:bCs/>
                <w:color w:val="000000" w:themeColor="text1"/>
                <w:lang w:val="sq-AL"/>
              </w:rPr>
            </w:pPr>
            <w:r>
              <w:rPr>
                <w:rFonts w:ascii="Times New Roman" w:eastAsia="Times New Roman" w:hAnsi="Times New Roman" w:cs="Times New Roman"/>
                <w:b/>
                <w:bCs/>
                <w:color w:val="000000" w:themeColor="text1"/>
                <w:lang w:val="sq-AL"/>
              </w:rPr>
              <w:t>Objektivi specifik/ strategjik</w:t>
            </w:r>
          </w:p>
        </w:tc>
        <w:tc>
          <w:tcPr>
            <w:tcW w:w="1481" w:type="dxa"/>
            <w:tcBorders>
              <w:top w:val="single" w:sz="6" w:space="0" w:color="000000"/>
              <w:left w:val="single" w:sz="6" w:space="0" w:color="000000"/>
              <w:bottom w:val="single" w:sz="6" w:space="0" w:color="000000"/>
              <w:right w:val="single" w:sz="6" w:space="0" w:color="000000"/>
            </w:tcBorders>
            <w:shd w:val="clear" w:color="auto" w:fill="FFF2CC"/>
          </w:tcPr>
          <w:p w14:paraId="6F71FC2F" w14:textId="77777777" w:rsidR="005F2AC9" w:rsidRDefault="00B56839">
            <w:pPr>
              <w:spacing w:before="0" w:after="0" w:line="240" w:lineRule="auto"/>
              <w:rPr>
                <w:rFonts w:ascii="Times New Roman" w:eastAsia="Times New Roman" w:hAnsi="Times New Roman" w:cs="Times New Roman"/>
                <w:i/>
                <w:iCs/>
                <w:color w:val="000000" w:themeColor="text1"/>
                <w:lang w:val="sq-AL"/>
              </w:rPr>
            </w:pPr>
            <w:r>
              <w:rPr>
                <w:rFonts w:ascii="Times New Roman" w:eastAsia="Times New Roman" w:hAnsi="Times New Roman" w:cs="Times New Roman"/>
                <w:i/>
                <w:iCs/>
                <w:color w:val="000000" w:themeColor="text1"/>
              </w:rPr>
              <w:t xml:space="preserve">A1. Përmirësimi i </w:t>
            </w:r>
            <w:r>
              <w:rPr>
                <w:rFonts w:ascii="Times New Roman" w:eastAsia="Times New Roman" w:hAnsi="Times New Roman" w:cs="Times New Roman"/>
                <w:i/>
                <w:iCs/>
                <w:color w:val="000000" w:themeColor="text1"/>
                <w:lang w:val="sq-AL"/>
              </w:rPr>
              <w:t>performancës përshtatshmëria dhe përgjigjja ndaj krizave e skemave financiare dhe përfitimeve për individët (burra, gra, djem dhe vajza)</w:t>
            </w:r>
          </w:p>
        </w:tc>
        <w:tc>
          <w:tcPr>
            <w:tcW w:w="1568" w:type="dxa"/>
            <w:tcBorders>
              <w:top w:val="single" w:sz="6" w:space="0" w:color="000000"/>
              <w:left w:val="single" w:sz="6" w:space="0" w:color="000000"/>
              <w:bottom w:val="single" w:sz="6" w:space="0" w:color="000000"/>
              <w:right w:val="single" w:sz="6" w:space="0" w:color="000000"/>
            </w:tcBorders>
            <w:shd w:val="clear" w:color="auto" w:fill="FFF2CC"/>
          </w:tcPr>
          <w:p w14:paraId="02E47FFA"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Përqindja e individëve në kuintilin më të ulët (varfër) që përfitojnë nga pagesat e skemës së NE-</w:t>
            </w:r>
            <w:proofErr w:type="gramStart"/>
            <w:r>
              <w:rPr>
                <w:rFonts w:ascii="Times New Roman" w:eastAsia="Times New Roman" w:hAnsi="Times New Roman" w:cs="Times New Roman"/>
                <w:color w:val="000000" w:themeColor="text1"/>
              </w:rPr>
              <w:t>së ;</w:t>
            </w:r>
            <w:proofErr w:type="gramEnd"/>
          </w:p>
          <w:p w14:paraId="130E58B0"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286D1AA1"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tc>
        <w:tc>
          <w:tcPr>
            <w:tcW w:w="925" w:type="dxa"/>
            <w:tcBorders>
              <w:top w:val="single" w:sz="6" w:space="0" w:color="000000"/>
              <w:left w:val="single" w:sz="6" w:space="0" w:color="000000"/>
              <w:bottom w:val="single" w:sz="6" w:space="0" w:color="000000"/>
              <w:right w:val="single" w:sz="6" w:space="0" w:color="000000"/>
            </w:tcBorders>
            <w:shd w:val="clear" w:color="auto" w:fill="FFF2CC"/>
          </w:tcPr>
          <w:p w14:paraId="7CA34FED"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36,4%</w:t>
            </w:r>
          </w:p>
        </w:tc>
        <w:tc>
          <w:tcPr>
            <w:tcW w:w="946" w:type="dxa"/>
            <w:tcBorders>
              <w:top w:val="single" w:sz="6" w:space="0" w:color="000000"/>
              <w:left w:val="single" w:sz="6" w:space="0" w:color="000000"/>
              <w:bottom w:val="single" w:sz="6" w:space="0" w:color="000000"/>
              <w:right w:val="single" w:sz="6" w:space="0" w:color="000000"/>
            </w:tcBorders>
            <w:shd w:val="clear" w:color="auto" w:fill="FFF2CC"/>
          </w:tcPr>
          <w:p w14:paraId="203E3534" w14:textId="77777777" w:rsidR="005F2AC9" w:rsidRDefault="00B56839">
            <w:pPr>
              <w:spacing w:before="0" w:after="0" w:line="257" w:lineRule="auto"/>
              <w:rPr>
                <w:color w:val="000000" w:themeColor="text1"/>
              </w:rPr>
            </w:pPr>
            <w:r>
              <w:rPr>
                <w:rFonts w:ascii="Times New Roman" w:eastAsia="Times New Roman" w:hAnsi="Times New Roman" w:cs="Times New Roman"/>
                <w:color w:val="000000" w:themeColor="text1"/>
              </w:rPr>
              <w:t xml:space="preserve">68% (kjo e dhënë ende nuk është publikuar) </w:t>
            </w:r>
          </w:p>
        </w:tc>
        <w:tc>
          <w:tcPr>
            <w:tcW w:w="927" w:type="dxa"/>
            <w:tcBorders>
              <w:top w:val="single" w:sz="6" w:space="0" w:color="000000"/>
              <w:left w:val="single" w:sz="6" w:space="0" w:color="000000"/>
              <w:bottom w:val="single" w:sz="6" w:space="0" w:color="000000"/>
              <w:right w:val="single" w:sz="6" w:space="0" w:color="000000"/>
            </w:tcBorders>
            <w:shd w:val="clear" w:color="auto" w:fill="FFF2CC"/>
          </w:tcPr>
          <w:p w14:paraId="0D8BDA58" w14:textId="77777777" w:rsidR="005F2AC9" w:rsidRDefault="00B56839">
            <w:pPr>
              <w:spacing w:before="0" w:after="0" w:line="257" w:lineRule="auto"/>
              <w:rPr>
                <w:color w:val="000000" w:themeColor="text1"/>
              </w:rPr>
            </w:pPr>
            <w:r>
              <w:rPr>
                <w:rFonts w:ascii="Times New Roman" w:eastAsia="Times New Roman" w:hAnsi="Times New Roman" w:cs="Times New Roman"/>
                <w:color w:val="000000" w:themeColor="text1"/>
              </w:rPr>
              <w:t>80%</w:t>
            </w:r>
          </w:p>
        </w:tc>
        <w:tc>
          <w:tcPr>
            <w:tcW w:w="1218" w:type="dxa"/>
            <w:tcBorders>
              <w:top w:val="single" w:sz="6" w:space="0" w:color="000000"/>
              <w:left w:val="single" w:sz="6" w:space="0" w:color="000000"/>
              <w:bottom w:val="single" w:sz="6" w:space="0" w:color="000000"/>
              <w:right w:val="single" w:sz="6" w:space="0" w:color="000000"/>
            </w:tcBorders>
            <w:shd w:val="clear" w:color="auto" w:fill="FFF2CC"/>
          </w:tcPr>
          <w:p w14:paraId="49441C43"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INSTAT – Anketa e të Ardhurave dhe Nivelit të </w:t>
            </w:r>
            <w:proofErr w:type="gramStart"/>
            <w:r>
              <w:rPr>
                <w:rFonts w:ascii="Times New Roman" w:eastAsia="Times New Roman" w:hAnsi="Times New Roman" w:cs="Times New Roman"/>
                <w:color w:val="000000" w:themeColor="text1"/>
              </w:rPr>
              <w:t>Jetesës  pubikim</w:t>
            </w:r>
            <w:proofErr w:type="gramEnd"/>
          </w:p>
          <w:p w14:paraId="54FD1C51"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0D34316F"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26593948"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SHSSH/ të dhëna administrative</w:t>
            </w:r>
          </w:p>
          <w:p w14:paraId="47F73D59"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72F95007"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tc>
        <w:tc>
          <w:tcPr>
            <w:tcW w:w="1100" w:type="dxa"/>
            <w:tcBorders>
              <w:top w:val="single" w:sz="6" w:space="0" w:color="000000"/>
              <w:left w:val="single" w:sz="6" w:space="0" w:color="000000"/>
              <w:bottom w:val="single" w:sz="6" w:space="0" w:color="000000"/>
              <w:right w:val="single" w:sz="6" w:space="0" w:color="000000"/>
            </w:tcBorders>
            <w:shd w:val="clear" w:color="auto" w:fill="FFF2CC"/>
          </w:tcPr>
          <w:p w14:paraId="61800E6F"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Tregues i programit të Bankës Botërore</w:t>
            </w:r>
          </w:p>
          <w:p w14:paraId="08B695C3"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5F9C20B8"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OZhQ- 10.2 </w:t>
            </w:r>
          </w:p>
        </w:tc>
      </w:tr>
      <w:tr w:rsidR="005F2AC9" w14:paraId="74CB50C5" w14:textId="77777777">
        <w:trPr>
          <w:trHeight w:val="300"/>
        </w:trPr>
        <w:tc>
          <w:tcPr>
            <w:tcW w:w="953" w:type="dxa"/>
            <w:vMerge w:val="restart"/>
            <w:tcBorders>
              <w:top w:val="single" w:sz="6" w:space="0" w:color="000000"/>
              <w:left w:val="single" w:sz="6" w:space="0" w:color="000000"/>
              <w:bottom w:val="single" w:sz="6" w:space="0" w:color="000000"/>
              <w:right w:val="single" w:sz="6" w:space="0" w:color="000000"/>
            </w:tcBorders>
            <w:shd w:val="clear" w:color="auto" w:fill="F3EAE1" w:themeFill="accent4" w:themeFillTint="33"/>
            <w:vAlign w:val="center"/>
          </w:tcPr>
          <w:p w14:paraId="32DBF028" w14:textId="77777777" w:rsidR="005F2AC9" w:rsidRDefault="00B56839">
            <w:pPr>
              <w:spacing w:before="0" w:after="0" w:line="240" w:lineRule="auto"/>
              <w:rPr>
                <w:rFonts w:ascii="Times New Roman" w:eastAsia="Times New Roman" w:hAnsi="Times New Roman" w:cs="Times New Roman"/>
                <w:b/>
                <w:bCs/>
                <w:color w:val="000000" w:themeColor="text1"/>
                <w:lang w:val="sq-AL"/>
              </w:rPr>
            </w:pPr>
            <w:r>
              <w:rPr>
                <w:rFonts w:ascii="Times New Roman" w:eastAsia="Times New Roman" w:hAnsi="Times New Roman" w:cs="Times New Roman"/>
                <w:b/>
                <w:bCs/>
                <w:color w:val="000000" w:themeColor="text1"/>
                <w:lang w:val="sq-AL"/>
              </w:rPr>
              <w:t>Masat priorita</w:t>
            </w:r>
            <w:r>
              <w:rPr>
                <w:rFonts w:ascii="Times New Roman" w:eastAsia="Times New Roman" w:hAnsi="Times New Roman" w:cs="Times New Roman"/>
                <w:b/>
                <w:bCs/>
                <w:color w:val="000000" w:themeColor="text1"/>
                <w:lang w:val="sq-AL"/>
              </w:rPr>
              <w:lastRenderedPageBreak/>
              <w:t>re</w:t>
            </w:r>
          </w:p>
        </w:tc>
        <w:tc>
          <w:tcPr>
            <w:tcW w:w="1481"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3A98EAB3" w14:textId="77777777" w:rsidR="005F2AC9" w:rsidRDefault="00B56839">
            <w:pPr>
              <w:spacing w:before="0" w:after="0" w:line="240" w:lineRule="auto"/>
              <w:rPr>
                <w:rFonts w:ascii="Times New Roman" w:eastAsia="Times New Roman" w:hAnsi="Times New Roman" w:cs="Times New Roman"/>
                <w:i/>
                <w:iCs/>
                <w:color w:val="000000" w:themeColor="text1"/>
                <w:lang w:val="sq-AL"/>
              </w:rPr>
            </w:pPr>
            <w:r>
              <w:rPr>
                <w:rFonts w:ascii="Times New Roman" w:eastAsia="Times New Roman" w:hAnsi="Times New Roman" w:cs="Times New Roman"/>
                <w:color w:val="000000" w:themeColor="text1"/>
                <w:lang w:val="sq-AL"/>
              </w:rPr>
              <w:lastRenderedPageBreak/>
              <w:t xml:space="preserve">A1.1. Përmirësimi i </w:t>
            </w:r>
            <w:r>
              <w:rPr>
                <w:rFonts w:ascii="Times New Roman" w:eastAsia="Times New Roman" w:hAnsi="Times New Roman" w:cs="Times New Roman"/>
                <w:color w:val="000000" w:themeColor="text1"/>
                <w:lang w:val="sq-AL"/>
              </w:rPr>
              <w:lastRenderedPageBreak/>
              <w:t>performancës, transparencës dhe mirëadministrimit në të gjitha nivelet të skemës së ndihmës ekonomike dhe përfitimeve të tjera për të siguruar plotësim efektiv dhe të ndjeshëm gjinor të nevojave të çdo individi.</w:t>
            </w:r>
          </w:p>
          <w:p w14:paraId="1770A966" w14:textId="77777777" w:rsidR="005F2AC9" w:rsidRDefault="005F2AC9">
            <w:pPr>
              <w:spacing w:before="0" w:after="0" w:line="240" w:lineRule="auto"/>
              <w:rPr>
                <w:rFonts w:ascii="Times New Roman" w:eastAsia="Times New Roman" w:hAnsi="Times New Roman" w:cs="Times New Roman"/>
                <w:i/>
                <w:iCs/>
                <w:color w:val="000000" w:themeColor="text1"/>
                <w:lang w:val="sq-AL"/>
              </w:rPr>
            </w:pPr>
          </w:p>
        </w:tc>
        <w:tc>
          <w:tcPr>
            <w:tcW w:w="1568"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581F75C3"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lastRenderedPageBreak/>
              <w:t xml:space="preserve">Numri i individëve që </w:t>
            </w:r>
            <w:r>
              <w:rPr>
                <w:rFonts w:ascii="Times New Roman" w:eastAsia="Times New Roman" w:hAnsi="Times New Roman" w:cs="Times New Roman"/>
                <w:color w:val="000000" w:themeColor="text1"/>
                <w:lang w:val="en-GB"/>
              </w:rPr>
              <w:lastRenderedPageBreak/>
              <w:t>përfitojnë Ndihmë Ekonomike (sipas gjinisë, minoritetit, aftësisë së kufizuar, kryefamiljarit, madhësisë së familjes, numrit të fëmijëve sipas moshës);</w:t>
            </w:r>
          </w:p>
          <w:p w14:paraId="49F58D29"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p w14:paraId="6C353722"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p w14:paraId="5090FA01"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p w14:paraId="64D3CC81"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p w14:paraId="2C597065"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Numri i </w:t>
            </w:r>
            <w:proofErr w:type="gramStart"/>
            <w:r>
              <w:rPr>
                <w:rFonts w:ascii="Times New Roman" w:eastAsia="Times New Roman" w:hAnsi="Times New Roman" w:cs="Times New Roman"/>
                <w:color w:val="000000" w:themeColor="text1"/>
                <w:lang w:val="en-GB"/>
              </w:rPr>
              <w:t>familjeve  që</w:t>
            </w:r>
            <w:proofErr w:type="gramEnd"/>
            <w:r>
              <w:rPr>
                <w:rFonts w:ascii="Times New Roman" w:eastAsia="Times New Roman" w:hAnsi="Times New Roman" w:cs="Times New Roman"/>
                <w:color w:val="000000" w:themeColor="text1"/>
                <w:lang w:val="en-GB"/>
              </w:rPr>
              <w:t xml:space="preserve"> përfitojnë Ndihmë Ekonomike (sipas gjinisë, minoritetit, aftësisë së kufizuar, kryefamiljarit, madhësisë së familjes, numrit të fëmijëve sipas moshës);( perfshire 6% e bashkive)</w:t>
            </w:r>
          </w:p>
          <w:p w14:paraId="7E398C02"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p w14:paraId="00BD2736"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p w14:paraId="7395E71B"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p w14:paraId="58CFE241"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Numri i personelit i trajnuar lidhur me ndryshimet në procedura, legjislacion dhe protokolle bashkisë dhe nivelit kombëtar); </w:t>
            </w:r>
          </w:p>
          <w:p w14:paraId="3A27CF20"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p w14:paraId="2441CD9A"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p w14:paraId="0B7951A8"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p w14:paraId="483E6329"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Numri i raporteve të monitorim vlerësimit të rishikuara në system </w:t>
            </w:r>
            <w:proofErr w:type="gramStart"/>
            <w:r>
              <w:rPr>
                <w:rFonts w:ascii="Times New Roman" w:eastAsia="Times New Roman" w:hAnsi="Times New Roman" w:cs="Times New Roman"/>
                <w:color w:val="000000" w:themeColor="text1"/>
                <w:lang w:val="en-GB"/>
              </w:rPr>
              <w:t>( nivel</w:t>
            </w:r>
            <w:proofErr w:type="gramEnd"/>
            <w:r>
              <w:rPr>
                <w:rFonts w:ascii="Times New Roman" w:eastAsia="Times New Roman" w:hAnsi="Times New Roman" w:cs="Times New Roman"/>
                <w:color w:val="000000" w:themeColor="text1"/>
                <w:lang w:val="en-GB"/>
              </w:rPr>
              <w:t xml:space="preserve"> rajonal , bashkisë dhe </w:t>
            </w:r>
            <w:r>
              <w:rPr>
                <w:rFonts w:ascii="Times New Roman" w:eastAsia="Times New Roman" w:hAnsi="Times New Roman" w:cs="Times New Roman"/>
                <w:color w:val="000000" w:themeColor="text1"/>
                <w:lang w:val="en-GB"/>
              </w:rPr>
              <w:lastRenderedPageBreak/>
              <w:t xml:space="preserve">nivelit kombëtar); </w:t>
            </w:r>
          </w:p>
          <w:p w14:paraId="1C6F0087" w14:textId="77777777" w:rsidR="005F2AC9" w:rsidRDefault="005F2AC9">
            <w:pPr>
              <w:spacing w:before="0" w:after="0" w:line="240" w:lineRule="auto"/>
              <w:rPr>
                <w:rFonts w:ascii="Times New Roman" w:eastAsia="Times New Roman" w:hAnsi="Times New Roman" w:cs="Times New Roman"/>
                <w:color w:val="000000" w:themeColor="text1"/>
                <w:lang w:val="en-GB"/>
              </w:rPr>
            </w:pPr>
          </w:p>
        </w:tc>
        <w:tc>
          <w:tcPr>
            <w:tcW w:w="925"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6973EC58" w14:textId="77777777" w:rsidR="005F2AC9" w:rsidRDefault="00B56839">
            <w:pPr>
              <w:spacing w:before="0"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228,000 individë </w:t>
            </w:r>
            <w:r>
              <w:rPr>
                <w:rFonts w:ascii="Times New Roman" w:eastAsia="Times New Roman" w:hAnsi="Times New Roman" w:cs="Times New Roman"/>
                <w:color w:val="000000" w:themeColor="text1"/>
              </w:rPr>
              <w:lastRenderedPageBreak/>
              <w:t>111,035 (femra)</w:t>
            </w:r>
          </w:p>
          <w:p w14:paraId="1F3ED9BE" w14:textId="77777777" w:rsidR="005F2AC9" w:rsidRDefault="00B56839">
            <w:pPr>
              <w:spacing w:before="0"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116,964 (meshkuj)</w:t>
            </w:r>
          </w:p>
          <w:p w14:paraId="49340578" w14:textId="77777777" w:rsidR="005F2AC9" w:rsidRDefault="00B56839">
            <w:pPr>
              <w:spacing w:before="0"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78,000 fëmijë </w:t>
            </w:r>
          </w:p>
          <w:p w14:paraId="6BC2B651" w14:textId="77777777" w:rsidR="005F2AC9" w:rsidRDefault="00B56839">
            <w:pPr>
              <w:spacing w:before="0"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7,608 gra KF       </w:t>
            </w:r>
          </w:p>
          <w:p w14:paraId="27D92695" w14:textId="77777777" w:rsidR="005F2AC9" w:rsidRDefault="005F2AC9">
            <w:pPr>
              <w:spacing w:before="0" w:after="0" w:line="240" w:lineRule="auto"/>
              <w:rPr>
                <w:rFonts w:ascii="Times New Roman" w:eastAsia="Times New Roman" w:hAnsi="Times New Roman" w:cs="Times New Roman"/>
                <w:color w:val="000000" w:themeColor="text1"/>
              </w:rPr>
            </w:pPr>
          </w:p>
          <w:p w14:paraId="50A9DDFF" w14:textId="77777777" w:rsidR="005F2AC9" w:rsidRDefault="005F2AC9">
            <w:pPr>
              <w:spacing w:before="0" w:after="0" w:line="240" w:lineRule="auto"/>
              <w:rPr>
                <w:rFonts w:ascii="Times New Roman" w:eastAsia="Times New Roman" w:hAnsi="Times New Roman" w:cs="Times New Roman"/>
                <w:color w:val="000000" w:themeColor="text1"/>
              </w:rPr>
            </w:pPr>
          </w:p>
          <w:p w14:paraId="1FB65E80" w14:textId="77777777" w:rsidR="005F2AC9" w:rsidRDefault="005F2AC9">
            <w:pPr>
              <w:spacing w:before="0" w:after="0" w:line="240" w:lineRule="auto"/>
              <w:rPr>
                <w:rFonts w:ascii="Times New Roman" w:eastAsia="Times New Roman" w:hAnsi="Times New Roman" w:cs="Times New Roman"/>
                <w:color w:val="000000" w:themeColor="text1"/>
              </w:rPr>
            </w:pPr>
          </w:p>
          <w:p w14:paraId="32540654" w14:textId="77777777" w:rsidR="005F2AC9" w:rsidRDefault="005F2AC9">
            <w:pPr>
              <w:spacing w:before="0" w:after="0" w:line="240" w:lineRule="auto"/>
              <w:rPr>
                <w:rFonts w:ascii="Times New Roman" w:eastAsia="Times New Roman" w:hAnsi="Times New Roman" w:cs="Times New Roman"/>
                <w:color w:val="000000" w:themeColor="text1"/>
              </w:rPr>
            </w:pPr>
          </w:p>
          <w:p w14:paraId="5C839656" w14:textId="77777777" w:rsidR="005F2AC9" w:rsidRDefault="005F2AC9">
            <w:pPr>
              <w:spacing w:before="0" w:after="0" w:line="240" w:lineRule="auto"/>
              <w:rPr>
                <w:rFonts w:ascii="Times New Roman" w:eastAsia="Times New Roman" w:hAnsi="Times New Roman" w:cs="Times New Roman"/>
                <w:color w:val="000000" w:themeColor="text1"/>
              </w:rPr>
            </w:pPr>
          </w:p>
          <w:p w14:paraId="3F2B4892" w14:textId="77777777" w:rsidR="005F2AC9" w:rsidRDefault="005F2AC9">
            <w:pPr>
              <w:spacing w:before="0" w:after="0" w:line="240" w:lineRule="auto"/>
              <w:rPr>
                <w:rFonts w:ascii="Times New Roman" w:eastAsia="Times New Roman" w:hAnsi="Times New Roman" w:cs="Times New Roman"/>
                <w:color w:val="000000" w:themeColor="text1"/>
              </w:rPr>
            </w:pPr>
          </w:p>
          <w:p w14:paraId="7A8BCF05" w14:textId="77777777" w:rsidR="005F2AC9" w:rsidRDefault="005F2AC9">
            <w:pPr>
              <w:spacing w:before="0" w:after="0" w:line="240" w:lineRule="auto"/>
              <w:rPr>
                <w:rFonts w:ascii="Times New Roman" w:eastAsia="Times New Roman" w:hAnsi="Times New Roman" w:cs="Times New Roman"/>
                <w:color w:val="000000" w:themeColor="text1"/>
              </w:rPr>
            </w:pPr>
          </w:p>
          <w:p w14:paraId="6091E5AE" w14:textId="77777777" w:rsidR="005F2AC9" w:rsidRDefault="005F2AC9">
            <w:pPr>
              <w:spacing w:before="0" w:after="0" w:line="240" w:lineRule="auto"/>
              <w:rPr>
                <w:rFonts w:ascii="Times New Roman" w:eastAsia="Times New Roman" w:hAnsi="Times New Roman" w:cs="Times New Roman"/>
                <w:color w:val="000000" w:themeColor="text1"/>
              </w:rPr>
            </w:pPr>
          </w:p>
          <w:p w14:paraId="58252F95" w14:textId="77777777" w:rsidR="005F2AC9" w:rsidRDefault="005F2AC9">
            <w:pPr>
              <w:spacing w:before="0" w:after="0" w:line="240" w:lineRule="auto"/>
              <w:rPr>
                <w:rFonts w:ascii="Times New Roman" w:eastAsia="Times New Roman" w:hAnsi="Times New Roman" w:cs="Times New Roman"/>
                <w:color w:val="000000" w:themeColor="text1"/>
              </w:rPr>
            </w:pPr>
          </w:p>
          <w:p w14:paraId="259F4C22" w14:textId="77777777" w:rsidR="005F2AC9" w:rsidRDefault="005F2AC9">
            <w:pPr>
              <w:spacing w:before="0" w:after="0" w:line="240" w:lineRule="auto"/>
              <w:rPr>
                <w:rFonts w:ascii="Times New Roman" w:eastAsia="Times New Roman" w:hAnsi="Times New Roman" w:cs="Times New Roman"/>
                <w:color w:val="000000" w:themeColor="text1"/>
              </w:rPr>
            </w:pPr>
          </w:p>
          <w:p w14:paraId="6B38887E" w14:textId="77777777" w:rsidR="005F2AC9" w:rsidRDefault="005F2AC9">
            <w:pPr>
              <w:spacing w:before="0" w:after="0" w:line="240" w:lineRule="auto"/>
              <w:rPr>
                <w:rFonts w:ascii="Times New Roman" w:eastAsia="Times New Roman" w:hAnsi="Times New Roman" w:cs="Times New Roman"/>
                <w:color w:val="000000" w:themeColor="text1"/>
              </w:rPr>
            </w:pPr>
          </w:p>
          <w:p w14:paraId="72D9494C" w14:textId="77777777" w:rsidR="005F2AC9" w:rsidRDefault="00B56839">
            <w:pPr>
              <w:spacing w:before="0"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62,000          </w:t>
            </w:r>
          </w:p>
          <w:p w14:paraId="14DDEECF" w14:textId="77777777" w:rsidR="005F2AC9" w:rsidRDefault="005F2AC9">
            <w:pPr>
              <w:spacing w:before="0" w:after="0" w:line="240" w:lineRule="auto"/>
              <w:rPr>
                <w:rFonts w:ascii="Times New Roman" w:eastAsia="Times New Roman" w:hAnsi="Times New Roman" w:cs="Times New Roman"/>
                <w:color w:val="000000" w:themeColor="text1"/>
              </w:rPr>
            </w:pPr>
          </w:p>
          <w:p w14:paraId="211F3AF7" w14:textId="77777777" w:rsidR="005F2AC9" w:rsidRDefault="005F2AC9">
            <w:pPr>
              <w:spacing w:before="0" w:after="0" w:line="240" w:lineRule="auto"/>
              <w:rPr>
                <w:rFonts w:ascii="Times New Roman" w:eastAsia="Times New Roman" w:hAnsi="Times New Roman" w:cs="Times New Roman"/>
                <w:color w:val="000000" w:themeColor="text1"/>
              </w:rPr>
            </w:pPr>
          </w:p>
          <w:p w14:paraId="4625DF4F" w14:textId="77777777" w:rsidR="005F2AC9" w:rsidRDefault="005F2AC9">
            <w:pPr>
              <w:spacing w:before="0" w:after="0" w:line="240" w:lineRule="auto"/>
              <w:rPr>
                <w:rFonts w:ascii="Times New Roman" w:eastAsia="Times New Roman" w:hAnsi="Times New Roman" w:cs="Times New Roman"/>
                <w:color w:val="000000" w:themeColor="text1"/>
              </w:rPr>
            </w:pPr>
          </w:p>
          <w:p w14:paraId="35F4C1C7" w14:textId="77777777" w:rsidR="005F2AC9" w:rsidRDefault="005F2AC9">
            <w:pPr>
              <w:spacing w:before="0" w:after="0" w:line="240" w:lineRule="auto"/>
              <w:rPr>
                <w:rFonts w:ascii="Times New Roman" w:eastAsia="Times New Roman" w:hAnsi="Times New Roman" w:cs="Times New Roman"/>
                <w:color w:val="000000" w:themeColor="text1"/>
              </w:rPr>
            </w:pPr>
          </w:p>
          <w:p w14:paraId="09BAAE3D" w14:textId="77777777" w:rsidR="005F2AC9" w:rsidRDefault="005F2AC9">
            <w:pPr>
              <w:spacing w:before="0" w:after="0" w:line="240" w:lineRule="auto"/>
              <w:rPr>
                <w:rFonts w:ascii="Times New Roman" w:eastAsia="Times New Roman" w:hAnsi="Times New Roman" w:cs="Times New Roman"/>
                <w:color w:val="000000" w:themeColor="text1"/>
              </w:rPr>
            </w:pPr>
          </w:p>
          <w:p w14:paraId="59BAFD73" w14:textId="77777777" w:rsidR="005F2AC9" w:rsidRDefault="005F2AC9">
            <w:pPr>
              <w:spacing w:before="0" w:after="0" w:line="240" w:lineRule="auto"/>
              <w:rPr>
                <w:rFonts w:ascii="Times New Roman" w:eastAsia="Times New Roman" w:hAnsi="Times New Roman" w:cs="Times New Roman"/>
                <w:color w:val="000000" w:themeColor="text1"/>
              </w:rPr>
            </w:pPr>
          </w:p>
          <w:p w14:paraId="759A13D1" w14:textId="77777777" w:rsidR="005F2AC9" w:rsidRDefault="005F2AC9">
            <w:pPr>
              <w:spacing w:before="0" w:after="0" w:line="240" w:lineRule="auto"/>
              <w:rPr>
                <w:rFonts w:ascii="Times New Roman" w:eastAsia="Times New Roman" w:hAnsi="Times New Roman" w:cs="Times New Roman"/>
                <w:color w:val="000000" w:themeColor="text1"/>
              </w:rPr>
            </w:pPr>
          </w:p>
          <w:p w14:paraId="32F74079" w14:textId="77777777" w:rsidR="005F2AC9" w:rsidRDefault="005F2AC9">
            <w:pPr>
              <w:spacing w:before="0" w:after="0" w:line="240" w:lineRule="auto"/>
              <w:rPr>
                <w:rFonts w:ascii="Times New Roman" w:eastAsia="Times New Roman" w:hAnsi="Times New Roman" w:cs="Times New Roman"/>
                <w:color w:val="000000" w:themeColor="text1"/>
              </w:rPr>
            </w:pPr>
          </w:p>
          <w:p w14:paraId="52712C0F" w14:textId="77777777" w:rsidR="005F2AC9" w:rsidRDefault="005F2AC9">
            <w:pPr>
              <w:spacing w:before="0" w:after="0" w:line="240" w:lineRule="auto"/>
              <w:rPr>
                <w:rFonts w:ascii="Times New Roman" w:eastAsia="Times New Roman" w:hAnsi="Times New Roman" w:cs="Times New Roman"/>
                <w:color w:val="000000" w:themeColor="text1"/>
              </w:rPr>
            </w:pPr>
          </w:p>
          <w:p w14:paraId="5AB42DF0" w14:textId="77777777" w:rsidR="005F2AC9" w:rsidRDefault="005F2AC9">
            <w:pPr>
              <w:spacing w:before="0" w:after="0" w:line="240" w:lineRule="auto"/>
              <w:rPr>
                <w:rFonts w:ascii="Times New Roman" w:eastAsia="Times New Roman" w:hAnsi="Times New Roman" w:cs="Times New Roman"/>
                <w:color w:val="000000" w:themeColor="text1"/>
              </w:rPr>
            </w:pPr>
          </w:p>
          <w:p w14:paraId="4D533F02" w14:textId="77777777" w:rsidR="005F2AC9" w:rsidRDefault="005F2AC9">
            <w:pPr>
              <w:spacing w:before="0" w:after="0" w:line="240" w:lineRule="auto"/>
              <w:rPr>
                <w:rFonts w:ascii="Times New Roman" w:eastAsia="Times New Roman" w:hAnsi="Times New Roman" w:cs="Times New Roman"/>
                <w:color w:val="000000" w:themeColor="text1"/>
              </w:rPr>
            </w:pPr>
          </w:p>
          <w:p w14:paraId="0DA4FC02" w14:textId="77777777" w:rsidR="005F2AC9" w:rsidRDefault="005F2AC9">
            <w:pPr>
              <w:spacing w:before="0" w:after="0" w:line="240" w:lineRule="auto"/>
              <w:rPr>
                <w:rFonts w:ascii="Times New Roman" w:eastAsia="Times New Roman" w:hAnsi="Times New Roman" w:cs="Times New Roman"/>
                <w:color w:val="000000" w:themeColor="text1"/>
              </w:rPr>
            </w:pPr>
          </w:p>
          <w:p w14:paraId="0D6488C2" w14:textId="77777777" w:rsidR="005F2AC9" w:rsidRDefault="005F2AC9">
            <w:pPr>
              <w:spacing w:before="0" w:after="0" w:line="240" w:lineRule="auto"/>
              <w:rPr>
                <w:rFonts w:ascii="Times New Roman" w:eastAsia="Times New Roman" w:hAnsi="Times New Roman" w:cs="Times New Roman"/>
                <w:color w:val="000000" w:themeColor="text1"/>
              </w:rPr>
            </w:pPr>
          </w:p>
          <w:p w14:paraId="64DF3E82" w14:textId="77777777" w:rsidR="005F2AC9" w:rsidRDefault="005F2AC9">
            <w:pPr>
              <w:spacing w:before="0" w:after="0" w:line="240" w:lineRule="auto"/>
              <w:rPr>
                <w:rFonts w:ascii="Times New Roman" w:eastAsia="Times New Roman" w:hAnsi="Times New Roman" w:cs="Times New Roman"/>
                <w:color w:val="000000" w:themeColor="text1"/>
              </w:rPr>
            </w:pPr>
          </w:p>
          <w:p w14:paraId="636DFEBB" w14:textId="77777777" w:rsidR="005F2AC9" w:rsidRDefault="005F2AC9">
            <w:pPr>
              <w:spacing w:before="0" w:after="0" w:line="240" w:lineRule="auto"/>
              <w:rPr>
                <w:rFonts w:ascii="Times New Roman" w:eastAsia="Times New Roman" w:hAnsi="Times New Roman" w:cs="Times New Roman"/>
                <w:color w:val="000000" w:themeColor="text1"/>
              </w:rPr>
            </w:pPr>
          </w:p>
          <w:p w14:paraId="0DD22F4B" w14:textId="77777777" w:rsidR="005F2AC9" w:rsidRDefault="005F2AC9">
            <w:pPr>
              <w:spacing w:before="0" w:after="0" w:line="240" w:lineRule="auto"/>
              <w:rPr>
                <w:rFonts w:ascii="Times New Roman" w:eastAsia="Times New Roman" w:hAnsi="Times New Roman" w:cs="Times New Roman"/>
                <w:color w:val="000000" w:themeColor="text1"/>
              </w:rPr>
            </w:pPr>
          </w:p>
          <w:p w14:paraId="536CFE2D" w14:textId="77777777" w:rsidR="005F2AC9" w:rsidRDefault="005F2AC9">
            <w:pPr>
              <w:spacing w:before="0" w:after="0" w:line="240" w:lineRule="auto"/>
              <w:rPr>
                <w:rFonts w:ascii="Times New Roman" w:eastAsia="Times New Roman" w:hAnsi="Times New Roman" w:cs="Times New Roman"/>
                <w:color w:val="000000" w:themeColor="text1"/>
              </w:rPr>
            </w:pPr>
          </w:p>
          <w:p w14:paraId="175FEB74" w14:textId="77777777" w:rsidR="005F2AC9" w:rsidRDefault="005F2AC9">
            <w:pPr>
              <w:spacing w:before="0" w:after="0" w:line="240" w:lineRule="auto"/>
              <w:rPr>
                <w:rFonts w:ascii="Times New Roman" w:eastAsia="Times New Roman" w:hAnsi="Times New Roman" w:cs="Times New Roman"/>
                <w:color w:val="000000" w:themeColor="text1"/>
              </w:rPr>
            </w:pPr>
          </w:p>
          <w:p w14:paraId="55D87238" w14:textId="77777777" w:rsidR="005F2AC9" w:rsidRDefault="005F2AC9">
            <w:pPr>
              <w:spacing w:before="0" w:after="0" w:line="240" w:lineRule="auto"/>
              <w:rPr>
                <w:rFonts w:ascii="Times New Roman" w:eastAsia="Times New Roman" w:hAnsi="Times New Roman" w:cs="Times New Roman"/>
                <w:color w:val="000000" w:themeColor="text1"/>
              </w:rPr>
            </w:pPr>
          </w:p>
          <w:p w14:paraId="6BA2A735" w14:textId="77777777" w:rsidR="005F2AC9" w:rsidRDefault="005F2AC9">
            <w:pPr>
              <w:spacing w:before="0" w:after="0" w:line="240" w:lineRule="auto"/>
              <w:rPr>
                <w:rFonts w:ascii="Times New Roman" w:eastAsia="Times New Roman" w:hAnsi="Times New Roman" w:cs="Times New Roman"/>
                <w:color w:val="000000" w:themeColor="text1"/>
              </w:rPr>
            </w:pPr>
          </w:p>
          <w:p w14:paraId="59F5866D" w14:textId="77777777" w:rsidR="005F2AC9" w:rsidRDefault="005F2AC9">
            <w:pPr>
              <w:spacing w:before="0" w:after="0" w:line="240" w:lineRule="auto"/>
              <w:rPr>
                <w:rFonts w:ascii="Times New Roman" w:eastAsia="Times New Roman" w:hAnsi="Times New Roman" w:cs="Times New Roman"/>
                <w:color w:val="000000" w:themeColor="text1"/>
              </w:rPr>
            </w:pPr>
          </w:p>
          <w:p w14:paraId="3B32EC46" w14:textId="77777777" w:rsidR="005F2AC9" w:rsidRDefault="005F2AC9">
            <w:pPr>
              <w:spacing w:before="0" w:after="0" w:line="240" w:lineRule="auto"/>
              <w:rPr>
                <w:rFonts w:ascii="Times New Roman" w:eastAsia="Times New Roman" w:hAnsi="Times New Roman" w:cs="Times New Roman"/>
                <w:color w:val="000000" w:themeColor="text1"/>
              </w:rPr>
            </w:pPr>
          </w:p>
          <w:p w14:paraId="01E4FDD1" w14:textId="77777777" w:rsidR="00962E92" w:rsidRDefault="00962E92">
            <w:pPr>
              <w:spacing w:before="0" w:after="0" w:line="240" w:lineRule="auto"/>
              <w:rPr>
                <w:rFonts w:ascii="Times New Roman" w:eastAsia="Times New Roman" w:hAnsi="Times New Roman" w:cs="Times New Roman"/>
                <w:color w:val="000000" w:themeColor="text1"/>
              </w:rPr>
            </w:pPr>
          </w:p>
          <w:p w14:paraId="52DE8669" w14:textId="77777777" w:rsidR="00962E92" w:rsidRDefault="00962E92">
            <w:pPr>
              <w:spacing w:before="0" w:after="0" w:line="240" w:lineRule="auto"/>
              <w:rPr>
                <w:rFonts w:ascii="Times New Roman" w:eastAsia="Times New Roman" w:hAnsi="Times New Roman" w:cs="Times New Roman"/>
                <w:color w:val="000000" w:themeColor="text1"/>
              </w:rPr>
            </w:pPr>
          </w:p>
          <w:p w14:paraId="04CB3E12" w14:textId="77777777" w:rsidR="00962E92" w:rsidRDefault="00962E92">
            <w:pPr>
              <w:spacing w:before="0" w:after="0" w:line="240" w:lineRule="auto"/>
              <w:rPr>
                <w:rFonts w:ascii="Times New Roman" w:eastAsia="Times New Roman" w:hAnsi="Times New Roman" w:cs="Times New Roman"/>
                <w:color w:val="000000" w:themeColor="text1"/>
              </w:rPr>
            </w:pPr>
          </w:p>
          <w:p w14:paraId="4A0F338A" w14:textId="77777777" w:rsidR="00962E92" w:rsidRDefault="00962E92">
            <w:pPr>
              <w:spacing w:before="0" w:after="0" w:line="240" w:lineRule="auto"/>
              <w:rPr>
                <w:rFonts w:ascii="Times New Roman" w:eastAsia="Times New Roman" w:hAnsi="Times New Roman" w:cs="Times New Roman"/>
                <w:color w:val="000000" w:themeColor="text1"/>
              </w:rPr>
            </w:pPr>
          </w:p>
          <w:p w14:paraId="5DBAE436" w14:textId="77777777" w:rsidR="00962E92" w:rsidRDefault="00962E92">
            <w:pPr>
              <w:spacing w:before="0" w:after="0" w:line="240" w:lineRule="auto"/>
              <w:rPr>
                <w:rFonts w:ascii="Times New Roman" w:eastAsia="Times New Roman" w:hAnsi="Times New Roman" w:cs="Times New Roman"/>
                <w:color w:val="000000" w:themeColor="text1"/>
              </w:rPr>
            </w:pPr>
          </w:p>
          <w:p w14:paraId="3E204DB1" w14:textId="77777777" w:rsidR="00962E92" w:rsidRDefault="00962E92">
            <w:pPr>
              <w:spacing w:before="0" w:after="0" w:line="240" w:lineRule="auto"/>
              <w:rPr>
                <w:rFonts w:ascii="Times New Roman" w:eastAsia="Times New Roman" w:hAnsi="Times New Roman" w:cs="Times New Roman"/>
                <w:color w:val="000000" w:themeColor="text1"/>
              </w:rPr>
            </w:pPr>
          </w:p>
          <w:p w14:paraId="2B9F09C1" w14:textId="65D1D68A" w:rsidR="005F2AC9" w:rsidRDefault="00B56839">
            <w:pPr>
              <w:spacing w:before="0"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250 punonjës        </w:t>
            </w:r>
          </w:p>
          <w:p w14:paraId="0F46002A" w14:textId="77777777" w:rsidR="005F2AC9" w:rsidRDefault="005F2AC9">
            <w:pPr>
              <w:spacing w:before="0" w:after="0" w:line="240" w:lineRule="auto"/>
              <w:rPr>
                <w:rFonts w:ascii="Times New Roman" w:eastAsia="Times New Roman" w:hAnsi="Times New Roman" w:cs="Times New Roman"/>
                <w:color w:val="000000" w:themeColor="text1"/>
              </w:rPr>
            </w:pPr>
          </w:p>
          <w:p w14:paraId="0B8116F0" w14:textId="77777777" w:rsidR="005F2AC9" w:rsidRDefault="005F2AC9">
            <w:pPr>
              <w:spacing w:before="0" w:after="0" w:line="240" w:lineRule="auto"/>
              <w:rPr>
                <w:rFonts w:ascii="Times New Roman" w:eastAsia="Times New Roman" w:hAnsi="Times New Roman" w:cs="Times New Roman"/>
                <w:color w:val="000000" w:themeColor="text1"/>
              </w:rPr>
            </w:pPr>
          </w:p>
          <w:p w14:paraId="7259BA32" w14:textId="77777777" w:rsidR="005F2AC9" w:rsidRDefault="005F2AC9">
            <w:pPr>
              <w:spacing w:before="0" w:after="0" w:line="240" w:lineRule="auto"/>
              <w:rPr>
                <w:rFonts w:ascii="Times New Roman" w:eastAsia="Times New Roman" w:hAnsi="Times New Roman" w:cs="Times New Roman"/>
                <w:color w:val="000000" w:themeColor="text1"/>
              </w:rPr>
            </w:pPr>
          </w:p>
          <w:p w14:paraId="7748F52A" w14:textId="77777777" w:rsidR="005F2AC9" w:rsidRDefault="005F2AC9">
            <w:pPr>
              <w:spacing w:before="0" w:after="0" w:line="240" w:lineRule="auto"/>
              <w:rPr>
                <w:rFonts w:ascii="Times New Roman" w:eastAsia="Times New Roman" w:hAnsi="Times New Roman" w:cs="Times New Roman"/>
                <w:color w:val="000000" w:themeColor="text1"/>
              </w:rPr>
            </w:pPr>
          </w:p>
          <w:p w14:paraId="44F246C4" w14:textId="77777777" w:rsidR="005F2AC9" w:rsidRDefault="005F2AC9">
            <w:pPr>
              <w:spacing w:before="0" w:after="0" w:line="240" w:lineRule="auto"/>
              <w:rPr>
                <w:rFonts w:ascii="Times New Roman" w:eastAsia="Times New Roman" w:hAnsi="Times New Roman" w:cs="Times New Roman"/>
                <w:color w:val="000000" w:themeColor="text1"/>
              </w:rPr>
            </w:pPr>
          </w:p>
          <w:p w14:paraId="1D91A672" w14:textId="77777777" w:rsidR="005F2AC9" w:rsidRDefault="005F2AC9">
            <w:pPr>
              <w:spacing w:before="0" w:after="0" w:line="240" w:lineRule="auto"/>
              <w:rPr>
                <w:rFonts w:ascii="Times New Roman" w:eastAsia="Times New Roman" w:hAnsi="Times New Roman" w:cs="Times New Roman"/>
                <w:color w:val="000000" w:themeColor="text1"/>
              </w:rPr>
            </w:pPr>
          </w:p>
          <w:p w14:paraId="77AB23B3" w14:textId="77777777" w:rsidR="005F2AC9" w:rsidRDefault="005F2AC9">
            <w:pPr>
              <w:spacing w:before="0" w:after="0" w:line="240" w:lineRule="auto"/>
              <w:rPr>
                <w:rFonts w:ascii="Times New Roman" w:eastAsia="Times New Roman" w:hAnsi="Times New Roman" w:cs="Times New Roman"/>
                <w:color w:val="000000" w:themeColor="text1"/>
              </w:rPr>
            </w:pPr>
          </w:p>
          <w:p w14:paraId="7B858462" w14:textId="77777777" w:rsidR="005F2AC9" w:rsidRDefault="005F2AC9">
            <w:pPr>
              <w:spacing w:before="0" w:after="0" w:line="240" w:lineRule="auto"/>
              <w:rPr>
                <w:rFonts w:ascii="Times New Roman" w:eastAsia="Times New Roman" w:hAnsi="Times New Roman" w:cs="Times New Roman"/>
                <w:color w:val="000000" w:themeColor="text1"/>
              </w:rPr>
            </w:pPr>
          </w:p>
          <w:p w14:paraId="4C349544" w14:textId="77777777" w:rsidR="005F2AC9" w:rsidRDefault="005F2AC9">
            <w:pPr>
              <w:spacing w:before="0" w:after="0" w:line="240" w:lineRule="auto"/>
              <w:rPr>
                <w:rFonts w:ascii="Times New Roman" w:eastAsia="Times New Roman" w:hAnsi="Times New Roman" w:cs="Times New Roman"/>
                <w:color w:val="000000" w:themeColor="text1"/>
              </w:rPr>
            </w:pPr>
          </w:p>
          <w:p w14:paraId="184F40AD" w14:textId="77777777" w:rsidR="005F2AC9" w:rsidRDefault="005F2AC9">
            <w:pPr>
              <w:spacing w:before="0" w:after="0" w:line="240" w:lineRule="auto"/>
              <w:rPr>
                <w:rFonts w:ascii="Times New Roman" w:eastAsia="Times New Roman" w:hAnsi="Times New Roman" w:cs="Times New Roman"/>
                <w:color w:val="000000" w:themeColor="text1"/>
              </w:rPr>
            </w:pPr>
          </w:p>
          <w:p w14:paraId="3370E0B3" w14:textId="77777777" w:rsidR="005F2AC9" w:rsidRDefault="005F2AC9">
            <w:pPr>
              <w:spacing w:before="0" w:after="0" w:line="240" w:lineRule="auto"/>
              <w:rPr>
                <w:rFonts w:ascii="Times New Roman" w:eastAsia="Times New Roman" w:hAnsi="Times New Roman" w:cs="Times New Roman"/>
                <w:color w:val="000000" w:themeColor="text1"/>
              </w:rPr>
            </w:pPr>
          </w:p>
          <w:p w14:paraId="0C69012E" w14:textId="77777777" w:rsidR="005F2AC9" w:rsidRDefault="005F2AC9">
            <w:pPr>
              <w:spacing w:before="0" w:after="0" w:line="240" w:lineRule="auto"/>
              <w:rPr>
                <w:rFonts w:ascii="Times New Roman" w:eastAsia="Times New Roman" w:hAnsi="Times New Roman" w:cs="Times New Roman"/>
                <w:color w:val="000000" w:themeColor="text1"/>
              </w:rPr>
            </w:pPr>
          </w:p>
          <w:p w14:paraId="335F067F"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5 raporte</w:t>
            </w:r>
          </w:p>
        </w:tc>
        <w:tc>
          <w:tcPr>
            <w:tcW w:w="946"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5F89063C" w14:textId="77777777" w:rsidR="005F2AC9" w:rsidRDefault="00B56839">
            <w:pPr>
              <w:spacing w:before="0" w:after="0" w:line="257"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181,871 individë</w:t>
            </w:r>
          </w:p>
          <w:p w14:paraId="26C10C4E" w14:textId="77777777" w:rsidR="005F2AC9" w:rsidRDefault="00B56839">
            <w:pPr>
              <w:spacing w:before="0" w:after="0" w:line="257"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89,117 (femra)</w:t>
            </w:r>
          </w:p>
          <w:p w14:paraId="5701E460" w14:textId="77777777" w:rsidR="005F2AC9" w:rsidRDefault="00B56839">
            <w:pPr>
              <w:spacing w:before="0" w:after="0" w:line="257"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92,754 (meshkuj)</w:t>
            </w:r>
          </w:p>
          <w:p w14:paraId="7EA3211F" w14:textId="77777777" w:rsidR="005F2AC9" w:rsidRDefault="00B56839">
            <w:pPr>
              <w:spacing w:before="0" w:after="0" w:line="257"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6,174 gra KF      </w:t>
            </w:r>
          </w:p>
          <w:p w14:paraId="533A91D4" w14:textId="77777777" w:rsidR="005F2AC9" w:rsidRDefault="005F2AC9">
            <w:pPr>
              <w:spacing w:before="0" w:after="0" w:line="257" w:lineRule="auto"/>
              <w:rPr>
                <w:rFonts w:ascii="Times New Roman" w:eastAsia="Times New Roman" w:hAnsi="Times New Roman" w:cs="Times New Roman"/>
                <w:color w:val="000000" w:themeColor="text1"/>
              </w:rPr>
            </w:pPr>
          </w:p>
          <w:p w14:paraId="08F95DB1" w14:textId="77777777" w:rsidR="005F2AC9" w:rsidRDefault="005F2AC9">
            <w:pPr>
              <w:spacing w:before="0" w:after="0" w:line="257" w:lineRule="auto"/>
              <w:rPr>
                <w:rFonts w:ascii="Times New Roman" w:eastAsia="Times New Roman" w:hAnsi="Times New Roman" w:cs="Times New Roman"/>
                <w:color w:val="000000" w:themeColor="text1"/>
              </w:rPr>
            </w:pPr>
          </w:p>
          <w:p w14:paraId="618C0373" w14:textId="77777777" w:rsidR="005F2AC9" w:rsidRDefault="005F2AC9">
            <w:pPr>
              <w:spacing w:before="0" w:after="0" w:line="257" w:lineRule="auto"/>
              <w:rPr>
                <w:rFonts w:ascii="Times New Roman" w:eastAsia="Times New Roman" w:hAnsi="Times New Roman" w:cs="Times New Roman"/>
                <w:color w:val="000000" w:themeColor="text1"/>
              </w:rPr>
            </w:pPr>
          </w:p>
          <w:p w14:paraId="536D3CCD" w14:textId="77777777" w:rsidR="005F2AC9" w:rsidRDefault="005F2AC9">
            <w:pPr>
              <w:spacing w:before="0" w:after="0" w:line="257" w:lineRule="auto"/>
              <w:rPr>
                <w:rFonts w:ascii="Times New Roman" w:eastAsia="Times New Roman" w:hAnsi="Times New Roman" w:cs="Times New Roman"/>
                <w:color w:val="000000" w:themeColor="text1"/>
              </w:rPr>
            </w:pPr>
          </w:p>
          <w:p w14:paraId="20C25F23" w14:textId="77777777" w:rsidR="005F2AC9" w:rsidRDefault="005F2AC9">
            <w:pPr>
              <w:spacing w:before="0" w:after="0" w:line="257" w:lineRule="auto"/>
              <w:rPr>
                <w:rFonts w:ascii="Times New Roman" w:eastAsia="Times New Roman" w:hAnsi="Times New Roman" w:cs="Times New Roman"/>
                <w:color w:val="000000" w:themeColor="text1"/>
              </w:rPr>
            </w:pPr>
          </w:p>
          <w:p w14:paraId="5BC8934F" w14:textId="77777777" w:rsidR="005F2AC9" w:rsidRDefault="005F2AC9">
            <w:pPr>
              <w:spacing w:before="0" w:after="0" w:line="257" w:lineRule="auto"/>
              <w:rPr>
                <w:rFonts w:ascii="Times New Roman" w:eastAsia="Times New Roman" w:hAnsi="Times New Roman" w:cs="Times New Roman"/>
                <w:color w:val="000000" w:themeColor="text1"/>
              </w:rPr>
            </w:pPr>
          </w:p>
          <w:p w14:paraId="38C8367C" w14:textId="77777777" w:rsidR="005F2AC9" w:rsidRDefault="005F2AC9">
            <w:pPr>
              <w:spacing w:before="0" w:after="0" w:line="257" w:lineRule="auto"/>
              <w:rPr>
                <w:rFonts w:ascii="Times New Roman" w:eastAsia="Times New Roman" w:hAnsi="Times New Roman" w:cs="Times New Roman"/>
                <w:color w:val="000000" w:themeColor="text1"/>
              </w:rPr>
            </w:pPr>
          </w:p>
          <w:p w14:paraId="73DF0564" w14:textId="77777777" w:rsidR="005F2AC9" w:rsidRDefault="005F2AC9">
            <w:pPr>
              <w:spacing w:before="0" w:after="0" w:line="257" w:lineRule="auto"/>
              <w:rPr>
                <w:rFonts w:ascii="Times New Roman" w:eastAsia="Times New Roman" w:hAnsi="Times New Roman" w:cs="Times New Roman"/>
                <w:color w:val="000000" w:themeColor="text1"/>
              </w:rPr>
            </w:pPr>
          </w:p>
          <w:p w14:paraId="4DDEBF12" w14:textId="77777777" w:rsidR="005F2AC9" w:rsidRDefault="005F2AC9">
            <w:pPr>
              <w:spacing w:before="0" w:after="0" w:line="257" w:lineRule="auto"/>
              <w:rPr>
                <w:rFonts w:ascii="Times New Roman" w:eastAsia="Times New Roman" w:hAnsi="Times New Roman" w:cs="Times New Roman"/>
                <w:color w:val="000000" w:themeColor="text1"/>
              </w:rPr>
            </w:pPr>
          </w:p>
          <w:p w14:paraId="7554E52F" w14:textId="77777777" w:rsidR="005F2AC9" w:rsidRDefault="005F2AC9">
            <w:pPr>
              <w:spacing w:before="0" w:after="0" w:line="257" w:lineRule="auto"/>
              <w:rPr>
                <w:rFonts w:ascii="Times New Roman" w:eastAsia="Times New Roman" w:hAnsi="Times New Roman" w:cs="Times New Roman"/>
                <w:color w:val="000000" w:themeColor="text1"/>
              </w:rPr>
            </w:pPr>
          </w:p>
          <w:p w14:paraId="54E93F7F" w14:textId="77777777" w:rsidR="005F2AC9" w:rsidRDefault="005F2AC9">
            <w:pPr>
              <w:spacing w:before="0" w:after="0" w:line="257" w:lineRule="auto"/>
              <w:rPr>
                <w:rFonts w:ascii="Times New Roman" w:eastAsia="Times New Roman" w:hAnsi="Times New Roman" w:cs="Times New Roman"/>
                <w:color w:val="000000" w:themeColor="text1"/>
              </w:rPr>
            </w:pPr>
          </w:p>
          <w:p w14:paraId="1335DC0F" w14:textId="77777777" w:rsidR="005F2AC9" w:rsidRDefault="005F2AC9">
            <w:pPr>
              <w:spacing w:before="0" w:after="0" w:line="257" w:lineRule="auto"/>
              <w:rPr>
                <w:rFonts w:ascii="Times New Roman" w:eastAsia="Times New Roman" w:hAnsi="Times New Roman" w:cs="Times New Roman"/>
                <w:color w:val="000000" w:themeColor="text1"/>
              </w:rPr>
            </w:pPr>
          </w:p>
          <w:p w14:paraId="1447D4AA" w14:textId="77777777" w:rsidR="005F2AC9" w:rsidRDefault="00B56839">
            <w:pPr>
              <w:spacing w:before="0" w:after="0" w:line="257"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50,600           </w:t>
            </w:r>
          </w:p>
          <w:p w14:paraId="22B62D7D" w14:textId="77777777" w:rsidR="005F2AC9" w:rsidRDefault="005F2AC9">
            <w:pPr>
              <w:spacing w:before="0" w:after="0" w:line="257" w:lineRule="auto"/>
              <w:rPr>
                <w:rFonts w:ascii="Times New Roman" w:eastAsia="Times New Roman" w:hAnsi="Times New Roman" w:cs="Times New Roman"/>
                <w:color w:val="000000" w:themeColor="text1"/>
              </w:rPr>
            </w:pPr>
          </w:p>
          <w:p w14:paraId="41FBE2EF" w14:textId="77777777" w:rsidR="005F2AC9" w:rsidRDefault="005F2AC9">
            <w:pPr>
              <w:spacing w:before="0" w:after="0" w:line="257" w:lineRule="auto"/>
              <w:rPr>
                <w:rFonts w:ascii="Times New Roman" w:eastAsia="Times New Roman" w:hAnsi="Times New Roman" w:cs="Times New Roman"/>
                <w:color w:val="000000" w:themeColor="text1"/>
              </w:rPr>
            </w:pPr>
          </w:p>
          <w:p w14:paraId="773DD272" w14:textId="77777777" w:rsidR="005F2AC9" w:rsidRDefault="005F2AC9">
            <w:pPr>
              <w:spacing w:before="0" w:after="0" w:line="257" w:lineRule="auto"/>
              <w:rPr>
                <w:rFonts w:ascii="Times New Roman" w:eastAsia="Times New Roman" w:hAnsi="Times New Roman" w:cs="Times New Roman"/>
                <w:color w:val="000000" w:themeColor="text1"/>
              </w:rPr>
            </w:pPr>
          </w:p>
          <w:p w14:paraId="19BF67A3" w14:textId="77777777" w:rsidR="005F2AC9" w:rsidRDefault="005F2AC9">
            <w:pPr>
              <w:spacing w:before="0" w:after="0" w:line="257" w:lineRule="auto"/>
              <w:rPr>
                <w:rFonts w:ascii="Times New Roman" w:eastAsia="Times New Roman" w:hAnsi="Times New Roman" w:cs="Times New Roman"/>
                <w:color w:val="000000" w:themeColor="text1"/>
              </w:rPr>
            </w:pPr>
          </w:p>
          <w:p w14:paraId="5EF79461" w14:textId="77777777" w:rsidR="005F2AC9" w:rsidRDefault="005F2AC9">
            <w:pPr>
              <w:spacing w:before="0" w:after="0" w:line="257" w:lineRule="auto"/>
              <w:rPr>
                <w:rFonts w:ascii="Times New Roman" w:eastAsia="Times New Roman" w:hAnsi="Times New Roman" w:cs="Times New Roman"/>
                <w:color w:val="000000" w:themeColor="text1"/>
              </w:rPr>
            </w:pPr>
          </w:p>
          <w:p w14:paraId="5B0447F8" w14:textId="77777777" w:rsidR="005F2AC9" w:rsidRDefault="005F2AC9">
            <w:pPr>
              <w:spacing w:before="0" w:after="0" w:line="257" w:lineRule="auto"/>
              <w:rPr>
                <w:rFonts w:ascii="Times New Roman" w:eastAsia="Times New Roman" w:hAnsi="Times New Roman" w:cs="Times New Roman"/>
                <w:color w:val="000000" w:themeColor="text1"/>
              </w:rPr>
            </w:pPr>
          </w:p>
          <w:p w14:paraId="4E49E32A" w14:textId="77777777" w:rsidR="005F2AC9" w:rsidRDefault="005F2AC9">
            <w:pPr>
              <w:spacing w:before="0" w:after="0" w:line="257" w:lineRule="auto"/>
              <w:rPr>
                <w:rFonts w:ascii="Times New Roman" w:eastAsia="Times New Roman" w:hAnsi="Times New Roman" w:cs="Times New Roman"/>
                <w:color w:val="000000" w:themeColor="text1"/>
              </w:rPr>
            </w:pPr>
          </w:p>
          <w:p w14:paraId="039C9595" w14:textId="77777777" w:rsidR="005F2AC9" w:rsidRDefault="005F2AC9">
            <w:pPr>
              <w:spacing w:before="0" w:after="0" w:line="257" w:lineRule="auto"/>
              <w:rPr>
                <w:rFonts w:ascii="Times New Roman" w:eastAsia="Times New Roman" w:hAnsi="Times New Roman" w:cs="Times New Roman"/>
                <w:color w:val="000000" w:themeColor="text1"/>
              </w:rPr>
            </w:pPr>
          </w:p>
          <w:p w14:paraId="29232802" w14:textId="77777777" w:rsidR="005F2AC9" w:rsidRDefault="005F2AC9">
            <w:pPr>
              <w:spacing w:before="0" w:after="0" w:line="257" w:lineRule="auto"/>
              <w:rPr>
                <w:rFonts w:ascii="Times New Roman" w:eastAsia="Times New Roman" w:hAnsi="Times New Roman" w:cs="Times New Roman"/>
                <w:color w:val="000000" w:themeColor="text1"/>
              </w:rPr>
            </w:pPr>
          </w:p>
          <w:p w14:paraId="44C29504" w14:textId="77777777" w:rsidR="005F2AC9" w:rsidRDefault="005F2AC9">
            <w:pPr>
              <w:spacing w:before="0" w:after="0" w:line="257" w:lineRule="auto"/>
              <w:rPr>
                <w:rFonts w:ascii="Times New Roman" w:eastAsia="Times New Roman" w:hAnsi="Times New Roman" w:cs="Times New Roman"/>
                <w:color w:val="000000" w:themeColor="text1"/>
              </w:rPr>
            </w:pPr>
          </w:p>
          <w:p w14:paraId="77DB8E72" w14:textId="77777777" w:rsidR="005F2AC9" w:rsidRDefault="005F2AC9">
            <w:pPr>
              <w:spacing w:before="0" w:after="0" w:line="257" w:lineRule="auto"/>
              <w:rPr>
                <w:rFonts w:ascii="Times New Roman" w:eastAsia="Times New Roman" w:hAnsi="Times New Roman" w:cs="Times New Roman"/>
                <w:color w:val="000000" w:themeColor="text1"/>
              </w:rPr>
            </w:pPr>
          </w:p>
          <w:p w14:paraId="3CF49D02" w14:textId="77777777" w:rsidR="005F2AC9" w:rsidRDefault="005F2AC9">
            <w:pPr>
              <w:spacing w:before="0" w:after="0" w:line="257" w:lineRule="auto"/>
              <w:rPr>
                <w:rFonts w:ascii="Times New Roman" w:eastAsia="Times New Roman" w:hAnsi="Times New Roman" w:cs="Times New Roman"/>
                <w:color w:val="000000" w:themeColor="text1"/>
              </w:rPr>
            </w:pPr>
          </w:p>
          <w:p w14:paraId="0F38174B" w14:textId="77777777" w:rsidR="005F2AC9" w:rsidRDefault="005F2AC9">
            <w:pPr>
              <w:spacing w:before="0" w:after="0" w:line="257" w:lineRule="auto"/>
              <w:rPr>
                <w:rFonts w:ascii="Times New Roman" w:eastAsia="Times New Roman" w:hAnsi="Times New Roman" w:cs="Times New Roman"/>
                <w:color w:val="000000" w:themeColor="text1"/>
              </w:rPr>
            </w:pPr>
          </w:p>
          <w:p w14:paraId="75E2493F" w14:textId="77777777" w:rsidR="005F2AC9" w:rsidRDefault="005F2AC9">
            <w:pPr>
              <w:spacing w:before="0" w:after="0" w:line="257" w:lineRule="auto"/>
              <w:rPr>
                <w:rFonts w:ascii="Times New Roman" w:eastAsia="Times New Roman" w:hAnsi="Times New Roman" w:cs="Times New Roman"/>
                <w:color w:val="000000" w:themeColor="text1"/>
              </w:rPr>
            </w:pPr>
          </w:p>
          <w:p w14:paraId="0520EE27" w14:textId="77777777" w:rsidR="005F2AC9" w:rsidRDefault="005F2AC9">
            <w:pPr>
              <w:spacing w:before="0" w:after="0" w:line="257" w:lineRule="auto"/>
              <w:rPr>
                <w:rFonts w:ascii="Times New Roman" w:eastAsia="Times New Roman" w:hAnsi="Times New Roman" w:cs="Times New Roman"/>
                <w:color w:val="000000" w:themeColor="text1"/>
              </w:rPr>
            </w:pPr>
          </w:p>
          <w:p w14:paraId="5B5CEFCF" w14:textId="77777777" w:rsidR="005F2AC9" w:rsidRDefault="005F2AC9">
            <w:pPr>
              <w:spacing w:before="0" w:after="0" w:line="257" w:lineRule="auto"/>
              <w:rPr>
                <w:rFonts w:ascii="Times New Roman" w:eastAsia="Times New Roman" w:hAnsi="Times New Roman" w:cs="Times New Roman"/>
                <w:color w:val="000000" w:themeColor="text1"/>
              </w:rPr>
            </w:pPr>
          </w:p>
          <w:p w14:paraId="1768C765" w14:textId="77777777" w:rsidR="005F2AC9" w:rsidRDefault="005F2AC9">
            <w:pPr>
              <w:spacing w:before="0" w:after="0" w:line="257" w:lineRule="auto"/>
              <w:rPr>
                <w:rFonts w:ascii="Times New Roman" w:eastAsia="Times New Roman" w:hAnsi="Times New Roman" w:cs="Times New Roman"/>
                <w:color w:val="000000" w:themeColor="text1"/>
              </w:rPr>
            </w:pPr>
          </w:p>
          <w:p w14:paraId="29B63673" w14:textId="77777777" w:rsidR="005F2AC9" w:rsidRDefault="005F2AC9">
            <w:pPr>
              <w:spacing w:before="0" w:after="0" w:line="257" w:lineRule="auto"/>
              <w:rPr>
                <w:rFonts w:ascii="Times New Roman" w:eastAsia="Times New Roman" w:hAnsi="Times New Roman" w:cs="Times New Roman"/>
                <w:color w:val="000000" w:themeColor="text1"/>
              </w:rPr>
            </w:pPr>
          </w:p>
          <w:p w14:paraId="4E539B90" w14:textId="77777777" w:rsidR="005F2AC9" w:rsidRDefault="005F2AC9">
            <w:pPr>
              <w:spacing w:before="0" w:after="0" w:line="257" w:lineRule="auto"/>
              <w:rPr>
                <w:rFonts w:ascii="Times New Roman" w:eastAsia="Times New Roman" w:hAnsi="Times New Roman" w:cs="Times New Roman"/>
                <w:color w:val="000000" w:themeColor="text1"/>
              </w:rPr>
            </w:pPr>
          </w:p>
          <w:p w14:paraId="7883CF95" w14:textId="77777777" w:rsidR="005F2AC9" w:rsidRDefault="005F2AC9">
            <w:pPr>
              <w:spacing w:before="0" w:after="0" w:line="257" w:lineRule="auto"/>
              <w:rPr>
                <w:rFonts w:ascii="Times New Roman" w:eastAsia="Times New Roman" w:hAnsi="Times New Roman" w:cs="Times New Roman"/>
                <w:color w:val="000000" w:themeColor="text1"/>
              </w:rPr>
            </w:pPr>
          </w:p>
          <w:p w14:paraId="60EFED1D" w14:textId="77777777" w:rsidR="00962E92" w:rsidRDefault="00962E92">
            <w:pPr>
              <w:spacing w:before="0" w:after="0" w:line="257" w:lineRule="auto"/>
              <w:rPr>
                <w:rFonts w:ascii="Times New Roman" w:eastAsia="Times New Roman" w:hAnsi="Times New Roman" w:cs="Times New Roman"/>
                <w:color w:val="000000" w:themeColor="text1"/>
              </w:rPr>
            </w:pPr>
          </w:p>
          <w:p w14:paraId="132B44FE" w14:textId="77777777" w:rsidR="00962E92" w:rsidRDefault="00962E92">
            <w:pPr>
              <w:spacing w:before="0" w:after="0" w:line="257" w:lineRule="auto"/>
              <w:rPr>
                <w:rFonts w:ascii="Times New Roman" w:eastAsia="Times New Roman" w:hAnsi="Times New Roman" w:cs="Times New Roman"/>
                <w:color w:val="000000" w:themeColor="text1"/>
              </w:rPr>
            </w:pPr>
          </w:p>
          <w:p w14:paraId="41903D36" w14:textId="77777777" w:rsidR="00962E92" w:rsidRDefault="00962E92">
            <w:pPr>
              <w:spacing w:before="0" w:after="0" w:line="257" w:lineRule="auto"/>
              <w:rPr>
                <w:rFonts w:ascii="Times New Roman" w:eastAsia="Times New Roman" w:hAnsi="Times New Roman" w:cs="Times New Roman"/>
                <w:color w:val="000000" w:themeColor="text1"/>
              </w:rPr>
            </w:pPr>
          </w:p>
          <w:p w14:paraId="09F0B359" w14:textId="77777777" w:rsidR="00962E92" w:rsidRDefault="00962E92">
            <w:pPr>
              <w:spacing w:before="0" w:after="0" w:line="257" w:lineRule="auto"/>
              <w:rPr>
                <w:rFonts w:ascii="Times New Roman" w:eastAsia="Times New Roman" w:hAnsi="Times New Roman" w:cs="Times New Roman"/>
                <w:color w:val="000000" w:themeColor="text1"/>
              </w:rPr>
            </w:pPr>
          </w:p>
          <w:p w14:paraId="62314ED1" w14:textId="77777777" w:rsidR="00962E92" w:rsidRDefault="00962E92">
            <w:pPr>
              <w:spacing w:before="0" w:after="0" w:line="257" w:lineRule="auto"/>
              <w:rPr>
                <w:rFonts w:ascii="Times New Roman" w:eastAsia="Times New Roman" w:hAnsi="Times New Roman" w:cs="Times New Roman"/>
                <w:color w:val="000000" w:themeColor="text1"/>
              </w:rPr>
            </w:pPr>
          </w:p>
          <w:p w14:paraId="2DA443FF" w14:textId="77777777" w:rsidR="00962E92" w:rsidRDefault="00962E92">
            <w:pPr>
              <w:spacing w:before="0" w:after="0" w:line="257" w:lineRule="auto"/>
              <w:rPr>
                <w:rFonts w:ascii="Times New Roman" w:eastAsia="Times New Roman" w:hAnsi="Times New Roman" w:cs="Times New Roman"/>
                <w:color w:val="000000" w:themeColor="text1"/>
              </w:rPr>
            </w:pPr>
          </w:p>
          <w:p w14:paraId="73BF7306" w14:textId="11D14DB4" w:rsidR="005F2AC9" w:rsidRDefault="00B56839">
            <w:pPr>
              <w:spacing w:before="0" w:after="0" w:line="257"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350 punonjës        </w:t>
            </w:r>
          </w:p>
          <w:p w14:paraId="12AC9C9A" w14:textId="77777777" w:rsidR="005F2AC9" w:rsidRDefault="005F2AC9">
            <w:pPr>
              <w:spacing w:before="0" w:after="0" w:line="257" w:lineRule="auto"/>
              <w:rPr>
                <w:rFonts w:ascii="Times New Roman" w:eastAsia="Times New Roman" w:hAnsi="Times New Roman" w:cs="Times New Roman"/>
                <w:color w:val="000000" w:themeColor="text1"/>
              </w:rPr>
            </w:pPr>
          </w:p>
          <w:p w14:paraId="03007752" w14:textId="77777777" w:rsidR="005F2AC9" w:rsidRDefault="005F2AC9">
            <w:pPr>
              <w:spacing w:before="0" w:after="0" w:line="257" w:lineRule="auto"/>
              <w:rPr>
                <w:rFonts w:ascii="Times New Roman" w:eastAsia="Times New Roman" w:hAnsi="Times New Roman" w:cs="Times New Roman"/>
                <w:color w:val="000000" w:themeColor="text1"/>
              </w:rPr>
            </w:pPr>
          </w:p>
          <w:p w14:paraId="43EE412E" w14:textId="77777777" w:rsidR="005F2AC9" w:rsidRDefault="005F2AC9">
            <w:pPr>
              <w:spacing w:before="0" w:after="0" w:line="257" w:lineRule="auto"/>
              <w:rPr>
                <w:rFonts w:ascii="Times New Roman" w:eastAsia="Times New Roman" w:hAnsi="Times New Roman" w:cs="Times New Roman"/>
                <w:color w:val="000000" w:themeColor="text1"/>
              </w:rPr>
            </w:pPr>
          </w:p>
          <w:p w14:paraId="26476AFD" w14:textId="77777777" w:rsidR="005F2AC9" w:rsidRDefault="005F2AC9">
            <w:pPr>
              <w:spacing w:before="0" w:after="0" w:line="257" w:lineRule="auto"/>
              <w:rPr>
                <w:rFonts w:ascii="Times New Roman" w:eastAsia="Times New Roman" w:hAnsi="Times New Roman" w:cs="Times New Roman"/>
                <w:color w:val="000000" w:themeColor="text1"/>
              </w:rPr>
            </w:pPr>
          </w:p>
          <w:p w14:paraId="1CE03E42" w14:textId="77777777" w:rsidR="005F2AC9" w:rsidRDefault="005F2AC9">
            <w:pPr>
              <w:spacing w:before="0" w:after="0" w:line="257" w:lineRule="auto"/>
              <w:rPr>
                <w:rFonts w:ascii="Times New Roman" w:eastAsia="Times New Roman" w:hAnsi="Times New Roman" w:cs="Times New Roman"/>
                <w:color w:val="000000" w:themeColor="text1"/>
              </w:rPr>
            </w:pPr>
          </w:p>
          <w:p w14:paraId="61C1355A" w14:textId="77777777" w:rsidR="005F2AC9" w:rsidRDefault="005F2AC9">
            <w:pPr>
              <w:spacing w:before="0" w:after="0" w:line="257" w:lineRule="auto"/>
              <w:rPr>
                <w:rFonts w:ascii="Times New Roman" w:eastAsia="Times New Roman" w:hAnsi="Times New Roman" w:cs="Times New Roman"/>
                <w:color w:val="000000" w:themeColor="text1"/>
              </w:rPr>
            </w:pPr>
          </w:p>
          <w:p w14:paraId="4C28B38F" w14:textId="77777777" w:rsidR="005F2AC9" w:rsidRDefault="005F2AC9">
            <w:pPr>
              <w:spacing w:before="0" w:after="0" w:line="257" w:lineRule="auto"/>
              <w:rPr>
                <w:rFonts w:ascii="Times New Roman" w:eastAsia="Times New Roman" w:hAnsi="Times New Roman" w:cs="Times New Roman"/>
                <w:color w:val="000000" w:themeColor="text1"/>
              </w:rPr>
            </w:pPr>
          </w:p>
          <w:p w14:paraId="507D4413" w14:textId="77777777" w:rsidR="005F2AC9" w:rsidRDefault="005F2AC9">
            <w:pPr>
              <w:spacing w:before="0" w:after="0" w:line="257" w:lineRule="auto"/>
              <w:rPr>
                <w:rFonts w:ascii="Times New Roman" w:eastAsia="Times New Roman" w:hAnsi="Times New Roman" w:cs="Times New Roman"/>
                <w:color w:val="000000" w:themeColor="text1"/>
              </w:rPr>
            </w:pPr>
          </w:p>
          <w:p w14:paraId="70A95F8C" w14:textId="77777777" w:rsidR="005F2AC9" w:rsidRDefault="005F2AC9">
            <w:pPr>
              <w:spacing w:before="0" w:after="0" w:line="257" w:lineRule="auto"/>
              <w:rPr>
                <w:rFonts w:ascii="Times New Roman" w:eastAsia="Times New Roman" w:hAnsi="Times New Roman" w:cs="Times New Roman"/>
                <w:color w:val="000000" w:themeColor="text1"/>
              </w:rPr>
            </w:pPr>
          </w:p>
          <w:p w14:paraId="2CC3651D" w14:textId="77777777" w:rsidR="005F2AC9" w:rsidRDefault="005F2AC9">
            <w:pPr>
              <w:spacing w:before="0" w:after="0" w:line="257" w:lineRule="auto"/>
              <w:rPr>
                <w:rFonts w:ascii="Times New Roman" w:eastAsia="Times New Roman" w:hAnsi="Times New Roman" w:cs="Times New Roman"/>
                <w:color w:val="000000" w:themeColor="text1"/>
              </w:rPr>
            </w:pPr>
          </w:p>
          <w:p w14:paraId="5F0AC8B3" w14:textId="77777777" w:rsidR="005F2AC9" w:rsidRDefault="005F2AC9">
            <w:pPr>
              <w:spacing w:before="0" w:after="0" w:line="257" w:lineRule="auto"/>
              <w:rPr>
                <w:rFonts w:ascii="Times New Roman" w:eastAsia="Times New Roman" w:hAnsi="Times New Roman" w:cs="Times New Roman"/>
                <w:color w:val="000000" w:themeColor="text1"/>
              </w:rPr>
            </w:pPr>
          </w:p>
          <w:p w14:paraId="3BC25996" w14:textId="77777777" w:rsidR="005F2AC9" w:rsidRDefault="005F2AC9">
            <w:pPr>
              <w:spacing w:before="0" w:after="0" w:line="257" w:lineRule="auto"/>
              <w:rPr>
                <w:rFonts w:ascii="Times New Roman" w:eastAsia="Times New Roman" w:hAnsi="Times New Roman" w:cs="Times New Roman"/>
                <w:color w:val="000000" w:themeColor="text1"/>
              </w:rPr>
            </w:pPr>
          </w:p>
          <w:p w14:paraId="29F3B22D" w14:textId="77777777" w:rsidR="005F2AC9" w:rsidRDefault="00B56839">
            <w:pPr>
              <w:spacing w:before="0" w:after="0" w:line="257"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 raporte</w:t>
            </w:r>
          </w:p>
        </w:tc>
        <w:tc>
          <w:tcPr>
            <w:tcW w:w="927"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0507244B" w14:textId="77777777" w:rsidR="005F2AC9" w:rsidRDefault="00B56839">
            <w:pPr>
              <w:spacing w:before="0"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210,000 individë</w:t>
            </w:r>
          </w:p>
          <w:p w14:paraId="7E0810B5" w14:textId="77777777" w:rsidR="005F2AC9" w:rsidRDefault="00B56839">
            <w:pPr>
              <w:spacing w:before="0"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94,500 (femra)</w:t>
            </w:r>
          </w:p>
          <w:p w14:paraId="1675EA31" w14:textId="77777777" w:rsidR="005F2AC9" w:rsidRDefault="00B56839">
            <w:pPr>
              <w:spacing w:before="0"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115,500 (meshkuj)</w:t>
            </w:r>
          </w:p>
          <w:p w14:paraId="44A605C9" w14:textId="77777777" w:rsidR="005F2AC9" w:rsidRDefault="00B56839">
            <w:pPr>
              <w:spacing w:before="0"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8,600 gra KF     </w:t>
            </w:r>
          </w:p>
          <w:p w14:paraId="3038BB66" w14:textId="77777777" w:rsidR="005F2AC9" w:rsidRDefault="005F2AC9">
            <w:pPr>
              <w:spacing w:before="0" w:after="0" w:line="240" w:lineRule="auto"/>
              <w:rPr>
                <w:rFonts w:ascii="Times New Roman" w:eastAsia="Times New Roman" w:hAnsi="Times New Roman" w:cs="Times New Roman"/>
                <w:color w:val="000000" w:themeColor="text1"/>
              </w:rPr>
            </w:pPr>
          </w:p>
          <w:p w14:paraId="0B7A078F" w14:textId="77777777" w:rsidR="005F2AC9" w:rsidRDefault="005F2AC9">
            <w:pPr>
              <w:spacing w:before="0" w:after="0" w:line="240" w:lineRule="auto"/>
              <w:rPr>
                <w:rFonts w:ascii="Times New Roman" w:eastAsia="Times New Roman" w:hAnsi="Times New Roman" w:cs="Times New Roman"/>
                <w:color w:val="000000" w:themeColor="text1"/>
              </w:rPr>
            </w:pPr>
          </w:p>
          <w:p w14:paraId="6380A1B5" w14:textId="77777777" w:rsidR="005F2AC9" w:rsidRDefault="005F2AC9">
            <w:pPr>
              <w:spacing w:before="0" w:after="0" w:line="240" w:lineRule="auto"/>
              <w:rPr>
                <w:rFonts w:ascii="Times New Roman" w:eastAsia="Times New Roman" w:hAnsi="Times New Roman" w:cs="Times New Roman"/>
                <w:color w:val="000000" w:themeColor="text1"/>
              </w:rPr>
            </w:pPr>
          </w:p>
          <w:p w14:paraId="58C895C3" w14:textId="77777777" w:rsidR="005F2AC9" w:rsidRDefault="005F2AC9">
            <w:pPr>
              <w:spacing w:before="0" w:after="0" w:line="240" w:lineRule="auto"/>
              <w:rPr>
                <w:rFonts w:ascii="Times New Roman" w:eastAsia="Times New Roman" w:hAnsi="Times New Roman" w:cs="Times New Roman"/>
                <w:color w:val="000000" w:themeColor="text1"/>
              </w:rPr>
            </w:pPr>
          </w:p>
          <w:p w14:paraId="22264118" w14:textId="77777777" w:rsidR="005F2AC9" w:rsidRDefault="005F2AC9">
            <w:pPr>
              <w:spacing w:before="0" w:after="0" w:line="240" w:lineRule="auto"/>
              <w:rPr>
                <w:rFonts w:ascii="Times New Roman" w:eastAsia="Times New Roman" w:hAnsi="Times New Roman" w:cs="Times New Roman"/>
                <w:color w:val="000000" w:themeColor="text1"/>
              </w:rPr>
            </w:pPr>
          </w:p>
          <w:p w14:paraId="309BF4BC" w14:textId="77777777" w:rsidR="005F2AC9" w:rsidRDefault="005F2AC9">
            <w:pPr>
              <w:spacing w:before="0" w:after="0" w:line="240" w:lineRule="auto"/>
              <w:rPr>
                <w:rFonts w:ascii="Times New Roman" w:eastAsia="Times New Roman" w:hAnsi="Times New Roman" w:cs="Times New Roman"/>
                <w:color w:val="000000" w:themeColor="text1"/>
              </w:rPr>
            </w:pPr>
          </w:p>
          <w:p w14:paraId="6A08A0EB" w14:textId="77777777" w:rsidR="005F2AC9" w:rsidRDefault="005F2AC9">
            <w:pPr>
              <w:spacing w:before="0" w:after="0" w:line="240" w:lineRule="auto"/>
              <w:rPr>
                <w:rFonts w:ascii="Times New Roman" w:eastAsia="Times New Roman" w:hAnsi="Times New Roman" w:cs="Times New Roman"/>
                <w:color w:val="000000" w:themeColor="text1"/>
              </w:rPr>
            </w:pPr>
          </w:p>
          <w:p w14:paraId="6812424B" w14:textId="77777777" w:rsidR="005F2AC9" w:rsidRDefault="005F2AC9">
            <w:pPr>
              <w:spacing w:before="0" w:after="0" w:line="240" w:lineRule="auto"/>
              <w:rPr>
                <w:rFonts w:ascii="Times New Roman" w:eastAsia="Times New Roman" w:hAnsi="Times New Roman" w:cs="Times New Roman"/>
                <w:color w:val="000000" w:themeColor="text1"/>
              </w:rPr>
            </w:pPr>
          </w:p>
          <w:p w14:paraId="1F8618CE" w14:textId="77777777" w:rsidR="005F2AC9" w:rsidRDefault="005F2AC9">
            <w:pPr>
              <w:spacing w:before="0" w:after="0" w:line="240" w:lineRule="auto"/>
              <w:rPr>
                <w:rFonts w:ascii="Times New Roman" w:eastAsia="Times New Roman" w:hAnsi="Times New Roman" w:cs="Times New Roman"/>
                <w:color w:val="000000" w:themeColor="text1"/>
              </w:rPr>
            </w:pPr>
          </w:p>
          <w:p w14:paraId="76725D57" w14:textId="77777777" w:rsidR="005F2AC9" w:rsidRDefault="005F2AC9">
            <w:pPr>
              <w:spacing w:before="0" w:after="0" w:line="240" w:lineRule="auto"/>
              <w:rPr>
                <w:rFonts w:ascii="Times New Roman" w:eastAsia="Times New Roman" w:hAnsi="Times New Roman" w:cs="Times New Roman"/>
                <w:color w:val="000000" w:themeColor="text1"/>
              </w:rPr>
            </w:pPr>
          </w:p>
          <w:p w14:paraId="1C73CFE3" w14:textId="77777777" w:rsidR="005F2AC9" w:rsidRDefault="005F2AC9">
            <w:pPr>
              <w:spacing w:before="0" w:after="0" w:line="240" w:lineRule="auto"/>
              <w:rPr>
                <w:rFonts w:ascii="Times New Roman" w:eastAsia="Times New Roman" w:hAnsi="Times New Roman" w:cs="Times New Roman"/>
                <w:color w:val="000000" w:themeColor="text1"/>
              </w:rPr>
            </w:pPr>
          </w:p>
          <w:p w14:paraId="21FB05EB" w14:textId="77777777" w:rsidR="005F2AC9" w:rsidRDefault="005F2AC9">
            <w:pPr>
              <w:spacing w:before="0" w:after="0" w:line="240" w:lineRule="auto"/>
              <w:rPr>
                <w:rFonts w:ascii="Times New Roman" w:eastAsia="Times New Roman" w:hAnsi="Times New Roman" w:cs="Times New Roman"/>
                <w:color w:val="000000" w:themeColor="text1"/>
              </w:rPr>
            </w:pPr>
          </w:p>
          <w:p w14:paraId="361EC2AB" w14:textId="77777777" w:rsidR="005F2AC9" w:rsidRDefault="00B56839">
            <w:pPr>
              <w:spacing w:before="0"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58,000            </w:t>
            </w:r>
          </w:p>
          <w:p w14:paraId="551ED9BC" w14:textId="77777777" w:rsidR="005F2AC9" w:rsidRDefault="005F2AC9">
            <w:pPr>
              <w:spacing w:before="0" w:after="0" w:line="240" w:lineRule="auto"/>
              <w:rPr>
                <w:rFonts w:ascii="Times New Roman" w:eastAsia="Times New Roman" w:hAnsi="Times New Roman" w:cs="Times New Roman"/>
                <w:color w:val="000000" w:themeColor="text1"/>
              </w:rPr>
            </w:pPr>
          </w:p>
          <w:p w14:paraId="1B93E34E" w14:textId="77777777" w:rsidR="005F2AC9" w:rsidRDefault="005F2AC9">
            <w:pPr>
              <w:spacing w:before="0" w:after="0" w:line="240" w:lineRule="auto"/>
              <w:rPr>
                <w:rFonts w:ascii="Times New Roman" w:eastAsia="Times New Roman" w:hAnsi="Times New Roman" w:cs="Times New Roman"/>
                <w:color w:val="000000" w:themeColor="text1"/>
              </w:rPr>
            </w:pPr>
          </w:p>
          <w:p w14:paraId="1383F14B" w14:textId="77777777" w:rsidR="005F2AC9" w:rsidRDefault="005F2AC9">
            <w:pPr>
              <w:spacing w:before="0" w:after="0" w:line="240" w:lineRule="auto"/>
              <w:rPr>
                <w:rFonts w:ascii="Times New Roman" w:eastAsia="Times New Roman" w:hAnsi="Times New Roman" w:cs="Times New Roman"/>
                <w:color w:val="000000" w:themeColor="text1"/>
              </w:rPr>
            </w:pPr>
          </w:p>
          <w:p w14:paraId="47CC8870" w14:textId="77777777" w:rsidR="005F2AC9" w:rsidRDefault="005F2AC9">
            <w:pPr>
              <w:spacing w:before="0" w:after="0" w:line="240" w:lineRule="auto"/>
              <w:rPr>
                <w:rFonts w:ascii="Times New Roman" w:eastAsia="Times New Roman" w:hAnsi="Times New Roman" w:cs="Times New Roman"/>
                <w:color w:val="000000" w:themeColor="text1"/>
              </w:rPr>
            </w:pPr>
          </w:p>
          <w:p w14:paraId="0C9B0164" w14:textId="77777777" w:rsidR="005F2AC9" w:rsidRDefault="005F2AC9">
            <w:pPr>
              <w:spacing w:before="0" w:after="0" w:line="240" w:lineRule="auto"/>
              <w:rPr>
                <w:rFonts w:ascii="Times New Roman" w:eastAsia="Times New Roman" w:hAnsi="Times New Roman" w:cs="Times New Roman"/>
                <w:color w:val="000000" w:themeColor="text1"/>
              </w:rPr>
            </w:pPr>
          </w:p>
          <w:p w14:paraId="3190FE7E" w14:textId="77777777" w:rsidR="005F2AC9" w:rsidRDefault="005F2AC9">
            <w:pPr>
              <w:spacing w:before="0" w:after="0" w:line="240" w:lineRule="auto"/>
              <w:rPr>
                <w:rFonts w:ascii="Times New Roman" w:eastAsia="Times New Roman" w:hAnsi="Times New Roman" w:cs="Times New Roman"/>
                <w:color w:val="000000" w:themeColor="text1"/>
              </w:rPr>
            </w:pPr>
          </w:p>
          <w:p w14:paraId="22800536" w14:textId="77777777" w:rsidR="005F2AC9" w:rsidRDefault="005F2AC9">
            <w:pPr>
              <w:spacing w:before="0" w:after="0" w:line="240" w:lineRule="auto"/>
              <w:rPr>
                <w:rFonts w:ascii="Times New Roman" w:eastAsia="Times New Roman" w:hAnsi="Times New Roman" w:cs="Times New Roman"/>
                <w:color w:val="000000" w:themeColor="text1"/>
              </w:rPr>
            </w:pPr>
          </w:p>
          <w:p w14:paraId="2454AF80" w14:textId="77777777" w:rsidR="005F2AC9" w:rsidRDefault="005F2AC9">
            <w:pPr>
              <w:spacing w:before="0" w:after="0" w:line="240" w:lineRule="auto"/>
              <w:rPr>
                <w:rFonts w:ascii="Times New Roman" w:eastAsia="Times New Roman" w:hAnsi="Times New Roman" w:cs="Times New Roman"/>
                <w:color w:val="000000" w:themeColor="text1"/>
              </w:rPr>
            </w:pPr>
          </w:p>
          <w:p w14:paraId="5FDD94E5" w14:textId="77777777" w:rsidR="005F2AC9" w:rsidRDefault="005F2AC9">
            <w:pPr>
              <w:spacing w:before="0" w:after="0" w:line="240" w:lineRule="auto"/>
              <w:rPr>
                <w:rFonts w:ascii="Times New Roman" w:eastAsia="Times New Roman" w:hAnsi="Times New Roman" w:cs="Times New Roman"/>
                <w:color w:val="000000" w:themeColor="text1"/>
              </w:rPr>
            </w:pPr>
          </w:p>
          <w:p w14:paraId="52A5F566" w14:textId="77777777" w:rsidR="005F2AC9" w:rsidRDefault="005F2AC9">
            <w:pPr>
              <w:spacing w:before="0" w:after="0" w:line="240" w:lineRule="auto"/>
              <w:rPr>
                <w:rFonts w:ascii="Times New Roman" w:eastAsia="Times New Roman" w:hAnsi="Times New Roman" w:cs="Times New Roman"/>
                <w:color w:val="000000" w:themeColor="text1"/>
              </w:rPr>
            </w:pPr>
          </w:p>
          <w:p w14:paraId="43C42C96" w14:textId="77777777" w:rsidR="005F2AC9" w:rsidRDefault="005F2AC9">
            <w:pPr>
              <w:spacing w:before="0" w:after="0" w:line="240" w:lineRule="auto"/>
              <w:rPr>
                <w:rFonts w:ascii="Times New Roman" w:eastAsia="Times New Roman" w:hAnsi="Times New Roman" w:cs="Times New Roman"/>
                <w:color w:val="000000" w:themeColor="text1"/>
              </w:rPr>
            </w:pPr>
          </w:p>
          <w:p w14:paraId="57EF4ADC" w14:textId="77777777" w:rsidR="005F2AC9" w:rsidRDefault="005F2AC9">
            <w:pPr>
              <w:spacing w:before="0" w:after="0" w:line="240" w:lineRule="auto"/>
              <w:rPr>
                <w:rFonts w:ascii="Times New Roman" w:eastAsia="Times New Roman" w:hAnsi="Times New Roman" w:cs="Times New Roman"/>
                <w:color w:val="000000" w:themeColor="text1"/>
              </w:rPr>
            </w:pPr>
          </w:p>
          <w:p w14:paraId="1217C7FF" w14:textId="77777777" w:rsidR="005F2AC9" w:rsidRDefault="005F2AC9">
            <w:pPr>
              <w:spacing w:before="0" w:after="0" w:line="240" w:lineRule="auto"/>
              <w:rPr>
                <w:rFonts w:ascii="Times New Roman" w:eastAsia="Times New Roman" w:hAnsi="Times New Roman" w:cs="Times New Roman"/>
                <w:color w:val="000000" w:themeColor="text1"/>
              </w:rPr>
            </w:pPr>
          </w:p>
          <w:p w14:paraId="35602E98" w14:textId="77777777" w:rsidR="005F2AC9" w:rsidRDefault="005F2AC9">
            <w:pPr>
              <w:spacing w:before="0" w:after="0" w:line="240" w:lineRule="auto"/>
              <w:rPr>
                <w:rFonts w:ascii="Times New Roman" w:eastAsia="Times New Roman" w:hAnsi="Times New Roman" w:cs="Times New Roman"/>
                <w:color w:val="000000" w:themeColor="text1"/>
              </w:rPr>
            </w:pPr>
          </w:p>
          <w:p w14:paraId="45E85675" w14:textId="77777777" w:rsidR="005F2AC9" w:rsidRDefault="005F2AC9">
            <w:pPr>
              <w:spacing w:before="0" w:after="0" w:line="240" w:lineRule="auto"/>
              <w:rPr>
                <w:rFonts w:ascii="Times New Roman" w:eastAsia="Times New Roman" w:hAnsi="Times New Roman" w:cs="Times New Roman"/>
                <w:color w:val="000000" w:themeColor="text1"/>
              </w:rPr>
            </w:pPr>
          </w:p>
          <w:p w14:paraId="7D49AD27" w14:textId="77777777" w:rsidR="005F2AC9" w:rsidRDefault="005F2AC9">
            <w:pPr>
              <w:spacing w:before="0" w:after="0" w:line="240" w:lineRule="auto"/>
              <w:rPr>
                <w:rFonts w:ascii="Times New Roman" w:eastAsia="Times New Roman" w:hAnsi="Times New Roman" w:cs="Times New Roman"/>
                <w:color w:val="000000" w:themeColor="text1"/>
              </w:rPr>
            </w:pPr>
          </w:p>
          <w:p w14:paraId="0E84AB87" w14:textId="77777777" w:rsidR="005F2AC9" w:rsidRDefault="005F2AC9">
            <w:pPr>
              <w:spacing w:before="0" w:after="0" w:line="240" w:lineRule="auto"/>
              <w:rPr>
                <w:rFonts w:ascii="Times New Roman" w:eastAsia="Times New Roman" w:hAnsi="Times New Roman" w:cs="Times New Roman"/>
                <w:color w:val="000000" w:themeColor="text1"/>
              </w:rPr>
            </w:pPr>
          </w:p>
          <w:p w14:paraId="12B52559" w14:textId="77777777" w:rsidR="005F2AC9" w:rsidRDefault="005F2AC9">
            <w:pPr>
              <w:spacing w:before="0" w:after="0" w:line="240" w:lineRule="auto"/>
              <w:rPr>
                <w:rFonts w:ascii="Times New Roman" w:eastAsia="Times New Roman" w:hAnsi="Times New Roman" w:cs="Times New Roman"/>
                <w:color w:val="000000" w:themeColor="text1"/>
              </w:rPr>
            </w:pPr>
          </w:p>
          <w:p w14:paraId="4A668FDD" w14:textId="77777777" w:rsidR="005F2AC9" w:rsidRDefault="005F2AC9">
            <w:pPr>
              <w:spacing w:before="0" w:after="0" w:line="240" w:lineRule="auto"/>
              <w:rPr>
                <w:rFonts w:ascii="Times New Roman" w:eastAsia="Times New Roman" w:hAnsi="Times New Roman" w:cs="Times New Roman"/>
                <w:color w:val="000000" w:themeColor="text1"/>
              </w:rPr>
            </w:pPr>
          </w:p>
          <w:p w14:paraId="5BA9E487" w14:textId="77777777" w:rsidR="005F2AC9" w:rsidRDefault="005F2AC9">
            <w:pPr>
              <w:spacing w:before="0" w:after="0" w:line="240" w:lineRule="auto"/>
              <w:rPr>
                <w:rFonts w:ascii="Times New Roman" w:eastAsia="Times New Roman" w:hAnsi="Times New Roman" w:cs="Times New Roman"/>
                <w:color w:val="000000" w:themeColor="text1"/>
              </w:rPr>
            </w:pPr>
          </w:p>
          <w:p w14:paraId="1FB107AE" w14:textId="77777777" w:rsidR="005F2AC9" w:rsidRDefault="005F2AC9">
            <w:pPr>
              <w:spacing w:before="0" w:after="0" w:line="240" w:lineRule="auto"/>
              <w:rPr>
                <w:rFonts w:ascii="Times New Roman" w:eastAsia="Times New Roman" w:hAnsi="Times New Roman" w:cs="Times New Roman"/>
                <w:color w:val="000000" w:themeColor="text1"/>
              </w:rPr>
            </w:pPr>
          </w:p>
          <w:p w14:paraId="6580629E" w14:textId="77777777" w:rsidR="005F2AC9" w:rsidRDefault="005F2AC9">
            <w:pPr>
              <w:spacing w:before="0" w:after="0" w:line="240" w:lineRule="auto"/>
              <w:rPr>
                <w:rFonts w:ascii="Times New Roman" w:eastAsia="Times New Roman" w:hAnsi="Times New Roman" w:cs="Times New Roman"/>
                <w:color w:val="000000" w:themeColor="text1"/>
              </w:rPr>
            </w:pPr>
          </w:p>
          <w:p w14:paraId="709B253D" w14:textId="77777777" w:rsidR="00962E92" w:rsidRDefault="00962E92">
            <w:pPr>
              <w:spacing w:before="0" w:after="0" w:line="240" w:lineRule="auto"/>
              <w:rPr>
                <w:rFonts w:ascii="Times New Roman" w:eastAsia="Times New Roman" w:hAnsi="Times New Roman" w:cs="Times New Roman"/>
                <w:color w:val="000000" w:themeColor="text1"/>
              </w:rPr>
            </w:pPr>
          </w:p>
          <w:p w14:paraId="46661329" w14:textId="77777777" w:rsidR="00962E92" w:rsidRDefault="00962E92">
            <w:pPr>
              <w:spacing w:before="0" w:after="0" w:line="240" w:lineRule="auto"/>
              <w:rPr>
                <w:rFonts w:ascii="Times New Roman" w:eastAsia="Times New Roman" w:hAnsi="Times New Roman" w:cs="Times New Roman"/>
                <w:color w:val="000000" w:themeColor="text1"/>
              </w:rPr>
            </w:pPr>
          </w:p>
          <w:p w14:paraId="0F686C12" w14:textId="77777777" w:rsidR="00962E92" w:rsidRDefault="00962E92">
            <w:pPr>
              <w:spacing w:before="0" w:after="0" w:line="240" w:lineRule="auto"/>
              <w:rPr>
                <w:rFonts w:ascii="Times New Roman" w:eastAsia="Times New Roman" w:hAnsi="Times New Roman" w:cs="Times New Roman"/>
                <w:color w:val="000000" w:themeColor="text1"/>
              </w:rPr>
            </w:pPr>
          </w:p>
          <w:p w14:paraId="7E6B1AA5" w14:textId="77777777" w:rsidR="00962E92" w:rsidRDefault="00962E92">
            <w:pPr>
              <w:spacing w:before="0" w:after="0" w:line="240" w:lineRule="auto"/>
              <w:rPr>
                <w:rFonts w:ascii="Times New Roman" w:eastAsia="Times New Roman" w:hAnsi="Times New Roman" w:cs="Times New Roman"/>
                <w:color w:val="000000" w:themeColor="text1"/>
              </w:rPr>
            </w:pPr>
          </w:p>
          <w:p w14:paraId="4D52E640" w14:textId="77777777" w:rsidR="00962E92" w:rsidRDefault="00962E92">
            <w:pPr>
              <w:spacing w:before="0" w:after="0" w:line="240" w:lineRule="auto"/>
              <w:rPr>
                <w:rFonts w:ascii="Times New Roman" w:eastAsia="Times New Roman" w:hAnsi="Times New Roman" w:cs="Times New Roman"/>
                <w:color w:val="000000" w:themeColor="text1"/>
              </w:rPr>
            </w:pPr>
          </w:p>
          <w:p w14:paraId="4E1DC1C8" w14:textId="77777777" w:rsidR="00962E92" w:rsidRDefault="00962E92">
            <w:pPr>
              <w:spacing w:before="0" w:after="0" w:line="240" w:lineRule="auto"/>
              <w:rPr>
                <w:rFonts w:ascii="Times New Roman" w:eastAsia="Times New Roman" w:hAnsi="Times New Roman" w:cs="Times New Roman"/>
                <w:color w:val="000000" w:themeColor="text1"/>
              </w:rPr>
            </w:pPr>
          </w:p>
          <w:p w14:paraId="20FE77D6" w14:textId="77777777" w:rsidR="00962E92" w:rsidRDefault="00962E92">
            <w:pPr>
              <w:spacing w:before="0" w:after="0" w:line="240" w:lineRule="auto"/>
              <w:rPr>
                <w:rFonts w:ascii="Times New Roman" w:eastAsia="Times New Roman" w:hAnsi="Times New Roman" w:cs="Times New Roman"/>
                <w:color w:val="000000" w:themeColor="text1"/>
              </w:rPr>
            </w:pPr>
          </w:p>
          <w:p w14:paraId="09544163" w14:textId="5D4802EA" w:rsidR="005F2AC9" w:rsidRDefault="00B56839">
            <w:pPr>
              <w:spacing w:before="0"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700 punonjës        </w:t>
            </w:r>
          </w:p>
          <w:p w14:paraId="005D1B5B" w14:textId="77777777" w:rsidR="005F2AC9" w:rsidRDefault="005F2AC9">
            <w:pPr>
              <w:spacing w:before="0" w:after="0" w:line="240" w:lineRule="auto"/>
              <w:rPr>
                <w:rFonts w:ascii="Times New Roman" w:eastAsia="Times New Roman" w:hAnsi="Times New Roman" w:cs="Times New Roman"/>
                <w:color w:val="000000" w:themeColor="text1"/>
              </w:rPr>
            </w:pPr>
          </w:p>
          <w:p w14:paraId="0EEF21DE" w14:textId="77777777" w:rsidR="005F2AC9" w:rsidRDefault="005F2AC9">
            <w:pPr>
              <w:spacing w:before="0" w:after="0" w:line="240" w:lineRule="auto"/>
              <w:rPr>
                <w:rFonts w:ascii="Times New Roman" w:eastAsia="Times New Roman" w:hAnsi="Times New Roman" w:cs="Times New Roman"/>
                <w:color w:val="000000" w:themeColor="text1"/>
              </w:rPr>
            </w:pPr>
          </w:p>
          <w:p w14:paraId="06F2F0C9" w14:textId="77777777" w:rsidR="005F2AC9" w:rsidRDefault="005F2AC9">
            <w:pPr>
              <w:spacing w:before="0" w:after="0" w:line="240" w:lineRule="auto"/>
              <w:rPr>
                <w:rFonts w:ascii="Times New Roman" w:eastAsia="Times New Roman" w:hAnsi="Times New Roman" w:cs="Times New Roman"/>
                <w:color w:val="000000" w:themeColor="text1"/>
              </w:rPr>
            </w:pPr>
          </w:p>
          <w:p w14:paraId="310BF42B" w14:textId="77777777" w:rsidR="005F2AC9" w:rsidRDefault="005F2AC9">
            <w:pPr>
              <w:spacing w:before="0" w:after="0" w:line="240" w:lineRule="auto"/>
              <w:rPr>
                <w:rFonts w:ascii="Times New Roman" w:eastAsia="Times New Roman" w:hAnsi="Times New Roman" w:cs="Times New Roman"/>
                <w:color w:val="000000" w:themeColor="text1"/>
              </w:rPr>
            </w:pPr>
          </w:p>
          <w:p w14:paraId="32A2D48B" w14:textId="77777777" w:rsidR="005F2AC9" w:rsidRDefault="005F2AC9">
            <w:pPr>
              <w:spacing w:before="0" w:after="0" w:line="240" w:lineRule="auto"/>
              <w:rPr>
                <w:rFonts w:ascii="Times New Roman" w:eastAsia="Times New Roman" w:hAnsi="Times New Roman" w:cs="Times New Roman"/>
                <w:color w:val="000000" w:themeColor="text1"/>
              </w:rPr>
            </w:pPr>
          </w:p>
          <w:p w14:paraId="2BC0AA05" w14:textId="77777777" w:rsidR="005F2AC9" w:rsidRDefault="005F2AC9">
            <w:pPr>
              <w:spacing w:before="0" w:after="0" w:line="240" w:lineRule="auto"/>
              <w:rPr>
                <w:rFonts w:ascii="Times New Roman" w:eastAsia="Times New Roman" w:hAnsi="Times New Roman" w:cs="Times New Roman"/>
                <w:color w:val="000000" w:themeColor="text1"/>
              </w:rPr>
            </w:pPr>
          </w:p>
          <w:p w14:paraId="19474D46" w14:textId="77777777" w:rsidR="005F2AC9" w:rsidRDefault="005F2AC9">
            <w:pPr>
              <w:spacing w:before="0" w:after="0" w:line="240" w:lineRule="auto"/>
              <w:rPr>
                <w:rFonts w:ascii="Times New Roman" w:eastAsia="Times New Roman" w:hAnsi="Times New Roman" w:cs="Times New Roman"/>
                <w:color w:val="000000" w:themeColor="text1"/>
              </w:rPr>
            </w:pPr>
          </w:p>
          <w:p w14:paraId="5F6C2688" w14:textId="77777777" w:rsidR="005F2AC9" w:rsidRDefault="005F2AC9">
            <w:pPr>
              <w:spacing w:before="0" w:after="0" w:line="240" w:lineRule="auto"/>
              <w:rPr>
                <w:rFonts w:ascii="Times New Roman" w:eastAsia="Times New Roman" w:hAnsi="Times New Roman" w:cs="Times New Roman"/>
                <w:color w:val="000000" w:themeColor="text1"/>
              </w:rPr>
            </w:pPr>
          </w:p>
          <w:p w14:paraId="530F20C6" w14:textId="77777777" w:rsidR="005F2AC9" w:rsidRDefault="005F2AC9">
            <w:pPr>
              <w:spacing w:before="0" w:after="0" w:line="240" w:lineRule="auto"/>
              <w:rPr>
                <w:rFonts w:ascii="Times New Roman" w:eastAsia="Times New Roman" w:hAnsi="Times New Roman" w:cs="Times New Roman"/>
                <w:color w:val="000000" w:themeColor="text1"/>
              </w:rPr>
            </w:pPr>
          </w:p>
          <w:p w14:paraId="06691EF4" w14:textId="77777777" w:rsidR="005F2AC9" w:rsidRDefault="005F2AC9">
            <w:pPr>
              <w:spacing w:before="0" w:after="0" w:line="240" w:lineRule="auto"/>
              <w:rPr>
                <w:rFonts w:ascii="Times New Roman" w:eastAsia="Times New Roman" w:hAnsi="Times New Roman" w:cs="Times New Roman"/>
                <w:color w:val="000000" w:themeColor="text1"/>
              </w:rPr>
            </w:pPr>
          </w:p>
          <w:p w14:paraId="09D53403" w14:textId="77777777" w:rsidR="005F2AC9" w:rsidRDefault="005F2AC9">
            <w:pPr>
              <w:spacing w:before="0" w:after="0" w:line="240" w:lineRule="auto"/>
              <w:rPr>
                <w:rFonts w:ascii="Times New Roman" w:eastAsia="Times New Roman" w:hAnsi="Times New Roman" w:cs="Times New Roman"/>
                <w:color w:val="000000" w:themeColor="text1"/>
              </w:rPr>
            </w:pPr>
          </w:p>
          <w:p w14:paraId="53390180" w14:textId="77777777" w:rsidR="005F2AC9" w:rsidRDefault="005F2AC9">
            <w:pPr>
              <w:spacing w:before="0" w:after="0" w:line="240" w:lineRule="auto"/>
              <w:rPr>
                <w:rFonts w:ascii="Times New Roman" w:eastAsia="Times New Roman" w:hAnsi="Times New Roman" w:cs="Times New Roman"/>
                <w:color w:val="000000" w:themeColor="text1"/>
              </w:rPr>
            </w:pPr>
          </w:p>
          <w:p w14:paraId="4CFB5DFF" w14:textId="77777777" w:rsidR="005F2AC9" w:rsidRDefault="00B56839">
            <w:pPr>
              <w:spacing w:before="0"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 raporte</w:t>
            </w:r>
          </w:p>
          <w:p w14:paraId="6251D8F3" w14:textId="77777777" w:rsidR="005F2AC9" w:rsidRDefault="005F2AC9">
            <w:pPr>
              <w:spacing w:before="0" w:after="0" w:line="240" w:lineRule="auto"/>
              <w:rPr>
                <w:rFonts w:ascii="Times New Roman" w:eastAsia="Times New Roman" w:hAnsi="Times New Roman" w:cs="Times New Roman"/>
                <w:color w:val="000000" w:themeColor="text1"/>
              </w:rPr>
            </w:pPr>
          </w:p>
        </w:tc>
        <w:tc>
          <w:tcPr>
            <w:tcW w:w="1218"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78FCCFE5" w14:textId="77777777" w:rsidR="005F2AC9" w:rsidRDefault="00B56839">
            <w:pPr>
              <w:spacing w:before="0"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SHSSH/ të dhëna </w:t>
            </w:r>
            <w:r>
              <w:rPr>
                <w:rFonts w:ascii="Times New Roman" w:eastAsia="Times New Roman" w:hAnsi="Times New Roman" w:cs="Times New Roman"/>
                <w:color w:val="000000" w:themeColor="text1"/>
              </w:rPr>
              <w:lastRenderedPageBreak/>
              <w:t xml:space="preserve">administrative         </w:t>
            </w:r>
          </w:p>
          <w:p w14:paraId="15C07A6E" w14:textId="77777777" w:rsidR="005F2AC9" w:rsidRDefault="005F2AC9">
            <w:pPr>
              <w:spacing w:before="0" w:after="0" w:line="240" w:lineRule="auto"/>
              <w:rPr>
                <w:rFonts w:ascii="Times New Roman" w:eastAsia="Times New Roman" w:hAnsi="Times New Roman" w:cs="Times New Roman"/>
                <w:color w:val="000000" w:themeColor="text1"/>
              </w:rPr>
            </w:pPr>
          </w:p>
          <w:p w14:paraId="142599B7" w14:textId="77777777" w:rsidR="005F2AC9" w:rsidRDefault="005F2AC9">
            <w:pPr>
              <w:spacing w:before="0" w:after="0" w:line="240" w:lineRule="auto"/>
              <w:rPr>
                <w:rFonts w:ascii="Times New Roman" w:eastAsia="Times New Roman" w:hAnsi="Times New Roman" w:cs="Times New Roman"/>
                <w:color w:val="000000" w:themeColor="text1"/>
              </w:rPr>
            </w:pPr>
          </w:p>
          <w:p w14:paraId="0186CD76" w14:textId="77777777" w:rsidR="005F2AC9" w:rsidRDefault="005F2AC9">
            <w:pPr>
              <w:spacing w:before="0" w:after="0" w:line="240" w:lineRule="auto"/>
              <w:rPr>
                <w:rFonts w:ascii="Times New Roman" w:eastAsia="Times New Roman" w:hAnsi="Times New Roman" w:cs="Times New Roman"/>
                <w:color w:val="000000" w:themeColor="text1"/>
              </w:rPr>
            </w:pPr>
          </w:p>
          <w:p w14:paraId="2B84E263" w14:textId="77777777" w:rsidR="005F2AC9" w:rsidRDefault="005F2AC9">
            <w:pPr>
              <w:spacing w:before="0" w:after="0" w:line="240" w:lineRule="auto"/>
              <w:rPr>
                <w:rFonts w:ascii="Times New Roman" w:eastAsia="Times New Roman" w:hAnsi="Times New Roman" w:cs="Times New Roman"/>
                <w:color w:val="000000" w:themeColor="text1"/>
              </w:rPr>
            </w:pPr>
          </w:p>
          <w:p w14:paraId="23EDC47D" w14:textId="77777777" w:rsidR="005F2AC9" w:rsidRDefault="005F2AC9">
            <w:pPr>
              <w:spacing w:before="0" w:after="0" w:line="240" w:lineRule="auto"/>
              <w:rPr>
                <w:rFonts w:ascii="Times New Roman" w:eastAsia="Times New Roman" w:hAnsi="Times New Roman" w:cs="Times New Roman"/>
                <w:color w:val="000000" w:themeColor="text1"/>
              </w:rPr>
            </w:pPr>
          </w:p>
          <w:p w14:paraId="7397AA30" w14:textId="77777777" w:rsidR="005F2AC9" w:rsidRDefault="005F2AC9">
            <w:pPr>
              <w:spacing w:before="0" w:after="0" w:line="240" w:lineRule="auto"/>
              <w:rPr>
                <w:rFonts w:ascii="Times New Roman" w:eastAsia="Times New Roman" w:hAnsi="Times New Roman" w:cs="Times New Roman"/>
                <w:color w:val="000000" w:themeColor="text1"/>
              </w:rPr>
            </w:pPr>
          </w:p>
          <w:p w14:paraId="1C68F388" w14:textId="77777777" w:rsidR="005F2AC9" w:rsidRDefault="005F2AC9">
            <w:pPr>
              <w:spacing w:before="0" w:after="0" w:line="240" w:lineRule="auto"/>
              <w:rPr>
                <w:rFonts w:ascii="Times New Roman" w:eastAsia="Times New Roman" w:hAnsi="Times New Roman" w:cs="Times New Roman"/>
                <w:color w:val="000000" w:themeColor="text1"/>
              </w:rPr>
            </w:pPr>
          </w:p>
          <w:p w14:paraId="01535C7C" w14:textId="77777777" w:rsidR="005F2AC9" w:rsidRDefault="005F2AC9">
            <w:pPr>
              <w:spacing w:before="0" w:after="0" w:line="240" w:lineRule="auto"/>
              <w:rPr>
                <w:rFonts w:ascii="Times New Roman" w:eastAsia="Times New Roman" w:hAnsi="Times New Roman" w:cs="Times New Roman"/>
                <w:color w:val="000000" w:themeColor="text1"/>
              </w:rPr>
            </w:pPr>
          </w:p>
          <w:p w14:paraId="760FBDBC" w14:textId="77777777" w:rsidR="005F2AC9" w:rsidRDefault="005F2AC9">
            <w:pPr>
              <w:spacing w:before="0" w:after="0" w:line="240" w:lineRule="auto"/>
              <w:rPr>
                <w:rFonts w:ascii="Times New Roman" w:eastAsia="Times New Roman" w:hAnsi="Times New Roman" w:cs="Times New Roman"/>
                <w:color w:val="000000" w:themeColor="text1"/>
              </w:rPr>
            </w:pPr>
          </w:p>
          <w:p w14:paraId="54EEDA72" w14:textId="77777777" w:rsidR="005F2AC9" w:rsidRDefault="005F2AC9">
            <w:pPr>
              <w:spacing w:before="0" w:after="0" w:line="240" w:lineRule="auto"/>
              <w:rPr>
                <w:rFonts w:ascii="Times New Roman" w:eastAsia="Times New Roman" w:hAnsi="Times New Roman" w:cs="Times New Roman"/>
                <w:color w:val="000000" w:themeColor="text1"/>
              </w:rPr>
            </w:pPr>
          </w:p>
          <w:p w14:paraId="6A3F243F" w14:textId="77777777" w:rsidR="005F2AC9" w:rsidRDefault="005F2AC9">
            <w:pPr>
              <w:spacing w:before="0" w:after="0" w:line="240" w:lineRule="auto"/>
              <w:rPr>
                <w:rFonts w:ascii="Times New Roman" w:eastAsia="Times New Roman" w:hAnsi="Times New Roman" w:cs="Times New Roman"/>
                <w:color w:val="000000" w:themeColor="text1"/>
              </w:rPr>
            </w:pPr>
          </w:p>
          <w:p w14:paraId="135E871D" w14:textId="77777777" w:rsidR="005F2AC9" w:rsidRDefault="005F2AC9">
            <w:pPr>
              <w:spacing w:before="0" w:after="0" w:line="240" w:lineRule="auto"/>
              <w:rPr>
                <w:rFonts w:ascii="Times New Roman" w:eastAsia="Times New Roman" w:hAnsi="Times New Roman" w:cs="Times New Roman"/>
                <w:color w:val="000000" w:themeColor="text1"/>
              </w:rPr>
            </w:pPr>
          </w:p>
          <w:p w14:paraId="2C723189" w14:textId="77777777" w:rsidR="005F2AC9" w:rsidRDefault="005F2AC9">
            <w:pPr>
              <w:spacing w:before="0" w:after="0" w:line="240" w:lineRule="auto"/>
              <w:rPr>
                <w:rFonts w:ascii="Times New Roman" w:eastAsia="Times New Roman" w:hAnsi="Times New Roman" w:cs="Times New Roman"/>
                <w:color w:val="000000" w:themeColor="text1"/>
              </w:rPr>
            </w:pPr>
          </w:p>
          <w:p w14:paraId="33E331FB" w14:textId="77777777" w:rsidR="005F2AC9" w:rsidRDefault="005F2AC9">
            <w:pPr>
              <w:spacing w:before="0" w:after="0" w:line="240" w:lineRule="auto"/>
              <w:rPr>
                <w:rFonts w:ascii="Times New Roman" w:eastAsia="Times New Roman" w:hAnsi="Times New Roman" w:cs="Times New Roman"/>
                <w:color w:val="000000" w:themeColor="text1"/>
              </w:rPr>
            </w:pPr>
          </w:p>
          <w:p w14:paraId="2E014287" w14:textId="77777777" w:rsidR="005F2AC9" w:rsidRDefault="005F2AC9">
            <w:pPr>
              <w:spacing w:before="0" w:after="0" w:line="240" w:lineRule="auto"/>
              <w:rPr>
                <w:rFonts w:ascii="Times New Roman" w:eastAsia="Times New Roman" w:hAnsi="Times New Roman" w:cs="Times New Roman"/>
                <w:color w:val="000000" w:themeColor="text1"/>
              </w:rPr>
            </w:pPr>
          </w:p>
          <w:p w14:paraId="0161EE71" w14:textId="77777777" w:rsidR="005F2AC9" w:rsidRDefault="005F2AC9">
            <w:pPr>
              <w:spacing w:before="0" w:after="0" w:line="240" w:lineRule="auto"/>
              <w:rPr>
                <w:rFonts w:ascii="Times New Roman" w:eastAsia="Times New Roman" w:hAnsi="Times New Roman" w:cs="Times New Roman"/>
                <w:color w:val="000000" w:themeColor="text1"/>
              </w:rPr>
            </w:pPr>
          </w:p>
          <w:p w14:paraId="25051DC6" w14:textId="77777777" w:rsidR="005F2AC9" w:rsidRDefault="00B56839">
            <w:pPr>
              <w:spacing w:before="0"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SHSSH/ të dhëna administrative          </w:t>
            </w:r>
          </w:p>
          <w:p w14:paraId="5053FBAA" w14:textId="77777777" w:rsidR="005F2AC9" w:rsidRDefault="005F2AC9">
            <w:pPr>
              <w:spacing w:before="0" w:after="0" w:line="240" w:lineRule="auto"/>
              <w:rPr>
                <w:rFonts w:ascii="Times New Roman" w:eastAsia="Times New Roman" w:hAnsi="Times New Roman" w:cs="Times New Roman"/>
                <w:color w:val="000000" w:themeColor="text1"/>
              </w:rPr>
            </w:pPr>
          </w:p>
          <w:p w14:paraId="40EA79B8" w14:textId="77777777" w:rsidR="005F2AC9" w:rsidRDefault="005F2AC9">
            <w:pPr>
              <w:spacing w:before="0" w:after="0" w:line="240" w:lineRule="auto"/>
              <w:rPr>
                <w:rFonts w:ascii="Times New Roman" w:eastAsia="Times New Roman" w:hAnsi="Times New Roman" w:cs="Times New Roman"/>
                <w:color w:val="000000" w:themeColor="text1"/>
              </w:rPr>
            </w:pPr>
          </w:p>
          <w:p w14:paraId="7E4C589D" w14:textId="77777777" w:rsidR="005F2AC9" w:rsidRDefault="005F2AC9">
            <w:pPr>
              <w:spacing w:before="0" w:after="0" w:line="240" w:lineRule="auto"/>
              <w:rPr>
                <w:rFonts w:ascii="Times New Roman" w:eastAsia="Times New Roman" w:hAnsi="Times New Roman" w:cs="Times New Roman"/>
                <w:color w:val="000000" w:themeColor="text1"/>
              </w:rPr>
            </w:pPr>
          </w:p>
          <w:p w14:paraId="51F077E5" w14:textId="77777777" w:rsidR="005F2AC9" w:rsidRDefault="005F2AC9">
            <w:pPr>
              <w:spacing w:before="0" w:after="0" w:line="240" w:lineRule="auto"/>
              <w:rPr>
                <w:rFonts w:ascii="Times New Roman" w:eastAsia="Times New Roman" w:hAnsi="Times New Roman" w:cs="Times New Roman"/>
                <w:color w:val="000000" w:themeColor="text1"/>
              </w:rPr>
            </w:pPr>
          </w:p>
          <w:p w14:paraId="11346596" w14:textId="77777777" w:rsidR="005F2AC9" w:rsidRDefault="005F2AC9">
            <w:pPr>
              <w:spacing w:before="0" w:after="0" w:line="240" w:lineRule="auto"/>
              <w:rPr>
                <w:rFonts w:ascii="Times New Roman" w:eastAsia="Times New Roman" w:hAnsi="Times New Roman" w:cs="Times New Roman"/>
                <w:color w:val="000000" w:themeColor="text1"/>
              </w:rPr>
            </w:pPr>
          </w:p>
          <w:p w14:paraId="2229D35B" w14:textId="77777777" w:rsidR="005F2AC9" w:rsidRDefault="005F2AC9">
            <w:pPr>
              <w:spacing w:before="0" w:after="0" w:line="240" w:lineRule="auto"/>
              <w:rPr>
                <w:rFonts w:ascii="Times New Roman" w:eastAsia="Times New Roman" w:hAnsi="Times New Roman" w:cs="Times New Roman"/>
                <w:color w:val="000000" w:themeColor="text1"/>
              </w:rPr>
            </w:pPr>
          </w:p>
          <w:p w14:paraId="399E15D0" w14:textId="77777777" w:rsidR="005F2AC9" w:rsidRDefault="005F2AC9">
            <w:pPr>
              <w:spacing w:before="0" w:after="0" w:line="240" w:lineRule="auto"/>
              <w:rPr>
                <w:rFonts w:ascii="Times New Roman" w:eastAsia="Times New Roman" w:hAnsi="Times New Roman" w:cs="Times New Roman"/>
                <w:color w:val="000000" w:themeColor="text1"/>
              </w:rPr>
            </w:pPr>
          </w:p>
          <w:p w14:paraId="00B7988B" w14:textId="77777777" w:rsidR="005F2AC9" w:rsidRDefault="005F2AC9">
            <w:pPr>
              <w:spacing w:before="0" w:after="0" w:line="240" w:lineRule="auto"/>
              <w:rPr>
                <w:rFonts w:ascii="Times New Roman" w:eastAsia="Times New Roman" w:hAnsi="Times New Roman" w:cs="Times New Roman"/>
                <w:color w:val="000000" w:themeColor="text1"/>
              </w:rPr>
            </w:pPr>
          </w:p>
          <w:p w14:paraId="1E63C704" w14:textId="77777777" w:rsidR="005F2AC9" w:rsidRDefault="005F2AC9">
            <w:pPr>
              <w:spacing w:before="0" w:after="0" w:line="240" w:lineRule="auto"/>
              <w:rPr>
                <w:rFonts w:ascii="Times New Roman" w:eastAsia="Times New Roman" w:hAnsi="Times New Roman" w:cs="Times New Roman"/>
                <w:color w:val="000000" w:themeColor="text1"/>
              </w:rPr>
            </w:pPr>
          </w:p>
          <w:p w14:paraId="74D6B8F8" w14:textId="77777777" w:rsidR="005F2AC9" w:rsidRDefault="005F2AC9">
            <w:pPr>
              <w:spacing w:before="0" w:after="0" w:line="240" w:lineRule="auto"/>
              <w:rPr>
                <w:rFonts w:ascii="Times New Roman" w:eastAsia="Times New Roman" w:hAnsi="Times New Roman" w:cs="Times New Roman"/>
                <w:color w:val="000000" w:themeColor="text1"/>
              </w:rPr>
            </w:pPr>
          </w:p>
          <w:p w14:paraId="6C830999" w14:textId="77777777" w:rsidR="005F2AC9" w:rsidRDefault="005F2AC9">
            <w:pPr>
              <w:spacing w:before="0" w:after="0" w:line="240" w:lineRule="auto"/>
              <w:rPr>
                <w:rFonts w:ascii="Times New Roman" w:eastAsia="Times New Roman" w:hAnsi="Times New Roman" w:cs="Times New Roman"/>
                <w:color w:val="000000" w:themeColor="text1"/>
              </w:rPr>
            </w:pPr>
          </w:p>
          <w:p w14:paraId="7A1432C8" w14:textId="77777777" w:rsidR="005F2AC9" w:rsidRDefault="005F2AC9">
            <w:pPr>
              <w:spacing w:before="0" w:after="0" w:line="240" w:lineRule="auto"/>
              <w:rPr>
                <w:rFonts w:ascii="Times New Roman" w:eastAsia="Times New Roman" w:hAnsi="Times New Roman" w:cs="Times New Roman"/>
                <w:color w:val="000000" w:themeColor="text1"/>
              </w:rPr>
            </w:pPr>
          </w:p>
          <w:p w14:paraId="73ED1AC3" w14:textId="77777777" w:rsidR="005F2AC9" w:rsidRDefault="005F2AC9">
            <w:pPr>
              <w:spacing w:before="0" w:after="0" w:line="240" w:lineRule="auto"/>
              <w:rPr>
                <w:rFonts w:ascii="Times New Roman" w:eastAsia="Times New Roman" w:hAnsi="Times New Roman" w:cs="Times New Roman"/>
                <w:color w:val="000000" w:themeColor="text1"/>
              </w:rPr>
            </w:pPr>
          </w:p>
          <w:p w14:paraId="6A28B1A2" w14:textId="77777777" w:rsidR="005F2AC9" w:rsidRDefault="005F2AC9">
            <w:pPr>
              <w:spacing w:before="0" w:after="0" w:line="240" w:lineRule="auto"/>
              <w:rPr>
                <w:rFonts w:ascii="Times New Roman" w:eastAsia="Times New Roman" w:hAnsi="Times New Roman" w:cs="Times New Roman"/>
                <w:color w:val="000000" w:themeColor="text1"/>
              </w:rPr>
            </w:pPr>
          </w:p>
          <w:p w14:paraId="36338B5D" w14:textId="77777777" w:rsidR="005F2AC9" w:rsidRDefault="005F2AC9">
            <w:pPr>
              <w:spacing w:before="0" w:after="0" w:line="240" w:lineRule="auto"/>
              <w:rPr>
                <w:rFonts w:ascii="Times New Roman" w:eastAsia="Times New Roman" w:hAnsi="Times New Roman" w:cs="Times New Roman"/>
                <w:color w:val="000000" w:themeColor="text1"/>
              </w:rPr>
            </w:pPr>
          </w:p>
          <w:p w14:paraId="72763DC2" w14:textId="77777777" w:rsidR="005F2AC9" w:rsidRDefault="005F2AC9">
            <w:pPr>
              <w:spacing w:before="0" w:after="0" w:line="240" w:lineRule="auto"/>
              <w:rPr>
                <w:rFonts w:ascii="Times New Roman" w:eastAsia="Times New Roman" w:hAnsi="Times New Roman" w:cs="Times New Roman"/>
                <w:color w:val="000000" w:themeColor="text1"/>
              </w:rPr>
            </w:pPr>
          </w:p>
          <w:p w14:paraId="3D2C268D" w14:textId="77777777" w:rsidR="005F2AC9" w:rsidRDefault="005F2AC9">
            <w:pPr>
              <w:spacing w:before="0" w:after="0" w:line="240" w:lineRule="auto"/>
              <w:rPr>
                <w:rFonts w:ascii="Times New Roman" w:eastAsia="Times New Roman" w:hAnsi="Times New Roman" w:cs="Times New Roman"/>
                <w:color w:val="000000" w:themeColor="text1"/>
              </w:rPr>
            </w:pPr>
          </w:p>
          <w:p w14:paraId="61CFB86D" w14:textId="77777777" w:rsidR="005F2AC9" w:rsidRDefault="005F2AC9">
            <w:pPr>
              <w:spacing w:before="0" w:after="0" w:line="240" w:lineRule="auto"/>
              <w:rPr>
                <w:rFonts w:ascii="Times New Roman" w:eastAsia="Times New Roman" w:hAnsi="Times New Roman" w:cs="Times New Roman"/>
                <w:color w:val="000000" w:themeColor="text1"/>
              </w:rPr>
            </w:pPr>
          </w:p>
          <w:p w14:paraId="78E31931" w14:textId="77777777" w:rsidR="005F2AC9" w:rsidRDefault="00B56839">
            <w:pPr>
              <w:spacing w:before="0"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SHSSH/ të dhëna administrative       </w:t>
            </w:r>
          </w:p>
          <w:p w14:paraId="3B4A66B6" w14:textId="77777777" w:rsidR="005F2AC9" w:rsidRDefault="005F2AC9">
            <w:pPr>
              <w:spacing w:before="0" w:after="0" w:line="240" w:lineRule="auto"/>
              <w:rPr>
                <w:rFonts w:ascii="Times New Roman" w:eastAsia="Times New Roman" w:hAnsi="Times New Roman" w:cs="Times New Roman"/>
                <w:color w:val="000000" w:themeColor="text1"/>
              </w:rPr>
            </w:pPr>
          </w:p>
          <w:p w14:paraId="30531BFA" w14:textId="77777777" w:rsidR="005F2AC9" w:rsidRDefault="005F2AC9">
            <w:pPr>
              <w:spacing w:before="0" w:after="0" w:line="240" w:lineRule="auto"/>
              <w:rPr>
                <w:rFonts w:ascii="Times New Roman" w:eastAsia="Times New Roman" w:hAnsi="Times New Roman" w:cs="Times New Roman"/>
                <w:color w:val="000000" w:themeColor="text1"/>
              </w:rPr>
            </w:pPr>
          </w:p>
          <w:p w14:paraId="7F6500B6" w14:textId="77777777" w:rsidR="005F2AC9" w:rsidRDefault="005F2AC9">
            <w:pPr>
              <w:spacing w:before="0" w:after="0" w:line="240" w:lineRule="auto"/>
              <w:rPr>
                <w:rFonts w:ascii="Times New Roman" w:eastAsia="Times New Roman" w:hAnsi="Times New Roman" w:cs="Times New Roman"/>
                <w:color w:val="000000" w:themeColor="text1"/>
              </w:rPr>
            </w:pPr>
          </w:p>
          <w:p w14:paraId="60D93D7A" w14:textId="77777777" w:rsidR="005F2AC9" w:rsidRDefault="005F2AC9">
            <w:pPr>
              <w:spacing w:before="0" w:after="0" w:line="240" w:lineRule="auto"/>
              <w:rPr>
                <w:rFonts w:ascii="Times New Roman" w:eastAsia="Times New Roman" w:hAnsi="Times New Roman" w:cs="Times New Roman"/>
                <w:color w:val="000000" w:themeColor="text1"/>
              </w:rPr>
            </w:pPr>
          </w:p>
          <w:p w14:paraId="091858CD" w14:textId="77777777" w:rsidR="005F2AC9" w:rsidRDefault="005F2AC9">
            <w:pPr>
              <w:spacing w:before="0" w:after="0" w:line="240" w:lineRule="auto"/>
              <w:rPr>
                <w:rFonts w:ascii="Times New Roman" w:eastAsia="Times New Roman" w:hAnsi="Times New Roman" w:cs="Times New Roman"/>
                <w:color w:val="000000" w:themeColor="text1"/>
              </w:rPr>
            </w:pPr>
          </w:p>
          <w:p w14:paraId="06135E08" w14:textId="77777777" w:rsidR="005F2AC9" w:rsidRDefault="005F2AC9">
            <w:pPr>
              <w:spacing w:before="0" w:after="0" w:line="240" w:lineRule="auto"/>
              <w:rPr>
                <w:rFonts w:ascii="Times New Roman" w:eastAsia="Times New Roman" w:hAnsi="Times New Roman" w:cs="Times New Roman"/>
                <w:color w:val="000000" w:themeColor="text1"/>
              </w:rPr>
            </w:pPr>
          </w:p>
          <w:p w14:paraId="1AC4EEC7" w14:textId="77777777" w:rsidR="005F2AC9" w:rsidRDefault="00B56839">
            <w:pPr>
              <w:spacing w:before="0"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SHSSH/ të dhëna administrative</w:t>
            </w:r>
          </w:p>
          <w:p w14:paraId="1009006B" w14:textId="77777777" w:rsidR="005F2AC9" w:rsidRDefault="005F2AC9">
            <w:pPr>
              <w:spacing w:before="0" w:after="0" w:line="240" w:lineRule="auto"/>
              <w:rPr>
                <w:rFonts w:ascii="Times New Roman" w:eastAsia="Times New Roman" w:hAnsi="Times New Roman" w:cs="Times New Roman"/>
                <w:color w:val="000000" w:themeColor="text1"/>
              </w:rPr>
            </w:pPr>
          </w:p>
        </w:tc>
        <w:tc>
          <w:tcPr>
            <w:tcW w:w="1100"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4461BE38" w14:textId="77777777" w:rsidR="005F2AC9" w:rsidRDefault="005F2AC9">
            <w:pPr>
              <w:spacing w:before="0" w:after="0" w:line="240" w:lineRule="auto"/>
              <w:rPr>
                <w:rFonts w:ascii="Times New Roman" w:eastAsia="Times New Roman" w:hAnsi="Times New Roman" w:cs="Times New Roman"/>
                <w:color w:val="000000" w:themeColor="text1"/>
              </w:rPr>
            </w:pPr>
          </w:p>
        </w:tc>
      </w:tr>
      <w:tr w:rsidR="005F2AC9" w14:paraId="7492387A" w14:textId="77777777">
        <w:trPr>
          <w:trHeight w:val="300"/>
        </w:trPr>
        <w:tc>
          <w:tcPr>
            <w:tcW w:w="953" w:type="dxa"/>
            <w:vMerge/>
            <w:tcBorders>
              <w:top w:val="single" w:sz="6" w:space="0" w:color="000000"/>
              <w:left w:val="single" w:sz="6" w:space="0" w:color="000000"/>
              <w:bottom w:val="single" w:sz="6" w:space="0" w:color="000000"/>
              <w:right w:val="single" w:sz="6" w:space="0" w:color="000000"/>
            </w:tcBorders>
            <w:shd w:val="clear" w:color="auto" w:fill="FFF2CC"/>
            <w:vAlign w:val="center"/>
          </w:tcPr>
          <w:p w14:paraId="36E67B05" w14:textId="77777777" w:rsidR="005F2AC9" w:rsidRDefault="005F2AC9">
            <w:pPr>
              <w:spacing w:before="0" w:after="0" w:line="240" w:lineRule="auto"/>
              <w:rPr>
                <w:color w:val="000000" w:themeColor="text1"/>
              </w:rPr>
            </w:pPr>
          </w:p>
        </w:tc>
        <w:tc>
          <w:tcPr>
            <w:tcW w:w="1481"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430A468F"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sq-AL"/>
              </w:rPr>
              <w:t>A1.2. Përmirësimi i riintegrimit social-ekonomik të individëve (gra dhe burra) pjesë e skemës së Ndihmës Ekonomike, përmes lidhjes me punësimin dhe promovimit të ndërmarrjeve sociale.</w:t>
            </w:r>
          </w:p>
        </w:tc>
        <w:tc>
          <w:tcPr>
            <w:tcW w:w="1568"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7C41AA52"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Numri i individëve përfitues të NE dhe PAK të punësuar nga programet e punësimit.</w:t>
            </w:r>
          </w:p>
          <w:p w14:paraId="7E300BD7"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14432148"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Numri i të rinjve pjesë e programit të ndihmës ekonomike që përfitojnë nga Skema e Garancisë Rinore ,sipas gjinisë, grupmosha 15-29 vjec, sipas gjinsë</w:t>
            </w:r>
          </w:p>
          <w:p w14:paraId="6E608977"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088690EC"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Numri (ose %) i grave përfituese nga skemat të ndryshme të nxitjes së punësimit (ose nga</w:t>
            </w:r>
          </w:p>
          <w:p w14:paraId="2D72566C"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ekosistemi i AKPA-së)</w:t>
            </w:r>
          </w:p>
          <w:p w14:paraId="166A38EA"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04162E05" w14:textId="77777777" w:rsidR="005F2AC9" w:rsidRDefault="005F2AC9">
            <w:pPr>
              <w:spacing w:before="0" w:after="0" w:line="240" w:lineRule="auto"/>
              <w:rPr>
                <w:rFonts w:ascii="Times New Roman" w:eastAsia="Times New Roman" w:hAnsi="Times New Roman" w:cs="Times New Roman"/>
                <w:color w:val="000000" w:themeColor="text1"/>
              </w:rPr>
            </w:pPr>
          </w:p>
        </w:tc>
        <w:tc>
          <w:tcPr>
            <w:tcW w:w="925"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61F03474"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2,824 </w:t>
            </w:r>
          </w:p>
          <w:p w14:paraId="571940A6"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7ED1F977"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585C5047"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68808BFB"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2687145F"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2725417A"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5B4DAB4D"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4DB19BD6" w14:textId="77777777" w:rsidR="005F2AC9" w:rsidRDefault="00B56839">
            <w:pPr>
              <w:spacing w:before="0" w:after="0" w:line="240" w:lineRule="auto"/>
              <w:rPr>
                <w:rFonts w:ascii="Times New Roman" w:eastAsia="Times New Roman" w:hAnsi="Times New Roman" w:cs="Times New Roman"/>
                <w:color w:val="000000" w:themeColor="text1"/>
                <w:lang w:val="it-IT"/>
              </w:rPr>
            </w:pPr>
            <w:r>
              <w:rPr>
                <w:rFonts w:ascii="Times New Roman" w:eastAsia="Times New Roman" w:hAnsi="Times New Roman" w:cs="Times New Roman"/>
                <w:color w:val="000000" w:themeColor="text1"/>
                <w:lang w:val="it-IT"/>
              </w:rPr>
              <w:t xml:space="preserve">60 </w:t>
            </w:r>
          </w:p>
          <w:p w14:paraId="31B44C0A"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39 femra </w:t>
            </w:r>
          </w:p>
          <w:p w14:paraId="6CD5F9AA"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41 meshkuj</w:t>
            </w:r>
          </w:p>
          <w:p w14:paraId="67D7ED62"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61BAC7E7"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5593DA0F"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242155EE"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2DEA5531"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11D30874"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67F800D6"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30450283"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627E1D3A"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1B341868"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1,637</w:t>
            </w:r>
          </w:p>
        </w:tc>
        <w:tc>
          <w:tcPr>
            <w:tcW w:w="946"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38991B8F" w14:textId="77777777" w:rsidR="005F2AC9" w:rsidRDefault="00B56839">
            <w:pPr>
              <w:spacing w:before="0" w:after="0" w:line="240" w:lineRule="auto"/>
              <w:rPr>
                <w:rFonts w:ascii="Times New Roman" w:eastAsia="Times New Roman" w:hAnsi="Times New Roman" w:cs="Times New Roman"/>
                <w:color w:val="000000" w:themeColor="text1"/>
                <w:lang w:val="it-IT"/>
              </w:rPr>
            </w:pPr>
            <w:r>
              <w:rPr>
                <w:rFonts w:ascii="Times New Roman" w:eastAsia="Times New Roman" w:hAnsi="Times New Roman" w:cs="Times New Roman"/>
                <w:color w:val="000000" w:themeColor="text1"/>
                <w:lang w:val="it-IT"/>
              </w:rPr>
              <w:t>3,009</w:t>
            </w:r>
          </w:p>
          <w:p w14:paraId="64C30541" w14:textId="77777777" w:rsidR="005F2AC9" w:rsidRDefault="00B56839">
            <w:pPr>
              <w:spacing w:before="0" w:after="0" w:line="240" w:lineRule="auto"/>
              <w:rPr>
                <w:rFonts w:ascii="Times New Roman" w:eastAsia="Times New Roman" w:hAnsi="Times New Roman" w:cs="Times New Roman"/>
                <w:color w:val="000000" w:themeColor="text1"/>
                <w:highlight w:val="yellow"/>
                <w:lang w:val="it-IT"/>
              </w:rPr>
            </w:pPr>
            <w:r>
              <w:rPr>
                <w:rFonts w:ascii="Times New Roman" w:eastAsia="Times New Roman" w:hAnsi="Times New Roman" w:cs="Times New Roman"/>
                <w:color w:val="000000" w:themeColor="text1"/>
                <w:highlight w:val="yellow"/>
                <w:lang w:val="it-IT"/>
              </w:rPr>
              <w:t xml:space="preserve"> </w:t>
            </w:r>
          </w:p>
          <w:p w14:paraId="28AD7352" w14:textId="77777777" w:rsidR="005F2AC9" w:rsidRDefault="00B56839">
            <w:pPr>
              <w:spacing w:before="0" w:after="0" w:line="240" w:lineRule="auto"/>
              <w:rPr>
                <w:rFonts w:ascii="Times New Roman" w:eastAsia="Times New Roman" w:hAnsi="Times New Roman" w:cs="Times New Roman"/>
                <w:color w:val="000000" w:themeColor="text1"/>
                <w:highlight w:val="yellow"/>
                <w:lang w:val="it-IT"/>
              </w:rPr>
            </w:pPr>
            <w:r>
              <w:rPr>
                <w:rFonts w:ascii="Times New Roman" w:eastAsia="Times New Roman" w:hAnsi="Times New Roman" w:cs="Times New Roman"/>
                <w:color w:val="000000" w:themeColor="text1"/>
                <w:highlight w:val="yellow"/>
                <w:lang w:val="it-IT"/>
              </w:rPr>
              <w:t xml:space="preserve"> </w:t>
            </w:r>
          </w:p>
          <w:p w14:paraId="212DC910" w14:textId="77777777" w:rsidR="005F2AC9" w:rsidRDefault="00B56839">
            <w:pPr>
              <w:spacing w:before="0" w:after="0" w:line="240" w:lineRule="auto"/>
              <w:rPr>
                <w:rFonts w:ascii="Times New Roman" w:eastAsia="Times New Roman" w:hAnsi="Times New Roman" w:cs="Times New Roman"/>
                <w:color w:val="000000" w:themeColor="text1"/>
                <w:highlight w:val="yellow"/>
                <w:lang w:val="it-IT"/>
              </w:rPr>
            </w:pPr>
            <w:r>
              <w:rPr>
                <w:rFonts w:ascii="Times New Roman" w:eastAsia="Times New Roman" w:hAnsi="Times New Roman" w:cs="Times New Roman"/>
                <w:color w:val="000000" w:themeColor="text1"/>
                <w:highlight w:val="yellow"/>
                <w:lang w:val="it-IT"/>
              </w:rPr>
              <w:t xml:space="preserve"> </w:t>
            </w:r>
          </w:p>
          <w:p w14:paraId="74872E18" w14:textId="77777777" w:rsidR="005F2AC9" w:rsidRDefault="005F2AC9">
            <w:pPr>
              <w:spacing w:before="0" w:after="0" w:line="240" w:lineRule="auto"/>
              <w:rPr>
                <w:rFonts w:ascii="Times New Roman" w:eastAsia="Times New Roman" w:hAnsi="Times New Roman" w:cs="Times New Roman"/>
                <w:color w:val="000000" w:themeColor="text1"/>
                <w:highlight w:val="yellow"/>
                <w:lang w:val="it-IT"/>
              </w:rPr>
            </w:pPr>
          </w:p>
          <w:p w14:paraId="01005345" w14:textId="77777777" w:rsidR="005F2AC9" w:rsidRDefault="005F2AC9">
            <w:pPr>
              <w:spacing w:before="0" w:after="0" w:line="240" w:lineRule="auto"/>
              <w:rPr>
                <w:rFonts w:ascii="Times New Roman" w:eastAsia="Times New Roman" w:hAnsi="Times New Roman" w:cs="Times New Roman"/>
                <w:color w:val="000000" w:themeColor="text1"/>
                <w:highlight w:val="yellow"/>
                <w:lang w:val="it-IT"/>
              </w:rPr>
            </w:pPr>
          </w:p>
          <w:p w14:paraId="04873DFC" w14:textId="77777777" w:rsidR="005F2AC9" w:rsidRDefault="005F2AC9">
            <w:pPr>
              <w:spacing w:before="0" w:after="0" w:line="240" w:lineRule="auto"/>
              <w:rPr>
                <w:rFonts w:ascii="Times New Roman" w:eastAsia="Times New Roman" w:hAnsi="Times New Roman" w:cs="Times New Roman"/>
                <w:color w:val="000000" w:themeColor="text1"/>
                <w:highlight w:val="yellow"/>
                <w:lang w:val="it-IT"/>
              </w:rPr>
            </w:pPr>
          </w:p>
          <w:p w14:paraId="53619DB3" w14:textId="77777777" w:rsidR="005F2AC9" w:rsidRDefault="005F2AC9">
            <w:pPr>
              <w:spacing w:before="0" w:after="0" w:line="240" w:lineRule="auto"/>
              <w:rPr>
                <w:rFonts w:ascii="Times New Roman" w:eastAsia="Times New Roman" w:hAnsi="Times New Roman" w:cs="Times New Roman"/>
                <w:color w:val="000000" w:themeColor="text1"/>
                <w:highlight w:val="yellow"/>
                <w:lang w:val="it-IT"/>
              </w:rPr>
            </w:pPr>
          </w:p>
          <w:p w14:paraId="62EBC75B" w14:textId="77777777" w:rsidR="005F2AC9" w:rsidRDefault="00B56839">
            <w:pPr>
              <w:spacing w:before="0" w:after="0" w:line="240" w:lineRule="auto"/>
              <w:rPr>
                <w:rFonts w:ascii="Times New Roman" w:eastAsia="Times New Roman" w:hAnsi="Times New Roman" w:cs="Times New Roman"/>
                <w:color w:val="000000" w:themeColor="text1"/>
                <w:lang w:val="it-IT"/>
              </w:rPr>
            </w:pPr>
            <w:r>
              <w:rPr>
                <w:rFonts w:ascii="Times New Roman" w:eastAsia="Times New Roman" w:hAnsi="Times New Roman" w:cs="Times New Roman"/>
                <w:color w:val="000000" w:themeColor="text1"/>
                <w:lang w:val="it-IT"/>
              </w:rPr>
              <w:t xml:space="preserve">100 </w:t>
            </w:r>
          </w:p>
          <w:p w14:paraId="0A4BDB28" w14:textId="77777777" w:rsidR="005F2AC9" w:rsidRDefault="00B56839">
            <w:pPr>
              <w:spacing w:before="0" w:after="0" w:line="240" w:lineRule="auto"/>
              <w:rPr>
                <w:rFonts w:ascii="Times New Roman" w:eastAsia="Times New Roman" w:hAnsi="Times New Roman" w:cs="Times New Roman"/>
                <w:color w:val="000000" w:themeColor="text1"/>
                <w:lang w:val="it-IT"/>
              </w:rPr>
            </w:pPr>
            <w:r>
              <w:rPr>
                <w:rFonts w:ascii="Times New Roman" w:eastAsia="Times New Roman" w:hAnsi="Times New Roman" w:cs="Times New Roman"/>
                <w:color w:val="000000" w:themeColor="text1"/>
                <w:lang w:val="it-IT"/>
              </w:rPr>
              <w:t>65 femra</w:t>
            </w:r>
          </w:p>
          <w:p w14:paraId="1B2352FE" w14:textId="77777777" w:rsidR="005F2AC9" w:rsidRDefault="00B56839">
            <w:pPr>
              <w:spacing w:before="0" w:after="0" w:line="240" w:lineRule="auto"/>
              <w:rPr>
                <w:rFonts w:ascii="Times New Roman" w:eastAsia="Times New Roman" w:hAnsi="Times New Roman" w:cs="Times New Roman"/>
                <w:color w:val="000000" w:themeColor="text1"/>
                <w:lang w:val="it-IT"/>
              </w:rPr>
            </w:pPr>
            <w:r>
              <w:rPr>
                <w:rFonts w:ascii="Times New Roman" w:eastAsia="Times New Roman" w:hAnsi="Times New Roman" w:cs="Times New Roman"/>
                <w:color w:val="000000" w:themeColor="text1"/>
                <w:lang w:val="it-IT"/>
              </w:rPr>
              <w:t>35 meshkuj</w:t>
            </w:r>
          </w:p>
          <w:p w14:paraId="35339C5C" w14:textId="77777777" w:rsidR="005F2AC9" w:rsidRDefault="00B56839">
            <w:pPr>
              <w:spacing w:before="0" w:after="0" w:line="240" w:lineRule="auto"/>
              <w:rPr>
                <w:rFonts w:ascii="Times New Roman" w:eastAsia="Times New Roman" w:hAnsi="Times New Roman" w:cs="Times New Roman"/>
                <w:color w:val="000000" w:themeColor="text1"/>
                <w:highlight w:val="yellow"/>
                <w:lang w:val="it-IT"/>
              </w:rPr>
            </w:pPr>
            <w:r>
              <w:rPr>
                <w:rFonts w:ascii="Times New Roman" w:eastAsia="Times New Roman" w:hAnsi="Times New Roman" w:cs="Times New Roman"/>
                <w:color w:val="000000" w:themeColor="text1"/>
                <w:highlight w:val="yellow"/>
                <w:lang w:val="it-IT"/>
              </w:rPr>
              <w:t xml:space="preserve"> </w:t>
            </w:r>
          </w:p>
          <w:p w14:paraId="18025735" w14:textId="77777777" w:rsidR="005F2AC9" w:rsidRDefault="00B56839">
            <w:pPr>
              <w:spacing w:before="0" w:after="0" w:line="240" w:lineRule="auto"/>
              <w:rPr>
                <w:rFonts w:ascii="Times New Roman" w:eastAsia="Times New Roman" w:hAnsi="Times New Roman" w:cs="Times New Roman"/>
                <w:color w:val="000000" w:themeColor="text1"/>
                <w:highlight w:val="yellow"/>
                <w:lang w:val="it-IT"/>
              </w:rPr>
            </w:pPr>
            <w:r>
              <w:rPr>
                <w:rFonts w:ascii="Times New Roman" w:eastAsia="Times New Roman" w:hAnsi="Times New Roman" w:cs="Times New Roman"/>
                <w:color w:val="000000" w:themeColor="text1"/>
                <w:highlight w:val="yellow"/>
                <w:lang w:val="it-IT"/>
              </w:rPr>
              <w:t xml:space="preserve"> </w:t>
            </w:r>
          </w:p>
          <w:p w14:paraId="2CD8414E" w14:textId="77777777" w:rsidR="005F2AC9" w:rsidRDefault="005F2AC9">
            <w:pPr>
              <w:spacing w:before="0" w:after="0" w:line="240" w:lineRule="auto"/>
              <w:rPr>
                <w:rFonts w:ascii="Times New Roman" w:eastAsia="Times New Roman" w:hAnsi="Times New Roman" w:cs="Times New Roman"/>
                <w:color w:val="000000" w:themeColor="text1"/>
                <w:highlight w:val="yellow"/>
                <w:lang w:val="it-IT"/>
              </w:rPr>
            </w:pPr>
          </w:p>
          <w:p w14:paraId="7F4E17E3" w14:textId="77777777" w:rsidR="005F2AC9" w:rsidRDefault="005F2AC9">
            <w:pPr>
              <w:spacing w:before="0" w:after="0" w:line="240" w:lineRule="auto"/>
              <w:rPr>
                <w:rFonts w:ascii="Times New Roman" w:eastAsia="Times New Roman" w:hAnsi="Times New Roman" w:cs="Times New Roman"/>
                <w:color w:val="000000" w:themeColor="text1"/>
                <w:highlight w:val="yellow"/>
                <w:lang w:val="it-IT"/>
              </w:rPr>
            </w:pPr>
          </w:p>
          <w:p w14:paraId="71F75566" w14:textId="77777777" w:rsidR="005F2AC9" w:rsidRDefault="005F2AC9">
            <w:pPr>
              <w:spacing w:before="0" w:after="0" w:line="240" w:lineRule="auto"/>
              <w:rPr>
                <w:rFonts w:ascii="Times New Roman" w:eastAsia="Times New Roman" w:hAnsi="Times New Roman" w:cs="Times New Roman"/>
                <w:color w:val="000000" w:themeColor="text1"/>
                <w:highlight w:val="yellow"/>
                <w:lang w:val="it-IT"/>
              </w:rPr>
            </w:pPr>
          </w:p>
          <w:p w14:paraId="389426A9" w14:textId="77777777" w:rsidR="005F2AC9" w:rsidRDefault="005F2AC9">
            <w:pPr>
              <w:spacing w:before="0" w:after="0" w:line="240" w:lineRule="auto"/>
              <w:rPr>
                <w:rFonts w:ascii="Times New Roman" w:eastAsia="Times New Roman" w:hAnsi="Times New Roman" w:cs="Times New Roman"/>
                <w:color w:val="000000" w:themeColor="text1"/>
                <w:highlight w:val="yellow"/>
                <w:lang w:val="it-IT"/>
              </w:rPr>
            </w:pPr>
          </w:p>
          <w:p w14:paraId="269BFDEF" w14:textId="77777777" w:rsidR="005F2AC9" w:rsidRDefault="005F2AC9">
            <w:pPr>
              <w:spacing w:before="0" w:after="0" w:line="240" w:lineRule="auto"/>
              <w:rPr>
                <w:rFonts w:ascii="Times New Roman" w:eastAsia="Times New Roman" w:hAnsi="Times New Roman" w:cs="Times New Roman"/>
                <w:color w:val="000000" w:themeColor="text1"/>
                <w:highlight w:val="yellow"/>
                <w:lang w:val="it-IT"/>
              </w:rPr>
            </w:pPr>
          </w:p>
          <w:p w14:paraId="496979D0" w14:textId="77777777" w:rsidR="005F2AC9" w:rsidRDefault="005F2AC9">
            <w:pPr>
              <w:spacing w:before="0" w:after="0" w:line="240" w:lineRule="auto"/>
              <w:rPr>
                <w:rFonts w:ascii="Times New Roman" w:eastAsia="Times New Roman" w:hAnsi="Times New Roman" w:cs="Times New Roman"/>
                <w:color w:val="000000" w:themeColor="text1"/>
                <w:highlight w:val="yellow"/>
                <w:lang w:val="it-IT"/>
              </w:rPr>
            </w:pPr>
          </w:p>
          <w:p w14:paraId="6E72FF0B" w14:textId="77777777" w:rsidR="005F2AC9" w:rsidRDefault="005F2AC9">
            <w:pPr>
              <w:spacing w:before="0" w:after="0" w:line="240" w:lineRule="auto"/>
              <w:rPr>
                <w:rFonts w:ascii="Times New Roman" w:eastAsia="Times New Roman" w:hAnsi="Times New Roman" w:cs="Times New Roman"/>
                <w:color w:val="000000" w:themeColor="text1"/>
                <w:highlight w:val="yellow"/>
                <w:lang w:val="it-IT"/>
              </w:rPr>
            </w:pPr>
          </w:p>
          <w:p w14:paraId="4CAF4B12" w14:textId="77777777" w:rsidR="005F2AC9" w:rsidRDefault="005F2AC9">
            <w:pPr>
              <w:spacing w:before="0" w:after="0" w:line="240" w:lineRule="auto"/>
              <w:rPr>
                <w:rFonts w:ascii="Times New Roman" w:eastAsia="Times New Roman" w:hAnsi="Times New Roman" w:cs="Times New Roman"/>
                <w:color w:val="000000" w:themeColor="text1"/>
                <w:highlight w:val="yellow"/>
                <w:lang w:val="it-IT"/>
              </w:rPr>
            </w:pPr>
          </w:p>
          <w:p w14:paraId="7BDFD7F6" w14:textId="77777777" w:rsidR="005F2AC9" w:rsidRDefault="00B56839">
            <w:pPr>
              <w:spacing w:before="0" w:after="0" w:line="240" w:lineRule="auto"/>
              <w:rPr>
                <w:rFonts w:ascii="Times New Roman" w:eastAsia="Times New Roman" w:hAnsi="Times New Roman" w:cs="Times New Roman"/>
                <w:color w:val="000000" w:themeColor="text1"/>
                <w:highlight w:val="yellow"/>
                <w:lang w:val="it-IT"/>
              </w:rPr>
            </w:pPr>
            <w:r>
              <w:rPr>
                <w:rFonts w:ascii="Times New Roman" w:eastAsia="Times New Roman" w:hAnsi="Times New Roman" w:cs="Times New Roman"/>
                <w:color w:val="000000" w:themeColor="text1"/>
                <w:lang w:val="it-IT"/>
              </w:rPr>
              <w:t>2,128</w:t>
            </w:r>
          </w:p>
        </w:tc>
        <w:tc>
          <w:tcPr>
            <w:tcW w:w="927"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556D042F"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5,070</w:t>
            </w:r>
          </w:p>
          <w:p w14:paraId="524656D1"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6F7D5E4C"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379789AA"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4B890291"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62345D46"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0DEB3627"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138922FA"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0F0F9C20"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150 </w:t>
            </w:r>
          </w:p>
          <w:p w14:paraId="64E54027"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98 femra </w:t>
            </w:r>
          </w:p>
          <w:p w14:paraId="49DB11C7"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42 meshkuj</w:t>
            </w:r>
          </w:p>
          <w:p w14:paraId="7445D190"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35856C16"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5A905BB0"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6F1A44A7"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5DC8B314"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778ADC35"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252EC435"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0E29EEE9"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5B1DCB3B" w14:textId="77777777" w:rsidR="00962E92" w:rsidRDefault="00962E92">
            <w:pPr>
              <w:spacing w:before="0" w:after="0" w:line="240" w:lineRule="auto"/>
              <w:rPr>
                <w:rFonts w:ascii="Times New Roman" w:eastAsia="Times New Roman" w:hAnsi="Times New Roman" w:cs="Times New Roman"/>
                <w:color w:val="000000" w:themeColor="text1"/>
                <w:lang w:val="it-IT"/>
              </w:rPr>
            </w:pPr>
          </w:p>
          <w:p w14:paraId="79BF2952" w14:textId="540B9346"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2,770</w:t>
            </w:r>
          </w:p>
        </w:tc>
        <w:tc>
          <w:tcPr>
            <w:tcW w:w="1218"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35A13656"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AKPA/ të dhëna administrative</w:t>
            </w:r>
          </w:p>
          <w:p w14:paraId="04AE4B5A"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2D8D6176" w14:textId="77777777" w:rsidR="005F2AC9" w:rsidRDefault="005F2AC9">
            <w:pPr>
              <w:spacing w:before="0" w:after="0" w:line="240" w:lineRule="auto"/>
              <w:rPr>
                <w:rFonts w:ascii="Times New Roman" w:eastAsia="Times New Roman" w:hAnsi="Times New Roman" w:cs="Times New Roman"/>
                <w:color w:val="000000" w:themeColor="text1"/>
              </w:rPr>
            </w:pPr>
          </w:p>
          <w:p w14:paraId="23E0B453" w14:textId="77777777" w:rsidR="005F2AC9" w:rsidRDefault="005F2AC9">
            <w:pPr>
              <w:spacing w:before="0" w:after="0" w:line="240" w:lineRule="auto"/>
              <w:rPr>
                <w:rFonts w:ascii="Times New Roman" w:eastAsia="Times New Roman" w:hAnsi="Times New Roman" w:cs="Times New Roman"/>
                <w:color w:val="000000" w:themeColor="text1"/>
              </w:rPr>
            </w:pPr>
          </w:p>
          <w:p w14:paraId="7E72A06D"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0E81725B"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AKPA/ të dhëna administrative</w:t>
            </w:r>
          </w:p>
          <w:p w14:paraId="170CD12C"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61C13CBB"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4D43B12B" w14:textId="77777777" w:rsidR="005F2AC9" w:rsidRDefault="005F2AC9">
            <w:pPr>
              <w:spacing w:before="0" w:after="0" w:line="240" w:lineRule="auto"/>
              <w:rPr>
                <w:rFonts w:ascii="Times New Roman" w:eastAsia="Times New Roman" w:hAnsi="Times New Roman" w:cs="Times New Roman"/>
                <w:color w:val="000000" w:themeColor="text1"/>
              </w:rPr>
            </w:pPr>
          </w:p>
          <w:p w14:paraId="38F0934A" w14:textId="77777777" w:rsidR="005F2AC9" w:rsidRDefault="005F2AC9">
            <w:pPr>
              <w:spacing w:before="0" w:after="0" w:line="240" w:lineRule="auto"/>
              <w:rPr>
                <w:rFonts w:ascii="Times New Roman" w:eastAsia="Times New Roman" w:hAnsi="Times New Roman" w:cs="Times New Roman"/>
                <w:color w:val="000000" w:themeColor="text1"/>
              </w:rPr>
            </w:pPr>
          </w:p>
          <w:p w14:paraId="004F6177" w14:textId="77777777" w:rsidR="005F2AC9" w:rsidRDefault="005F2AC9">
            <w:pPr>
              <w:spacing w:before="0" w:after="0" w:line="240" w:lineRule="auto"/>
              <w:rPr>
                <w:rFonts w:ascii="Times New Roman" w:eastAsia="Times New Roman" w:hAnsi="Times New Roman" w:cs="Times New Roman"/>
                <w:color w:val="000000" w:themeColor="text1"/>
              </w:rPr>
            </w:pPr>
          </w:p>
          <w:p w14:paraId="005AD512" w14:textId="77777777" w:rsidR="005F2AC9" w:rsidRDefault="005F2AC9">
            <w:pPr>
              <w:spacing w:before="0" w:after="0" w:line="240" w:lineRule="auto"/>
              <w:rPr>
                <w:rFonts w:ascii="Times New Roman" w:eastAsia="Times New Roman" w:hAnsi="Times New Roman" w:cs="Times New Roman"/>
                <w:color w:val="000000" w:themeColor="text1"/>
              </w:rPr>
            </w:pPr>
          </w:p>
          <w:p w14:paraId="37ACC7EB" w14:textId="77777777" w:rsidR="005F2AC9" w:rsidRDefault="005F2AC9">
            <w:pPr>
              <w:spacing w:before="0" w:after="0" w:line="240" w:lineRule="auto"/>
              <w:rPr>
                <w:rFonts w:ascii="Times New Roman" w:eastAsia="Times New Roman" w:hAnsi="Times New Roman" w:cs="Times New Roman"/>
                <w:color w:val="000000" w:themeColor="text1"/>
              </w:rPr>
            </w:pPr>
          </w:p>
          <w:p w14:paraId="7A7E42F2"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AKPA / të dhëna administrative</w:t>
            </w:r>
          </w:p>
          <w:p w14:paraId="58DB2829"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6AA09C9C"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2EA50635" w14:textId="77777777" w:rsidR="005F2AC9" w:rsidRDefault="005F2AC9">
            <w:pPr>
              <w:spacing w:before="0" w:after="0" w:line="240" w:lineRule="auto"/>
              <w:rPr>
                <w:rFonts w:ascii="Times New Roman" w:eastAsia="Times New Roman" w:hAnsi="Times New Roman" w:cs="Times New Roman"/>
                <w:color w:val="000000" w:themeColor="text1"/>
                <w:lang w:val="it-IT"/>
              </w:rPr>
            </w:pPr>
          </w:p>
        </w:tc>
        <w:tc>
          <w:tcPr>
            <w:tcW w:w="1100"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0BEBEA8F" w14:textId="77777777" w:rsidR="005F2AC9" w:rsidRDefault="005F2AC9">
            <w:pPr>
              <w:spacing w:before="0" w:after="0" w:line="240" w:lineRule="auto"/>
              <w:rPr>
                <w:rFonts w:ascii="Times New Roman" w:eastAsia="Times New Roman" w:hAnsi="Times New Roman" w:cs="Times New Roman"/>
                <w:color w:val="000000" w:themeColor="text1"/>
              </w:rPr>
            </w:pPr>
          </w:p>
        </w:tc>
      </w:tr>
      <w:tr w:rsidR="005F2AC9" w14:paraId="68D10465" w14:textId="77777777">
        <w:trPr>
          <w:trHeight w:val="300"/>
        </w:trPr>
        <w:tc>
          <w:tcPr>
            <w:tcW w:w="953" w:type="dxa"/>
            <w:vMerge/>
            <w:tcBorders>
              <w:top w:val="single" w:sz="6" w:space="0" w:color="000000"/>
              <w:left w:val="single" w:sz="6" w:space="0" w:color="000000"/>
              <w:bottom w:val="single" w:sz="6" w:space="0" w:color="000000"/>
              <w:right w:val="single" w:sz="6" w:space="0" w:color="000000"/>
            </w:tcBorders>
            <w:shd w:val="clear" w:color="auto" w:fill="FFF2CC"/>
            <w:vAlign w:val="center"/>
          </w:tcPr>
          <w:p w14:paraId="288D99EE" w14:textId="77777777" w:rsidR="005F2AC9" w:rsidRDefault="005F2AC9">
            <w:pPr>
              <w:spacing w:before="0" w:after="0" w:line="240" w:lineRule="auto"/>
              <w:rPr>
                <w:color w:val="000000" w:themeColor="text1"/>
              </w:rPr>
            </w:pPr>
          </w:p>
        </w:tc>
        <w:tc>
          <w:tcPr>
            <w:tcW w:w="1481"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5B5711CE"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A1.3. Përmirësimi i aftësisë së programit të ndihmës ekonomike  dhe përfitimeve financiare për t'iu përgjigjur në kohë vulnerabiliteteve të situatave të </w:t>
            </w:r>
            <w:r>
              <w:rPr>
                <w:rFonts w:ascii="Times New Roman" w:eastAsia="Times New Roman" w:hAnsi="Times New Roman" w:cs="Times New Roman"/>
                <w:color w:val="000000" w:themeColor="text1"/>
                <w:lang w:val="it-IT"/>
              </w:rPr>
              <w:lastRenderedPageBreak/>
              <w:t>krizave dhe emergjencave.</w:t>
            </w:r>
          </w:p>
        </w:tc>
        <w:tc>
          <w:tcPr>
            <w:tcW w:w="1568"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3652FD94"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lastRenderedPageBreak/>
              <w:t xml:space="preserve">Numri i personelit të programit të mbrojtjes sociale  të trajnuar për qasjen e përgjigjes së skemave/sistemeve të NE dhe AK ndaj krizave (në nivel lokal, </w:t>
            </w:r>
            <w:r>
              <w:rPr>
                <w:rFonts w:ascii="Times New Roman" w:eastAsia="Times New Roman" w:hAnsi="Times New Roman" w:cs="Times New Roman"/>
                <w:color w:val="000000" w:themeColor="text1"/>
                <w:lang w:val="it-IT"/>
              </w:rPr>
              <w:lastRenderedPageBreak/>
              <w:t>rajonal dhe qëndror, sipas gjinisë dhe bashkive/ rajoneve</w:t>
            </w:r>
          </w:p>
          <w:p w14:paraId="28D6E644"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574C8DD4"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Numri i bashkive që kanë hartuar udhëzime për integrimn e përgjigjes ndaj situatave të krizave dhe emergjencave </w:t>
            </w:r>
          </w:p>
          <w:p w14:paraId="2EE9D0AA" w14:textId="77777777" w:rsidR="005F2AC9" w:rsidRDefault="005F2AC9">
            <w:pPr>
              <w:spacing w:before="0" w:after="0" w:line="240" w:lineRule="auto"/>
              <w:rPr>
                <w:rFonts w:ascii="Times New Roman" w:eastAsia="Times New Roman" w:hAnsi="Times New Roman" w:cs="Times New Roman"/>
                <w:color w:val="000000" w:themeColor="text1"/>
                <w:lang w:val="it-IT"/>
              </w:rPr>
            </w:pPr>
          </w:p>
        </w:tc>
        <w:tc>
          <w:tcPr>
            <w:tcW w:w="925"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5AF6CAA5"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lastRenderedPageBreak/>
              <w:t>N/A</w:t>
            </w:r>
          </w:p>
          <w:p w14:paraId="48C90152"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62447769"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77A5E210"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31DE87BC"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4109FDF4"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37605E7F"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0715F459"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704BB55F"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237A02D0"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1ACA9E70"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6A2CDCFE"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5626DFDA"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2C669765"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76CAD86D"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5EDDCC86"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7DFC257D"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4D37336E"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59BCE916"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N/A</w:t>
            </w:r>
          </w:p>
        </w:tc>
        <w:tc>
          <w:tcPr>
            <w:tcW w:w="946"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3F46E0EF"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lastRenderedPageBreak/>
              <w:t>N/A</w:t>
            </w:r>
          </w:p>
          <w:p w14:paraId="1D3018E7"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593814DB"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57850593"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2533C773"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4E774198"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501C549C"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69E6D031"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56CDDABD"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324D76ED"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60D83C03"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628317BA"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5A323633"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5356377D"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2D9BA501"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4715F519"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3068A2D7"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393BD504"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4767DC29"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N/A</w:t>
            </w:r>
          </w:p>
          <w:p w14:paraId="7675E556" w14:textId="77777777" w:rsidR="005F2AC9" w:rsidRDefault="005F2AC9">
            <w:pPr>
              <w:spacing w:before="0" w:after="0" w:line="240" w:lineRule="auto"/>
              <w:rPr>
                <w:rFonts w:ascii="Times New Roman" w:eastAsia="Times New Roman" w:hAnsi="Times New Roman" w:cs="Times New Roman"/>
                <w:color w:val="000000" w:themeColor="text1"/>
                <w:lang w:val="it-IT"/>
              </w:rPr>
            </w:pPr>
          </w:p>
        </w:tc>
        <w:tc>
          <w:tcPr>
            <w:tcW w:w="927"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23EC0948"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lastRenderedPageBreak/>
              <w:t>400 punonjës</w:t>
            </w:r>
          </w:p>
          <w:p w14:paraId="312CDE82"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2160E26B"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1CDAD766"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12862432"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3F275839"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6370562D"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67A6E386"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08736A18"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4EB9C919"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4864AEA1"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598C3B91"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73D604C9"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74828E6C"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4F9ECBBB"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19FAA093"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6D2751B5" w14:textId="210A785E"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61 bashki</w:t>
            </w:r>
          </w:p>
          <w:p w14:paraId="18768A56" w14:textId="77777777" w:rsidR="005F2AC9" w:rsidRDefault="005F2AC9">
            <w:pPr>
              <w:spacing w:before="0" w:after="0" w:line="240" w:lineRule="auto"/>
              <w:rPr>
                <w:rFonts w:ascii="Times New Roman" w:eastAsia="Times New Roman" w:hAnsi="Times New Roman" w:cs="Times New Roman"/>
                <w:color w:val="000000" w:themeColor="text1"/>
                <w:lang w:val="it-IT"/>
              </w:rPr>
            </w:pPr>
          </w:p>
        </w:tc>
        <w:tc>
          <w:tcPr>
            <w:tcW w:w="1218"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16A5C934"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lastRenderedPageBreak/>
              <w:t>SHSSH/ të dhëna administrative</w:t>
            </w:r>
          </w:p>
          <w:p w14:paraId="7124A010"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251D6D4A"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74F683E0"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302E19F8"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SHSSH/ të dhëna administrative</w:t>
            </w:r>
          </w:p>
        </w:tc>
        <w:tc>
          <w:tcPr>
            <w:tcW w:w="1100"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73A700A7" w14:textId="77777777" w:rsidR="005F2AC9" w:rsidRDefault="005F2AC9">
            <w:pPr>
              <w:spacing w:before="0" w:after="0" w:line="240" w:lineRule="auto"/>
              <w:rPr>
                <w:rFonts w:ascii="Times New Roman" w:eastAsia="Times New Roman" w:hAnsi="Times New Roman" w:cs="Times New Roman"/>
                <w:color w:val="000000" w:themeColor="text1"/>
              </w:rPr>
            </w:pPr>
          </w:p>
        </w:tc>
      </w:tr>
    </w:tbl>
    <w:p w14:paraId="35A28F1A" w14:textId="77777777" w:rsidR="005F2AC9" w:rsidRDefault="00B56839">
      <w:pPr>
        <w:contextualSpacing/>
        <w:rPr>
          <w:rFonts w:ascii="Times New Roman" w:hAnsi="Times New Roman" w:cs="Times New Roman"/>
          <w:color w:val="000000" w:themeColor="text1"/>
          <w:kern w:val="2"/>
          <w:sz w:val="24"/>
          <w:szCs w:val="24"/>
        </w:rPr>
      </w:pPr>
      <w:r>
        <w:rPr>
          <w:rFonts w:ascii="Times New Roman" w:hAnsi="Times New Roman"/>
          <w:color w:val="000000" w:themeColor="text1"/>
          <w:sz w:val="24"/>
          <w:szCs w:val="24"/>
          <w:lang w:val="sq-AL"/>
        </w:rPr>
        <w:lastRenderedPageBreak/>
        <w:t xml:space="preserve"> </w:t>
      </w:r>
    </w:p>
    <w:p w14:paraId="3858AE50" w14:textId="77777777" w:rsidR="005F2AC9" w:rsidRDefault="00B56839">
      <w:pPr>
        <w:spacing w:after="0"/>
        <w:jc w:val="both"/>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color w:val="000000" w:themeColor="text1"/>
          <w:sz w:val="24"/>
          <w:szCs w:val="24"/>
          <w:lang w:val="sq-AL"/>
        </w:rPr>
        <w:t xml:space="preserve">Gjatë vitit 2025, zbatimi i Objektivit Strategjik A1 u fokusua në konsolidimin e mëtejshëm të skemës së Ndihmës Ekonomike (NE), </w:t>
      </w:r>
      <w:r>
        <w:rPr>
          <w:rFonts w:ascii="Times New Roman" w:hAnsi="Times New Roman" w:cs="Times New Roman"/>
          <w:color w:val="000000" w:themeColor="text1"/>
          <w:sz w:val="24"/>
          <w:szCs w:val="24"/>
        </w:rPr>
        <w:t>me synimin kryesor riintegrimin social ekonomik të anëtarëve në moshë active pune, përfitues të kësaj skeme.</w:t>
      </w:r>
    </w:p>
    <w:p w14:paraId="3D24130C" w14:textId="77777777" w:rsidR="005F2AC9" w:rsidRDefault="00B56839">
      <w:pPr>
        <w:spacing w:before="240" w:after="2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Në vijim të masave të ndërmarra në vitin 2024 për përmirësimin e targetimit, transparencës dhe mekanizmave të verifikimit social-ekonomik, gjatë vitit 2025 u thellua qasja e transformimit të skemës nga një instrument mbështetjeje pasive në një mekanizëm aktiv integrimi. Ky transformim u mbështet në:</w:t>
      </w:r>
    </w:p>
    <w:p w14:paraId="2BFB80FD" w14:textId="77777777" w:rsidR="005F2AC9" w:rsidRDefault="00B56839">
      <w:pPr>
        <w:pStyle w:val="ListParagraph"/>
        <w:numPr>
          <w:ilvl w:val="0"/>
          <w:numId w:val="4"/>
        </w:numPr>
        <w:spacing w:before="240" w:after="240"/>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përforcimin</w:t>
      </w:r>
      <w:proofErr w:type="gramEnd"/>
      <w:r>
        <w:rPr>
          <w:rFonts w:ascii="Times New Roman" w:eastAsia="Times New Roman" w:hAnsi="Times New Roman" w:cs="Times New Roman"/>
          <w:color w:val="000000" w:themeColor="text1"/>
          <w:sz w:val="24"/>
          <w:szCs w:val="24"/>
        </w:rPr>
        <w:t xml:space="preserve"> e detyrimit për regjistrim dhe referim pranë zyrave të punës për anëtarët në moshë aktive pune;</w:t>
      </w:r>
    </w:p>
    <w:p w14:paraId="6A902447" w14:textId="77777777" w:rsidR="005F2AC9" w:rsidRDefault="00B56839">
      <w:pPr>
        <w:pStyle w:val="ListParagraph"/>
        <w:numPr>
          <w:ilvl w:val="0"/>
          <w:numId w:val="4"/>
        </w:numPr>
        <w:spacing w:before="240" w:after="240"/>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bashkërendimin</w:t>
      </w:r>
      <w:proofErr w:type="gramEnd"/>
      <w:r>
        <w:rPr>
          <w:rFonts w:ascii="Times New Roman" w:eastAsia="Times New Roman" w:hAnsi="Times New Roman" w:cs="Times New Roman"/>
          <w:color w:val="000000" w:themeColor="text1"/>
          <w:sz w:val="24"/>
          <w:szCs w:val="24"/>
        </w:rPr>
        <w:t xml:space="preserve"> ndërinstitucional mes Shërbimit Social Shtetëror, AKPA-së dhe njësive të vetëqeverisjes vendore;</w:t>
      </w:r>
    </w:p>
    <w:p w14:paraId="36CCA4BD" w14:textId="77777777" w:rsidR="005F2AC9" w:rsidRDefault="00B56839">
      <w:pPr>
        <w:pStyle w:val="ListParagraph"/>
        <w:numPr>
          <w:ilvl w:val="0"/>
          <w:numId w:val="4"/>
        </w:numPr>
        <w:spacing w:before="240" w:after="2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përmirësimin e verifikimit në terren dhe kontrollit administrativ për të garantuar drejtësi dhe eficiencë në përfitim.</w:t>
      </w:r>
    </w:p>
    <w:p w14:paraId="63D8C48B" w14:textId="77777777" w:rsidR="005F2AC9" w:rsidRDefault="00B56839">
      <w:pPr>
        <w:spacing w:after="0"/>
        <w:jc w:val="both"/>
        <w:rPr>
          <w:rFonts w:ascii="Times New Roman" w:hAnsi="Times New Roman"/>
          <w:color w:val="000000" w:themeColor="text1"/>
          <w:sz w:val="24"/>
          <w:szCs w:val="24"/>
          <w:lang w:val="sq-AL"/>
        </w:rPr>
      </w:pPr>
      <w:r>
        <w:rPr>
          <w:rFonts w:ascii="Times New Roman" w:hAnsi="Times New Roman"/>
          <w:color w:val="000000" w:themeColor="text1"/>
          <w:sz w:val="24"/>
          <w:szCs w:val="24"/>
          <w:lang w:val="sq-AL"/>
        </w:rPr>
        <w:t xml:space="preserve">Gjatë këtij viti, numri mesatar i familjeve përfituese është rreth 50,600 familje. Numri mesatar i aplikuesve gjatë vitit ishte rreth 52,800.  Mesatarisht 96% e aplikuesve janë përfitues në skemë. </w:t>
      </w:r>
    </w:p>
    <w:p w14:paraId="0DF8F931" w14:textId="77777777" w:rsidR="005F2AC9" w:rsidRDefault="00B56839">
      <w:pPr>
        <w:spacing w:after="0"/>
        <w:jc w:val="both"/>
        <w:rPr>
          <w:rFonts w:ascii="Times New Roman" w:hAnsi="Times New Roman"/>
          <w:color w:val="000000" w:themeColor="text1"/>
          <w:sz w:val="24"/>
          <w:szCs w:val="24"/>
          <w:lang w:val="sq-AL"/>
        </w:rPr>
      </w:pPr>
      <w:r>
        <w:rPr>
          <w:rFonts w:ascii="Times New Roman" w:hAnsi="Times New Roman"/>
          <w:color w:val="000000" w:themeColor="text1"/>
          <w:sz w:val="24"/>
          <w:szCs w:val="24"/>
          <w:lang w:val="sq-AL"/>
        </w:rPr>
        <w:t>Numri mesatar i përfituesve nga fondi 6% që i akordohet bashkive është afërsisht 4,000 familje.</w:t>
      </w:r>
    </w:p>
    <w:p w14:paraId="237C8779" w14:textId="77777777" w:rsidR="005F2AC9" w:rsidRDefault="005F2AC9">
      <w:pPr>
        <w:spacing w:after="0"/>
        <w:jc w:val="both"/>
        <w:rPr>
          <w:color w:val="000000" w:themeColor="text1"/>
        </w:rPr>
      </w:pPr>
    </w:p>
    <w:p w14:paraId="7B65E90C" w14:textId="77777777" w:rsidR="005F2AC9" w:rsidRDefault="00B56839">
      <w:pPr>
        <w:spacing w:after="0"/>
        <w:jc w:val="both"/>
        <w:rPr>
          <w:color w:val="000000" w:themeColor="text1"/>
        </w:rPr>
      </w:pPr>
      <w:r>
        <w:rPr>
          <w:noProof/>
        </w:rPr>
        <w:lastRenderedPageBreak/>
        <w:drawing>
          <wp:inline distT="0" distB="0" distL="0" distR="0" wp14:anchorId="2FC12174" wp14:editId="1F2D2520">
            <wp:extent cx="5886450" cy="1809750"/>
            <wp:effectExtent l="0" t="0" r="0" b="0"/>
            <wp:docPr id="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awing"/>
                    <pic:cNvPicPr>
                      <a:picLocks noChangeAspect="1" noChangeArrowheads="1"/>
                    </pic:cNvPicPr>
                  </pic:nvPicPr>
                  <pic:blipFill>
                    <a:blip r:embed="rId21"/>
                    <a:stretch>
                      <a:fillRect/>
                    </a:stretch>
                  </pic:blipFill>
                  <pic:spPr bwMode="auto">
                    <a:xfrm>
                      <a:off x="0" y="0"/>
                      <a:ext cx="5886450" cy="1809750"/>
                    </a:xfrm>
                    <a:prstGeom prst="rect">
                      <a:avLst/>
                    </a:prstGeom>
                    <a:noFill/>
                  </pic:spPr>
                </pic:pic>
              </a:graphicData>
            </a:graphic>
          </wp:inline>
        </w:drawing>
      </w:r>
    </w:p>
    <w:p w14:paraId="0FAA6520" w14:textId="77777777" w:rsidR="005F2AC9" w:rsidRDefault="00B56839">
      <w:pPr>
        <w:spacing w:before="0" w:after="0"/>
        <w:jc w:val="both"/>
        <w:rPr>
          <w:color w:val="000000" w:themeColor="text1"/>
        </w:rPr>
      </w:pPr>
      <w:r>
        <w:rPr>
          <w:rFonts w:ascii="Times New Roman" w:eastAsia="Times New Roman" w:hAnsi="Times New Roman" w:cs="Times New Roman"/>
          <w:i/>
          <w:iCs/>
          <w:color w:val="000000" w:themeColor="text1"/>
          <w:lang w:val="sq-AL"/>
        </w:rPr>
        <w:t xml:space="preserve">Grafik 1: Nr. i familjeve përfituese nga skema e NE Janar – Dhjetor 2025  </w:t>
      </w:r>
    </w:p>
    <w:p w14:paraId="16F64888" w14:textId="77777777" w:rsidR="005F2AC9" w:rsidRDefault="005F2AC9">
      <w:pPr>
        <w:spacing w:after="0"/>
        <w:jc w:val="both"/>
        <w:rPr>
          <w:rFonts w:ascii="Times New Roman" w:hAnsi="Times New Roman"/>
          <w:color w:val="000000" w:themeColor="text1"/>
          <w:sz w:val="24"/>
          <w:szCs w:val="24"/>
          <w:lang w:val="sq-AL"/>
        </w:rPr>
      </w:pPr>
    </w:p>
    <w:p w14:paraId="01493CF6" w14:textId="77777777" w:rsidR="005F2AC9" w:rsidRDefault="00B56839">
      <w:pPr>
        <w:spacing w:after="0"/>
        <w:jc w:val="both"/>
        <w:rPr>
          <w:rFonts w:ascii="Times New Roman" w:hAnsi="Times New Roman"/>
          <w:color w:val="000000" w:themeColor="text1"/>
          <w:sz w:val="24"/>
          <w:szCs w:val="24"/>
          <w:lang w:val="sq-AL"/>
        </w:rPr>
      </w:pPr>
      <w:r>
        <w:rPr>
          <w:rFonts w:ascii="Times New Roman" w:hAnsi="Times New Roman"/>
          <w:color w:val="000000" w:themeColor="text1"/>
          <w:sz w:val="24"/>
          <w:szCs w:val="24"/>
          <w:lang w:val="sq-AL"/>
        </w:rPr>
        <w:t xml:space="preserve">Qarqet që kanë numrin më të madh të përfituesve janë qarku Elbasan me rreth </w:t>
      </w:r>
      <w:r>
        <w:rPr>
          <w:rFonts w:ascii="Times New Roman" w:eastAsia="Times New Roman" w:hAnsi="Times New Roman" w:cs="Times New Roman"/>
          <w:color w:val="000000" w:themeColor="text1"/>
          <w:sz w:val="24"/>
          <w:szCs w:val="24"/>
          <w:lang w:val="de-DE"/>
        </w:rPr>
        <w:t>10,092</w:t>
      </w:r>
      <w:r>
        <w:rPr>
          <w:rFonts w:ascii="Times New Roman" w:hAnsi="Times New Roman"/>
          <w:color w:val="000000" w:themeColor="text1"/>
          <w:sz w:val="24"/>
          <w:szCs w:val="24"/>
          <w:lang w:val="sq-AL"/>
        </w:rPr>
        <w:t xml:space="preserve"> familje, qarku Dibër me </w:t>
      </w:r>
      <w:r>
        <w:rPr>
          <w:rFonts w:ascii="Times New Roman" w:eastAsia="Times New Roman" w:hAnsi="Times New Roman" w:cs="Times New Roman"/>
          <w:color w:val="000000" w:themeColor="text1"/>
          <w:sz w:val="24"/>
          <w:szCs w:val="24"/>
          <w:lang w:val="de-DE"/>
        </w:rPr>
        <w:t>9,113</w:t>
      </w:r>
      <w:r>
        <w:rPr>
          <w:rFonts w:ascii="Times New Roman" w:hAnsi="Times New Roman"/>
          <w:color w:val="000000" w:themeColor="text1"/>
          <w:sz w:val="24"/>
          <w:szCs w:val="24"/>
          <w:lang w:val="sq-AL"/>
        </w:rPr>
        <w:t xml:space="preserve"> familje, qarku Kukës me </w:t>
      </w:r>
      <w:r>
        <w:rPr>
          <w:rFonts w:ascii="Times New Roman" w:eastAsia="Times New Roman" w:hAnsi="Times New Roman" w:cs="Times New Roman"/>
          <w:color w:val="000000" w:themeColor="text1"/>
          <w:sz w:val="24"/>
          <w:szCs w:val="24"/>
          <w:lang w:val="de-DE"/>
        </w:rPr>
        <w:t>7,780</w:t>
      </w:r>
      <w:r>
        <w:rPr>
          <w:rFonts w:ascii="Times New Roman" w:hAnsi="Times New Roman"/>
          <w:color w:val="000000" w:themeColor="text1"/>
          <w:sz w:val="24"/>
          <w:szCs w:val="24"/>
          <w:lang w:val="sq-AL"/>
        </w:rPr>
        <w:t xml:space="preserve"> familje, qarku Korçë me </w:t>
      </w:r>
      <w:r>
        <w:rPr>
          <w:rFonts w:ascii="Times New Roman" w:eastAsia="Times New Roman" w:hAnsi="Times New Roman" w:cs="Times New Roman"/>
          <w:color w:val="000000" w:themeColor="text1"/>
          <w:sz w:val="24"/>
          <w:szCs w:val="24"/>
          <w:lang w:val="de-DE"/>
        </w:rPr>
        <w:t>6,499</w:t>
      </w:r>
      <w:r>
        <w:rPr>
          <w:rFonts w:ascii="Times New Roman" w:hAnsi="Times New Roman"/>
          <w:color w:val="000000" w:themeColor="text1"/>
          <w:sz w:val="24"/>
          <w:szCs w:val="24"/>
          <w:lang w:val="sq-AL"/>
        </w:rPr>
        <w:t xml:space="preserve">, dhe qarku Shkodër me </w:t>
      </w:r>
      <w:r>
        <w:rPr>
          <w:rFonts w:ascii="Times New Roman" w:eastAsia="Times New Roman" w:hAnsi="Times New Roman" w:cs="Times New Roman"/>
          <w:color w:val="000000" w:themeColor="text1"/>
          <w:sz w:val="24"/>
          <w:szCs w:val="24"/>
          <w:lang w:val="de-DE"/>
        </w:rPr>
        <w:t>3,807</w:t>
      </w:r>
      <w:r>
        <w:rPr>
          <w:rFonts w:ascii="Times New Roman" w:hAnsi="Times New Roman"/>
          <w:color w:val="000000" w:themeColor="text1"/>
          <w:sz w:val="24"/>
          <w:szCs w:val="24"/>
          <w:lang w:val="sq-AL"/>
        </w:rPr>
        <w:t xml:space="preserve"> familje. </w:t>
      </w:r>
    </w:p>
    <w:p w14:paraId="71B45BA4" w14:textId="77777777" w:rsidR="005F2AC9" w:rsidRDefault="00B56839">
      <w:pPr>
        <w:spacing w:after="0"/>
        <w:jc w:val="both"/>
        <w:rPr>
          <w:color w:val="000000" w:themeColor="text1"/>
        </w:rPr>
      </w:pPr>
      <w:r>
        <w:rPr>
          <w:noProof/>
        </w:rPr>
        <w:drawing>
          <wp:inline distT="0" distB="0" distL="0" distR="0" wp14:anchorId="21F60921" wp14:editId="76C8FBEB">
            <wp:extent cx="5608955" cy="2206625"/>
            <wp:effectExtent l="0" t="0" r="0" b="0"/>
            <wp:docPr id="8"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pic:cNvPicPr>
                      <a:picLocks noChangeAspect="1" noChangeArrowheads="1"/>
                    </pic:cNvPicPr>
                  </pic:nvPicPr>
                  <pic:blipFill>
                    <a:blip r:embed="rId22"/>
                    <a:stretch>
                      <a:fillRect/>
                    </a:stretch>
                  </pic:blipFill>
                  <pic:spPr bwMode="auto">
                    <a:xfrm>
                      <a:off x="0" y="0"/>
                      <a:ext cx="5608955" cy="2206625"/>
                    </a:xfrm>
                    <a:prstGeom prst="rect">
                      <a:avLst/>
                    </a:prstGeom>
                    <a:noFill/>
                  </pic:spPr>
                </pic:pic>
              </a:graphicData>
            </a:graphic>
          </wp:inline>
        </w:drawing>
      </w:r>
    </w:p>
    <w:p w14:paraId="2F2C9E36" w14:textId="77777777" w:rsidR="005F2AC9" w:rsidRDefault="00B56839">
      <w:pPr>
        <w:spacing w:before="0" w:after="0"/>
        <w:jc w:val="both"/>
        <w:rPr>
          <w:color w:val="000000" w:themeColor="text1"/>
        </w:rPr>
      </w:pPr>
      <w:r>
        <w:rPr>
          <w:rFonts w:ascii="Times New Roman" w:eastAsia="Times New Roman" w:hAnsi="Times New Roman" w:cs="Times New Roman"/>
          <w:i/>
          <w:iCs/>
          <w:color w:val="000000" w:themeColor="text1"/>
          <w:sz w:val="22"/>
          <w:szCs w:val="22"/>
          <w:lang w:val="sq-AL"/>
        </w:rPr>
        <w:t>Grafik 2: Nr. i përfituesve të NE-së sipas qarqeve</w:t>
      </w:r>
    </w:p>
    <w:p w14:paraId="5DBE57C1" w14:textId="77777777" w:rsidR="005F2AC9" w:rsidRDefault="005F2AC9">
      <w:pPr>
        <w:spacing w:after="0"/>
        <w:jc w:val="both"/>
        <w:rPr>
          <w:rFonts w:ascii="Times New Roman" w:hAnsi="Times New Roman"/>
          <w:color w:val="000000" w:themeColor="text1"/>
          <w:sz w:val="24"/>
          <w:szCs w:val="24"/>
          <w:lang w:val="sq-AL"/>
        </w:rPr>
      </w:pPr>
    </w:p>
    <w:p w14:paraId="6A3974A8" w14:textId="77777777" w:rsidR="005F2AC9" w:rsidRDefault="00B56839">
      <w:pPr>
        <w:spacing w:before="0"/>
        <w:jc w:val="both"/>
        <w:rPr>
          <w:color w:val="000000" w:themeColor="text1"/>
        </w:rPr>
      </w:pPr>
      <w:r>
        <w:rPr>
          <w:rFonts w:ascii="Times New Roman" w:eastAsia="Times New Roman" w:hAnsi="Times New Roman" w:cs="Times New Roman"/>
          <w:color w:val="000000" w:themeColor="text1"/>
          <w:sz w:val="24"/>
          <w:szCs w:val="24"/>
          <w:lang w:val="sq-AL"/>
        </w:rPr>
        <w:t>Nga analiza e skemës vërehet një ulje graduale e numrit të familjeve përfituese gjatë periudhës së raportuar. Kjo prirje lidhet me vijimin e proceseve të monitorimit dhe verifikimeve administrative të dosjeve të përfituesve, të cilat kanë synuar harmonizimin e të dhënave dhe përditësimin e listës së përfituesve në përputhje me kriteret ligjore në fuqi.</w:t>
      </w:r>
    </w:p>
    <w:p w14:paraId="7DD899B1" w14:textId="29B87123" w:rsidR="005F2AC9" w:rsidRPr="00962E92" w:rsidRDefault="00B56839">
      <w:pPr>
        <w:spacing w:before="0"/>
        <w:jc w:val="both"/>
        <w:rPr>
          <w:color w:val="000000" w:themeColor="text1"/>
        </w:rPr>
      </w:pPr>
      <w:r>
        <w:rPr>
          <w:rFonts w:ascii="Times New Roman" w:eastAsia="Times New Roman" w:hAnsi="Times New Roman" w:cs="Times New Roman"/>
          <w:color w:val="000000" w:themeColor="text1"/>
          <w:sz w:val="24"/>
          <w:szCs w:val="24"/>
          <w:lang w:val="sq-AL"/>
        </w:rPr>
        <w:t xml:space="preserve">Gjithashtu, është konstatuar një numër familjesh që nuk kanë përmbushur detyrimin e deklarimeve periodike tre-mujore, si dhe raste ku janë verifikuar lëvizje të anëtarëve jashtë vendit, të evidentuara përmes sistemeve zyrtare të kontrollit. Paralelisht, një pjesë e individëve në moshë pune janë përfshirë në programe punësimi apo aktivizimi në tregun e punës, duke reflektuar në uljen e pjesëmarrjes së tyre në skemë. </w:t>
      </w:r>
    </w:p>
    <w:p w14:paraId="798D25B1" w14:textId="77777777" w:rsidR="005F2AC9" w:rsidRPr="00845E90" w:rsidRDefault="00B56839">
      <w:pPr>
        <w:spacing w:before="0"/>
        <w:jc w:val="both"/>
        <w:rPr>
          <w:color w:val="000000" w:themeColor="text1"/>
          <w:sz w:val="24"/>
          <w:szCs w:val="24"/>
        </w:rPr>
      </w:pPr>
      <w:r w:rsidRPr="00845E90">
        <w:rPr>
          <w:rFonts w:ascii="Times New Roman" w:eastAsia="Times New Roman" w:hAnsi="Times New Roman" w:cs="Times New Roman"/>
          <w:color w:val="000000" w:themeColor="text1"/>
          <w:sz w:val="24"/>
          <w:szCs w:val="24"/>
          <w:lang w:val="sq-AL"/>
        </w:rPr>
        <w:t>Nga analiza e strukturës së refuzimeve</w:t>
      </w:r>
      <w:r w:rsidRPr="00845E90">
        <w:rPr>
          <w:rFonts w:ascii="Times New Roman" w:eastAsia="Times New Roman" w:hAnsi="Times New Roman" w:cs="Times New Roman"/>
          <w:b/>
          <w:bCs/>
          <w:color w:val="000000" w:themeColor="text1"/>
          <w:sz w:val="24"/>
          <w:szCs w:val="24"/>
          <w:lang w:val="sq-AL"/>
        </w:rPr>
        <w:t xml:space="preserve"> </w:t>
      </w:r>
      <w:r w:rsidRPr="00845E90">
        <w:rPr>
          <w:rFonts w:ascii="Times New Roman" w:eastAsia="Times New Roman" w:hAnsi="Times New Roman" w:cs="Times New Roman"/>
          <w:color w:val="000000" w:themeColor="text1"/>
          <w:sz w:val="24"/>
          <w:szCs w:val="24"/>
          <w:lang w:val="sq-AL"/>
        </w:rPr>
        <w:t>rezulton se</w:t>
      </w:r>
      <w:r w:rsidRPr="00845E90">
        <w:rPr>
          <w:rFonts w:ascii="Times New Roman" w:eastAsia="Times New Roman" w:hAnsi="Times New Roman" w:cs="Times New Roman"/>
          <w:b/>
          <w:bCs/>
          <w:color w:val="000000" w:themeColor="text1"/>
          <w:sz w:val="24"/>
          <w:szCs w:val="24"/>
          <w:lang w:val="sq-AL"/>
        </w:rPr>
        <w:t>:</w:t>
      </w:r>
    </w:p>
    <w:p w14:paraId="36EBE406" w14:textId="77777777" w:rsidR="005F2AC9" w:rsidRDefault="00B56839">
      <w:pPr>
        <w:pStyle w:val="ListParagraph"/>
        <w:numPr>
          <w:ilvl w:val="0"/>
          <w:numId w:val="2"/>
        </w:numPr>
        <w:spacing w:before="0" w:after="0"/>
        <w:jc w:val="both"/>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color w:val="000000" w:themeColor="text1"/>
          <w:sz w:val="24"/>
          <w:szCs w:val="24"/>
          <w:lang w:val="sq-AL"/>
        </w:rPr>
        <w:lastRenderedPageBreak/>
        <w:t>Rreth 48% e refuzimeve lidhen me kriteret e pikëzimit, duke treguar se pjesa më e madhe e rasteve refuzohen për shkak të mospërmbushjes së kushteve të përcaktuara në skemë.</w:t>
      </w:r>
    </w:p>
    <w:p w14:paraId="1297833D" w14:textId="77777777" w:rsidR="005F2AC9" w:rsidRDefault="00B56839">
      <w:pPr>
        <w:pStyle w:val="ListParagraph"/>
        <w:numPr>
          <w:ilvl w:val="0"/>
          <w:numId w:val="2"/>
        </w:numPr>
        <w:spacing w:before="0" w:after="0"/>
        <w:jc w:val="both"/>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color w:val="000000" w:themeColor="text1"/>
          <w:sz w:val="24"/>
          <w:szCs w:val="24"/>
          <w:lang w:val="sq-AL"/>
        </w:rPr>
        <w:t>Rreth 37% e refuzimeve kanë si shkak mos përputhjen proceduriale dhe dokumentare, çka sinjalizon problematika në plotësimin e dokumentacionit mbështetës, deklarimeve apo respektimin e kërkesave administrative.</w:t>
      </w:r>
    </w:p>
    <w:p w14:paraId="59927275" w14:textId="77777777" w:rsidR="005F2AC9" w:rsidRDefault="00B56839">
      <w:pPr>
        <w:pStyle w:val="ListParagraph"/>
        <w:numPr>
          <w:ilvl w:val="0"/>
          <w:numId w:val="2"/>
        </w:numPr>
        <w:spacing w:before="0" w:after="0"/>
        <w:jc w:val="both"/>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color w:val="000000" w:themeColor="text1"/>
          <w:sz w:val="24"/>
          <w:szCs w:val="24"/>
          <w:lang w:val="sq-AL"/>
        </w:rPr>
        <w:t>Rreth 15% e refuzimeve vijnë si pasojë e mosparaqitjes së aplikuesve, një fenomen që vërehet kryesisht në periudha me ndikim sezonal.</w:t>
      </w:r>
    </w:p>
    <w:p w14:paraId="623DCE4A" w14:textId="77777777" w:rsidR="005F2AC9" w:rsidRDefault="005F2AC9">
      <w:pPr>
        <w:spacing w:after="0"/>
        <w:jc w:val="both"/>
        <w:rPr>
          <w:rFonts w:ascii="Times New Roman" w:hAnsi="Times New Roman"/>
          <w:color w:val="000000" w:themeColor="text1"/>
          <w:sz w:val="24"/>
          <w:szCs w:val="24"/>
          <w:lang w:val="sq-AL"/>
        </w:rPr>
      </w:pPr>
    </w:p>
    <w:p w14:paraId="781FDA46" w14:textId="77777777" w:rsidR="005F2AC9" w:rsidRDefault="00B56839">
      <w:pPr>
        <w:spacing w:before="0" w:after="0"/>
        <w:jc w:val="both"/>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color w:val="000000" w:themeColor="text1"/>
          <w:sz w:val="24"/>
          <w:szCs w:val="24"/>
          <w:lang w:val="sq-AL"/>
        </w:rPr>
        <w:t>Numri i përfituesve nga kategoritë e veçanta në muajin Dhjetor 2025:</w:t>
      </w:r>
    </w:p>
    <w:p w14:paraId="7905B71F" w14:textId="77777777" w:rsidR="005F2AC9" w:rsidRDefault="005F2AC9">
      <w:pPr>
        <w:spacing w:before="0" w:after="0"/>
        <w:jc w:val="both"/>
        <w:rPr>
          <w:rFonts w:ascii="Times New Roman" w:eastAsia="Times New Roman" w:hAnsi="Times New Roman" w:cs="Times New Roman"/>
          <w:color w:val="000000" w:themeColor="text1"/>
          <w:sz w:val="24"/>
          <w:szCs w:val="24"/>
          <w:lang w:val="sq-AL"/>
        </w:rPr>
      </w:pPr>
    </w:p>
    <w:p w14:paraId="6B4F1EAA" w14:textId="77777777" w:rsidR="005F2AC9" w:rsidRDefault="00B56839">
      <w:pPr>
        <w:pStyle w:val="ListParagraph"/>
        <w:numPr>
          <w:ilvl w:val="0"/>
          <w:numId w:val="15"/>
        </w:numPr>
        <w:spacing w:before="0" w:after="0"/>
        <w:jc w:val="both"/>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color w:val="000000" w:themeColor="text1"/>
          <w:sz w:val="24"/>
          <w:szCs w:val="24"/>
          <w:lang w:val="sq-AL"/>
        </w:rPr>
        <w:t xml:space="preserve">1,257 jetimë që nuk janë në institucionet e përkujdesit shoqëror  </w:t>
      </w:r>
    </w:p>
    <w:p w14:paraId="55584A15" w14:textId="77777777" w:rsidR="005F2AC9" w:rsidRDefault="00B56839">
      <w:pPr>
        <w:pStyle w:val="ListParagraph"/>
        <w:numPr>
          <w:ilvl w:val="0"/>
          <w:numId w:val="15"/>
        </w:numPr>
        <w:spacing w:before="0" w:after="0"/>
        <w:jc w:val="both"/>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color w:val="000000" w:themeColor="text1"/>
          <w:sz w:val="24"/>
          <w:szCs w:val="24"/>
          <w:lang w:val="sq-AL"/>
        </w:rPr>
        <w:t xml:space="preserve">1,143 viktima të dhunës  </w:t>
      </w:r>
    </w:p>
    <w:p w14:paraId="371ED7E1" w14:textId="77777777" w:rsidR="005F2AC9" w:rsidRDefault="00B56839">
      <w:pPr>
        <w:pStyle w:val="ListParagraph"/>
        <w:numPr>
          <w:ilvl w:val="0"/>
          <w:numId w:val="15"/>
        </w:numPr>
        <w:spacing w:before="0" w:after="0"/>
        <w:jc w:val="both"/>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color w:val="000000" w:themeColor="text1"/>
          <w:sz w:val="24"/>
          <w:szCs w:val="24"/>
          <w:lang w:val="sq-AL"/>
        </w:rPr>
        <w:t xml:space="preserve">17 viktima të trafikimit  </w:t>
      </w:r>
    </w:p>
    <w:p w14:paraId="354C9AD2" w14:textId="77777777" w:rsidR="005F2AC9" w:rsidRDefault="00B56839">
      <w:pPr>
        <w:pStyle w:val="ListParagraph"/>
        <w:numPr>
          <w:ilvl w:val="0"/>
          <w:numId w:val="15"/>
        </w:numPr>
        <w:spacing w:before="0" w:after="0"/>
        <w:jc w:val="both"/>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color w:val="000000" w:themeColor="text1"/>
          <w:sz w:val="24"/>
          <w:szCs w:val="24"/>
          <w:lang w:val="sq-AL"/>
        </w:rPr>
        <w:t>54 familje me fëmijë trenjakë dhe katërnjakë</w:t>
      </w:r>
    </w:p>
    <w:p w14:paraId="56DC3A16" w14:textId="77777777" w:rsidR="005F2AC9" w:rsidRDefault="005F2AC9">
      <w:pPr>
        <w:pStyle w:val="ListParagraph"/>
        <w:spacing w:before="0" w:after="0"/>
        <w:jc w:val="both"/>
        <w:rPr>
          <w:rFonts w:ascii="Times New Roman" w:eastAsia="Times New Roman" w:hAnsi="Times New Roman" w:cs="Times New Roman"/>
          <w:color w:val="000000" w:themeColor="text1"/>
          <w:sz w:val="24"/>
          <w:szCs w:val="24"/>
          <w:lang w:val="sq-AL"/>
        </w:rPr>
      </w:pPr>
    </w:p>
    <w:p w14:paraId="59AD48FD" w14:textId="77777777" w:rsidR="005F2AC9" w:rsidRDefault="00B56839">
      <w:pPr>
        <w:spacing w:before="0" w:after="0"/>
        <w:jc w:val="both"/>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color w:val="000000" w:themeColor="text1"/>
          <w:sz w:val="24"/>
          <w:szCs w:val="24"/>
          <w:lang w:val="sq-AL"/>
        </w:rPr>
        <w:t xml:space="preserve">Numri i përfituesve Rom/Egjiptianë janë </w:t>
      </w:r>
      <w:r>
        <w:rPr>
          <w:rFonts w:ascii="Times New Roman" w:eastAsia="Times New Roman" w:hAnsi="Times New Roman" w:cs="Times New Roman"/>
          <w:b/>
          <w:bCs/>
          <w:color w:val="000000" w:themeColor="text1"/>
          <w:sz w:val="24"/>
          <w:szCs w:val="24"/>
          <w:lang w:val="sq-AL"/>
        </w:rPr>
        <w:t>2,334 familje</w:t>
      </w:r>
      <w:r>
        <w:rPr>
          <w:rFonts w:ascii="Times New Roman" w:eastAsia="Times New Roman" w:hAnsi="Times New Roman" w:cs="Times New Roman"/>
          <w:color w:val="000000" w:themeColor="text1"/>
          <w:sz w:val="24"/>
          <w:szCs w:val="24"/>
          <w:lang w:val="sq-AL"/>
        </w:rPr>
        <w:t>, nga ku 721 janë familje rome dhe 1,613 janë familje egjiptiane.</w:t>
      </w:r>
    </w:p>
    <w:p w14:paraId="67D5FA6F" w14:textId="77777777" w:rsidR="005F2AC9" w:rsidRDefault="00B56839">
      <w:pPr>
        <w:spacing w:before="0"/>
        <w:jc w:val="both"/>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color w:val="000000" w:themeColor="text1"/>
          <w:sz w:val="24"/>
          <w:szCs w:val="24"/>
          <w:lang w:val="sq-AL"/>
        </w:rPr>
        <w:t xml:space="preserve">Numri total i individëve përfitues të skemës është </w:t>
      </w:r>
      <w:r>
        <w:rPr>
          <w:rFonts w:ascii="Times New Roman" w:eastAsia="Times New Roman" w:hAnsi="Times New Roman" w:cs="Times New Roman"/>
          <w:b/>
          <w:bCs/>
          <w:color w:val="000000" w:themeColor="text1"/>
          <w:sz w:val="24"/>
          <w:szCs w:val="24"/>
          <w:lang w:val="sq-AL"/>
        </w:rPr>
        <w:t>181,871 individë</w:t>
      </w:r>
      <w:r>
        <w:rPr>
          <w:rFonts w:ascii="Times New Roman" w:eastAsia="Times New Roman" w:hAnsi="Times New Roman" w:cs="Times New Roman"/>
          <w:color w:val="000000" w:themeColor="text1"/>
          <w:sz w:val="24"/>
          <w:szCs w:val="24"/>
          <w:lang w:val="sq-AL"/>
        </w:rPr>
        <w:t xml:space="preserve">, nga ku </w:t>
      </w:r>
      <w:r>
        <w:rPr>
          <w:rFonts w:ascii="Times New Roman" w:eastAsia="Times New Roman" w:hAnsi="Times New Roman" w:cs="Times New Roman"/>
          <w:b/>
          <w:bCs/>
          <w:color w:val="000000" w:themeColor="text1"/>
          <w:sz w:val="24"/>
          <w:szCs w:val="24"/>
          <w:lang w:val="sq-AL"/>
        </w:rPr>
        <w:t>49% janë femra</w:t>
      </w:r>
      <w:r>
        <w:rPr>
          <w:rFonts w:ascii="Times New Roman" w:eastAsia="Times New Roman" w:hAnsi="Times New Roman" w:cs="Times New Roman"/>
          <w:color w:val="000000" w:themeColor="text1"/>
          <w:sz w:val="24"/>
          <w:szCs w:val="24"/>
          <w:lang w:val="sq-AL"/>
        </w:rPr>
        <w:t xml:space="preserve"> dhe </w:t>
      </w:r>
      <w:r>
        <w:rPr>
          <w:rFonts w:ascii="Times New Roman" w:eastAsia="Times New Roman" w:hAnsi="Times New Roman" w:cs="Times New Roman"/>
          <w:b/>
          <w:bCs/>
          <w:color w:val="000000" w:themeColor="text1"/>
          <w:sz w:val="24"/>
          <w:szCs w:val="24"/>
          <w:lang w:val="sq-AL"/>
        </w:rPr>
        <w:t>51.% janë meshkuj</w:t>
      </w:r>
      <w:r>
        <w:rPr>
          <w:rFonts w:ascii="Times New Roman" w:eastAsia="Times New Roman" w:hAnsi="Times New Roman" w:cs="Times New Roman"/>
          <w:color w:val="000000" w:themeColor="text1"/>
          <w:sz w:val="24"/>
          <w:szCs w:val="24"/>
          <w:lang w:val="sq-AL"/>
        </w:rPr>
        <w:t>.</w:t>
      </w:r>
    </w:p>
    <w:p w14:paraId="16F55D14" w14:textId="77777777" w:rsidR="005F2AC9" w:rsidRDefault="00B56839">
      <w:pPr>
        <w:spacing w:before="0"/>
        <w:jc w:val="both"/>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color w:val="000000" w:themeColor="text1"/>
          <w:sz w:val="24"/>
          <w:szCs w:val="24"/>
          <w:lang w:val="sq-AL"/>
        </w:rPr>
        <w:t xml:space="preserve">Numri i </w:t>
      </w:r>
      <w:r>
        <w:rPr>
          <w:rFonts w:ascii="Times New Roman" w:eastAsia="Times New Roman" w:hAnsi="Times New Roman" w:cs="Times New Roman"/>
          <w:b/>
          <w:bCs/>
          <w:color w:val="000000" w:themeColor="text1"/>
          <w:sz w:val="24"/>
          <w:szCs w:val="24"/>
          <w:lang w:val="sq-AL"/>
        </w:rPr>
        <w:t xml:space="preserve">fëmijëve në skemë </w:t>
      </w:r>
      <w:r>
        <w:rPr>
          <w:rFonts w:ascii="Times New Roman" w:eastAsia="Times New Roman" w:hAnsi="Times New Roman" w:cs="Times New Roman"/>
          <w:color w:val="000000" w:themeColor="text1"/>
          <w:sz w:val="24"/>
          <w:szCs w:val="24"/>
          <w:lang w:val="sq-AL"/>
        </w:rPr>
        <w:t>të ndarë sipas grupmoshës</w:t>
      </w:r>
      <w:r>
        <w:rPr>
          <w:rFonts w:ascii="Times New Roman" w:eastAsia="Times New Roman" w:hAnsi="Times New Roman" w:cs="Times New Roman"/>
          <w:b/>
          <w:bCs/>
          <w:color w:val="000000" w:themeColor="text1"/>
          <w:sz w:val="24"/>
          <w:szCs w:val="24"/>
          <w:lang w:val="sq-AL"/>
        </w:rPr>
        <w:t xml:space="preserve"> 0-18 vjeç</w:t>
      </w:r>
      <w:r>
        <w:rPr>
          <w:rFonts w:ascii="Times New Roman" w:eastAsia="Times New Roman" w:hAnsi="Times New Roman" w:cs="Times New Roman"/>
          <w:color w:val="000000" w:themeColor="text1"/>
          <w:sz w:val="24"/>
          <w:szCs w:val="24"/>
          <w:lang w:val="sq-AL"/>
        </w:rPr>
        <w:t xml:space="preserve"> është </w:t>
      </w:r>
      <w:r>
        <w:rPr>
          <w:rFonts w:ascii="Times New Roman" w:eastAsia="Times New Roman" w:hAnsi="Times New Roman" w:cs="Times New Roman"/>
          <w:b/>
          <w:bCs/>
          <w:color w:val="000000" w:themeColor="text1"/>
          <w:sz w:val="24"/>
          <w:szCs w:val="24"/>
          <w:lang w:val="sq-AL"/>
        </w:rPr>
        <w:t>61,932 fëmijë</w:t>
      </w:r>
      <w:r>
        <w:rPr>
          <w:rFonts w:ascii="Times New Roman" w:eastAsia="Times New Roman" w:hAnsi="Times New Roman" w:cs="Times New Roman"/>
          <w:color w:val="000000" w:themeColor="text1"/>
          <w:sz w:val="24"/>
          <w:szCs w:val="24"/>
          <w:lang w:val="sq-AL"/>
        </w:rPr>
        <w:t xml:space="preserve"> dhe  grupmoshës </w:t>
      </w:r>
      <w:r>
        <w:rPr>
          <w:rFonts w:ascii="Times New Roman" w:eastAsia="Times New Roman" w:hAnsi="Times New Roman" w:cs="Times New Roman"/>
          <w:b/>
          <w:bCs/>
          <w:color w:val="000000" w:themeColor="text1"/>
          <w:sz w:val="24"/>
          <w:szCs w:val="24"/>
          <w:lang w:val="sq-AL"/>
        </w:rPr>
        <w:t>6-14 vjeç</w:t>
      </w:r>
      <w:r>
        <w:rPr>
          <w:rFonts w:ascii="Times New Roman" w:eastAsia="Times New Roman" w:hAnsi="Times New Roman" w:cs="Times New Roman"/>
          <w:color w:val="000000" w:themeColor="text1"/>
          <w:sz w:val="24"/>
          <w:szCs w:val="24"/>
          <w:lang w:val="sq-AL"/>
        </w:rPr>
        <w:t xml:space="preserve"> është </w:t>
      </w:r>
      <w:r>
        <w:rPr>
          <w:rFonts w:ascii="Times New Roman" w:eastAsia="Times New Roman" w:hAnsi="Times New Roman" w:cs="Times New Roman"/>
          <w:b/>
          <w:bCs/>
          <w:color w:val="000000" w:themeColor="text1"/>
          <w:sz w:val="24"/>
          <w:szCs w:val="24"/>
          <w:lang w:val="sq-AL"/>
        </w:rPr>
        <w:t>34,455 fëmijë</w:t>
      </w:r>
      <w:r>
        <w:rPr>
          <w:rFonts w:ascii="Times New Roman" w:eastAsia="Times New Roman" w:hAnsi="Times New Roman" w:cs="Times New Roman"/>
          <w:color w:val="000000" w:themeColor="text1"/>
          <w:sz w:val="24"/>
          <w:szCs w:val="24"/>
          <w:lang w:val="sq-AL"/>
        </w:rPr>
        <w:t xml:space="preserve">. </w:t>
      </w:r>
    </w:p>
    <w:p w14:paraId="5E007931" w14:textId="77777777" w:rsidR="005F2AC9" w:rsidRDefault="00B56839">
      <w:pPr>
        <w:spacing w:before="0"/>
        <w:jc w:val="both"/>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color w:val="000000" w:themeColor="text1"/>
          <w:sz w:val="24"/>
          <w:szCs w:val="24"/>
          <w:lang w:val="sq-AL"/>
        </w:rPr>
        <w:t xml:space="preserve">Numri i </w:t>
      </w:r>
      <w:r>
        <w:rPr>
          <w:rFonts w:ascii="Times New Roman" w:eastAsia="Times New Roman" w:hAnsi="Times New Roman" w:cs="Times New Roman"/>
          <w:b/>
          <w:bCs/>
          <w:color w:val="000000" w:themeColor="text1"/>
          <w:sz w:val="24"/>
          <w:szCs w:val="24"/>
          <w:lang w:val="sq-AL"/>
        </w:rPr>
        <w:t>personave me aftësi të kufizuar</w:t>
      </w:r>
      <w:r>
        <w:rPr>
          <w:rFonts w:ascii="Times New Roman" w:eastAsia="Times New Roman" w:hAnsi="Times New Roman" w:cs="Times New Roman"/>
          <w:color w:val="000000" w:themeColor="text1"/>
          <w:sz w:val="24"/>
          <w:szCs w:val="24"/>
          <w:lang w:val="sq-AL"/>
        </w:rPr>
        <w:t xml:space="preserve"> (PAK) është </w:t>
      </w:r>
      <w:r>
        <w:rPr>
          <w:rFonts w:ascii="Times New Roman" w:eastAsia="Times New Roman" w:hAnsi="Times New Roman" w:cs="Times New Roman"/>
          <w:b/>
          <w:bCs/>
          <w:color w:val="000000" w:themeColor="text1"/>
          <w:sz w:val="24"/>
          <w:szCs w:val="24"/>
          <w:lang w:val="sq-AL"/>
        </w:rPr>
        <w:t xml:space="preserve">10,664 individë </w:t>
      </w:r>
      <w:r>
        <w:rPr>
          <w:rFonts w:ascii="Times New Roman" w:eastAsia="Times New Roman" w:hAnsi="Times New Roman" w:cs="Times New Roman"/>
          <w:color w:val="000000" w:themeColor="text1"/>
          <w:sz w:val="24"/>
          <w:szCs w:val="24"/>
          <w:lang w:val="sq-AL"/>
        </w:rPr>
        <w:t>(10,509 nga familjet ne nevojë dhe 155 nga kategoritë e veçanta).</w:t>
      </w:r>
    </w:p>
    <w:p w14:paraId="53363E17" w14:textId="77777777" w:rsidR="005F2AC9" w:rsidRDefault="00B56839">
      <w:pPr>
        <w:spacing w:before="0"/>
        <w:jc w:val="both"/>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color w:val="000000" w:themeColor="text1"/>
          <w:sz w:val="24"/>
          <w:szCs w:val="24"/>
          <w:lang w:val="sq-AL"/>
        </w:rPr>
        <w:t xml:space="preserve">Numri i </w:t>
      </w:r>
      <w:r>
        <w:rPr>
          <w:rFonts w:ascii="Times New Roman" w:eastAsia="Times New Roman" w:hAnsi="Times New Roman" w:cs="Times New Roman"/>
          <w:b/>
          <w:bCs/>
          <w:color w:val="000000" w:themeColor="text1"/>
          <w:sz w:val="24"/>
          <w:szCs w:val="24"/>
          <w:lang w:val="sq-AL"/>
        </w:rPr>
        <w:t>individëve në moshë pensioni</w:t>
      </w:r>
      <w:r>
        <w:rPr>
          <w:rFonts w:ascii="Times New Roman" w:eastAsia="Times New Roman" w:hAnsi="Times New Roman" w:cs="Times New Roman"/>
          <w:color w:val="000000" w:themeColor="text1"/>
          <w:sz w:val="24"/>
          <w:szCs w:val="24"/>
          <w:lang w:val="sq-AL"/>
        </w:rPr>
        <w:t xml:space="preserve"> (i llogaritur për femrat mbi 60 dhe meshkujt mbi 65 vjeç) është </w:t>
      </w:r>
      <w:r>
        <w:rPr>
          <w:rFonts w:ascii="Times New Roman" w:eastAsia="Times New Roman" w:hAnsi="Times New Roman" w:cs="Times New Roman"/>
          <w:b/>
          <w:bCs/>
          <w:color w:val="000000" w:themeColor="text1"/>
          <w:sz w:val="24"/>
          <w:szCs w:val="24"/>
          <w:lang w:val="sq-AL"/>
        </w:rPr>
        <w:t>8,497 individë</w:t>
      </w:r>
      <w:r>
        <w:rPr>
          <w:rFonts w:ascii="Times New Roman" w:eastAsia="Times New Roman" w:hAnsi="Times New Roman" w:cs="Times New Roman"/>
          <w:color w:val="000000" w:themeColor="text1"/>
          <w:sz w:val="24"/>
          <w:szCs w:val="24"/>
          <w:lang w:val="sq-AL"/>
        </w:rPr>
        <w:t>.</w:t>
      </w:r>
    </w:p>
    <w:p w14:paraId="62F8EAC5" w14:textId="77777777" w:rsidR="005F2AC9" w:rsidRDefault="00B56839">
      <w:pPr>
        <w:spacing w:before="0" w:after="0"/>
        <w:jc w:val="both"/>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b/>
          <w:bCs/>
          <w:color w:val="000000" w:themeColor="text1"/>
          <w:sz w:val="24"/>
          <w:szCs w:val="24"/>
          <w:lang w:val="sq-AL"/>
        </w:rPr>
        <w:t>Gratë kryefamiljare</w:t>
      </w:r>
      <w:r>
        <w:rPr>
          <w:rFonts w:ascii="Times New Roman" w:eastAsia="Times New Roman" w:hAnsi="Times New Roman" w:cs="Times New Roman"/>
          <w:color w:val="000000" w:themeColor="text1"/>
          <w:sz w:val="24"/>
          <w:szCs w:val="24"/>
          <w:lang w:val="sq-AL"/>
        </w:rPr>
        <w:t xml:space="preserve"> përfituese në skemën e NE-së, përbëjnë rreth 12% të numrit të përgjithshëm të familjeve përfituese. Aktualisht numri i grave kryefamiljare përfituese është </w:t>
      </w:r>
      <w:r>
        <w:rPr>
          <w:rFonts w:ascii="Times New Roman" w:eastAsia="Times New Roman" w:hAnsi="Times New Roman" w:cs="Times New Roman"/>
          <w:b/>
          <w:bCs/>
          <w:color w:val="000000" w:themeColor="text1"/>
          <w:sz w:val="24"/>
          <w:szCs w:val="24"/>
          <w:lang w:val="sq-AL"/>
        </w:rPr>
        <w:t>6,174</w:t>
      </w:r>
      <w:r>
        <w:rPr>
          <w:rFonts w:ascii="Times New Roman" w:eastAsia="Times New Roman" w:hAnsi="Times New Roman" w:cs="Times New Roman"/>
          <w:color w:val="000000" w:themeColor="text1"/>
          <w:sz w:val="24"/>
          <w:szCs w:val="24"/>
          <w:lang w:val="sq-AL"/>
        </w:rPr>
        <w:t>, nga ku 3,700 janë me fëmijë 0-18 vjeç.</w:t>
      </w:r>
    </w:p>
    <w:p w14:paraId="02536F6C" w14:textId="77777777" w:rsidR="005F2AC9" w:rsidRDefault="005F2AC9">
      <w:pPr>
        <w:widowControl w:val="0"/>
        <w:spacing w:before="39" w:after="0" w:line="240" w:lineRule="auto"/>
        <w:ind w:right="113"/>
        <w:jc w:val="both"/>
        <w:rPr>
          <w:rFonts w:ascii="Times New Roman" w:eastAsia="Calibri" w:hAnsi="Times New Roman" w:cs="Times New Roman"/>
          <w:color w:val="000000" w:themeColor="text1"/>
          <w:sz w:val="24"/>
          <w:szCs w:val="24"/>
          <w:lang w:val="sq-AL"/>
        </w:rPr>
      </w:pPr>
    </w:p>
    <w:p w14:paraId="55E62C45" w14:textId="77777777" w:rsidR="005F2AC9" w:rsidRDefault="00B56839">
      <w:pPr>
        <w:widowControl w:val="0"/>
        <w:spacing w:before="0" w:after="0" w:line="240" w:lineRule="auto"/>
        <w:jc w:val="both"/>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color w:val="000000" w:themeColor="text1"/>
          <w:sz w:val="24"/>
          <w:szCs w:val="24"/>
          <w:lang w:val="sq-AL"/>
        </w:rPr>
        <w:t xml:space="preserve">Përsa i përket madhësisë së familjeve përfituese të NE-së, skema dominohet nga familje me katër e më shumë anëtarë.  Rret 67% e familjeve përfituese të skemës së NE janë të përbëra nga familje me 4 ose më shume anëtarë (4 anëtarë, 5 anëtarë, 6 anëtarë dhe më shumë së 6 anëtarë). </w:t>
      </w:r>
    </w:p>
    <w:p w14:paraId="7A3D2915" w14:textId="77777777" w:rsidR="005F2AC9" w:rsidRDefault="00B56839">
      <w:pPr>
        <w:widowControl w:val="0"/>
        <w:spacing w:after="0" w:line="240" w:lineRule="auto"/>
        <w:jc w:val="both"/>
        <w:rPr>
          <w:rFonts w:ascii="Times New Roman" w:eastAsia="Times New Roman" w:hAnsi="Times New Roman" w:cs="Times New Roman"/>
          <w:color w:val="000000" w:themeColor="text1"/>
          <w:sz w:val="24"/>
          <w:szCs w:val="24"/>
          <w:lang w:val="sq-AL" w:eastAsia="sq-AL"/>
        </w:rPr>
      </w:pPr>
      <w:r>
        <w:rPr>
          <w:rFonts w:ascii="Times New Roman" w:eastAsia="Calibri" w:hAnsi="Times New Roman" w:cs="Times New Roman"/>
          <w:color w:val="000000" w:themeColor="text1"/>
          <w:sz w:val="24"/>
          <w:szCs w:val="24"/>
        </w:rPr>
        <w:t xml:space="preserve">Familjet me fëmijë përbëjnë 58% të familjeve përfituese. Përkatësisht janë </w:t>
      </w:r>
      <w:r>
        <w:rPr>
          <w:rFonts w:ascii="Times New Roman" w:eastAsia="Times New Roman" w:hAnsi="Times New Roman" w:cs="Times New Roman"/>
          <w:color w:val="000000" w:themeColor="text1"/>
          <w:sz w:val="22"/>
          <w:szCs w:val="22"/>
        </w:rPr>
        <w:t>27,610</w:t>
      </w:r>
      <w:r>
        <w:rPr>
          <w:rFonts w:ascii="Times New Roman" w:eastAsia="Calibri" w:hAnsi="Times New Roman" w:cs="Times New Roman"/>
          <w:color w:val="000000" w:themeColor="text1"/>
          <w:sz w:val="24"/>
          <w:szCs w:val="24"/>
        </w:rPr>
        <w:t xml:space="preserve"> familje me fëmijë.  N</w:t>
      </w:r>
      <w:r>
        <w:rPr>
          <w:rFonts w:ascii="Times New Roman" w:eastAsia="Times New Roman" w:hAnsi="Times New Roman" w:cs="Times New Roman"/>
          <w:color w:val="000000" w:themeColor="text1"/>
          <w:sz w:val="24"/>
          <w:szCs w:val="24"/>
          <w:lang w:val="sq-AL" w:eastAsia="sq-AL"/>
        </w:rPr>
        <w:t xml:space="preserve">umri i familjeve me tre e më shumë fëmijë që marrin pagesa të dyfishuara është 9,170 familje, ku 71% të tyre e përbëjnë familjet me tre fëmijë, 22% familjet me katër fëmije dhe 7% familjet me më shumë se katër fëmijë. </w:t>
      </w:r>
    </w:p>
    <w:p w14:paraId="175E0F8E" w14:textId="77777777" w:rsidR="005F2AC9" w:rsidRDefault="005F2AC9">
      <w:pPr>
        <w:widowControl w:val="0"/>
        <w:spacing w:after="0" w:line="240" w:lineRule="auto"/>
        <w:jc w:val="both"/>
        <w:rPr>
          <w:rFonts w:ascii="Times New Roman" w:hAnsi="Times New Roman"/>
          <w:color w:val="000000" w:themeColor="text1"/>
          <w:sz w:val="24"/>
          <w:szCs w:val="24"/>
          <w:lang w:val="sq-AL"/>
        </w:rPr>
      </w:pPr>
    </w:p>
    <w:p w14:paraId="0950985C" w14:textId="77777777" w:rsidR="00845E90" w:rsidRDefault="00845E90">
      <w:pPr>
        <w:widowControl w:val="0"/>
        <w:spacing w:before="39" w:after="0" w:line="240" w:lineRule="auto"/>
        <w:ind w:right="113"/>
        <w:jc w:val="both"/>
        <w:rPr>
          <w:rFonts w:ascii="Times New Roman" w:eastAsia="Calibri" w:hAnsi="Times New Roman" w:cs="Times New Roman"/>
          <w:b/>
          <w:bCs/>
          <w:color w:val="000000" w:themeColor="text1"/>
          <w:sz w:val="24"/>
          <w:szCs w:val="24"/>
          <w:lang w:val="sq-AL"/>
        </w:rPr>
      </w:pPr>
    </w:p>
    <w:p w14:paraId="0E87770E" w14:textId="4E3CB09F" w:rsidR="005F2AC9" w:rsidRDefault="00B56839">
      <w:pPr>
        <w:widowControl w:val="0"/>
        <w:spacing w:before="39" w:after="0" w:line="240" w:lineRule="auto"/>
        <w:ind w:right="113"/>
        <w:jc w:val="both"/>
        <w:rPr>
          <w:rFonts w:ascii="Times New Roman" w:eastAsia="Calibri" w:hAnsi="Times New Roman" w:cs="Times New Roman"/>
          <w:b/>
          <w:bCs/>
          <w:color w:val="000000" w:themeColor="text1"/>
          <w:sz w:val="24"/>
          <w:szCs w:val="24"/>
          <w:lang w:val="sq-AL"/>
        </w:rPr>
      </w:pPr>
      <w:r>
        <w:rPr>
          <w:rFonts w:ascii="Times New Roman" w:eastAsia="Calibri" w:hAnsi="Times New Roman" w:cs="Times New Roman"/>
          <w:b/>
          <w:bCs/>
          <w:color w:val="000000" w:themeColor="text1"/>
          <w:sz w:val="24"/>
          <w:szCs w:val="24"/>
          <w:lang w:val="sq-AL"/>
        </w:rPr>
        <w:t xml:space="preserve">Punësimi i anëtarëve në moshë aktive pune </w:t>
      </w:r>
    </w:p>
    <w:p w14:paraId="7DEF1DF6" w14:textId="77777777" w:rsidR="005F2AC9" w:rsidRDefault="005F2AC9">
      <w:pPr>
        <w:widowControl w:val="0"/>
        <w:spacing w:before="0" w:line="240" w:lineRule="auto"/>
        <w:jc w:val="both"/>
        <w:rPr>
          <w:rFonts w:ascii="Times New Roman" w:eastAsia="Times New Roman" w:hAnsi="Times New Roman" w:cs="Times New Roman"/>
          <w:color w:val="000000" w:themeColor="text1"/>
          <w:sz w:val="24"/>
          <w:szCs w:val="24"/>
          <w:lang w:val="sq-AL"/>
        </w:rPr>
      </w:pPr>
    </w:p>
    <w:p w14:paraId="595D6A51" w14:textId="77777777" w:rsidR="005F2AC9" w:rsidRDefault="00B56839">
      <w:pPr>
        <w:widowControl w:val="0"/>
        <w:spacing w:before="0" w:line="240" w:lineRule="auto"/>
        <w:jc w:val="both"/>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color w:val="000000" w:themeColor="text1"/>
          <w:sz w:val="24"/>
          <w:szCs w:val="24"/>
          <w:lang w:val="sq-AL"/>
        </w:rPr>
        <w:t xml:space="preserve">Pjesa e </w:t>
      </w:r>
      <w:r>
        <w:rPr>
          <w:rFonts w:ascii="Times New Roman" w:eastAsia="Times New Roman" w:hAnsi="Times New Roman" w:cs="Times New Roman"/>
          <w:b/>
          <w:bCs/>
          <w:i/>
          <w:iCs/>
          <w:color w:val="000000" w:themeColor="text1"/>
          <w:sz w:val="24"/>
          <w:szCs w:val="24"/>
          <w:lang w:val="sq-AL"/>
        </w:rPr>
        <w:t>individëve që janë në moshë aktive pune</w:t>
      </w:r>
      <w:r>
        <w:rPr>
          <w:rFonts w:ascii="Times New Roman" w:eastAsia="Times New Roman" w:hAnsi="Times New Roman" w:cs="Times New Roman"/>
          <w:color w:val="000000" w:themeColor="text1"/>
          <w:sz w:val="24"/>
          <w:szCs w:val="24"/>
          <w:lang w:val="sq-AL"/>
        </w:rPr>
        <w:t xml:space="preserve"> përbëjnë rreth 60% të totalit të individëve përfitues, nga ku pjesën më të madhe në këtë përqindje e kanë grupmoshat 31-50 vjeç (përkatësisht 46%).</w:t>
      </w:r>
    </w:p>
    <w:p w14:paraId="6FC47A51" w14:textId="77777777" w:rsidR="005F2AC9" w:rsidRDefault="00B56839">
      <w:pPr>
        <w:widowControl w:val="0"/>
        <w:spacing w:before="39" w:line="240" w:lineRule="auto"/>
        <w:ind w:right="113"/>
        <w:jc w:val="both"/>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color w:val="000000" w:themeColor="text1"/>
          <w:sz w:val="24"/>
          <w:szCs w:val="24"/>
          <w:lang w:val="sq-AL"/>
        </w:rPr>
        <w:t xml:space="preserve">Numri i përgjithshëm i individëve në moshë aktive pune për periudhën është rreth </w:t>
      </w:r>
      <w:r>
        <w:rPr>
          <w:rFonts w:ascii="Times New Roman" w:eastAsia="Times New Roman" w:hAnsi="Times New Roman" w:cs="Times New Roman"/>
          <w:b/>
          <w:bCs/>
          <w:color w:val="000000" w:themeColor="text1"/>
          <w:sz w:val="24"/>
          <w:szCs w:val="24"/>
          <w:lang w:val="sq-AL"/>
        </w:rPr>
        <w:t>109,623 individë</w:t>
      </w:r>
      <w:r>
        <w:rPr>
          <w:rFonts w:ascii="Times New Roman" w:eastAsia="Times New Roman" w:hAnsi="Times New Roman" w:cs="Times New Roman"/>
          <w:color w:val="000000" w:themeColor="text1"/>
          <w:sz w:val="24"/>
          <w:szCs w:val="24"/>
          <w:lang w:val="sq-AL"/>
        </w:rPr>
        <w:t xml:space="preserve">, (përkufizuar kjo sipas ligjislacionit për femrat nga 18-60 vjeç dhe meshkuj nga 18-65 vjeç). </w:t>
      </w:r>
    </w:p>
    <w:p w14:paraId="5F956DE9" w14:textId="77777777" w:rsidR="005F2AC9" w:rsidRDefault="00B56839">
      <w:pPr>
        <w:widowControl w:val="0"/>
        <w:spacing w:before="39" w:after="0" w:line="240" w:lineRule="auto"/>
        <w:ind w:right="113"/>
        <w:jc w:val="both"/>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color w:val="000000" w:themeColor="text1"/>
          <w:sz w:val="24"/>
          <w:szCs w:val="24"/>
          <w:lang w:val="sq-AL"/>
        </w:rPr>
        <w:t>Të ndarë sipas grupmoshës janë:</w:t>
      </w:r>
    </w:p>
    <w:p w14:paraId="02A6607C" w14:textId="77777777" w:rsidR="005F2AC9" w:rsidRDefault="00B56839">
      <w:pPr>
        <w:spacing w:before="39" w:after="0"/>
        <w:ind w:right="113"/>
        <w:jc w:val="both"/>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color w:val="000000" w:themeColor="text1"/>
          <w:sz w:val="24"/>
          <w:szCs w:val="24"/>
          <w:lang w:val="sq-AL"/>
        </w:rPr>
        <w:t xml:space="preserve"> </w:t>
      </w:r>
    </w:p>
    <w:p w14:paraId="43D02A8C" w14:textId="77777777" w:rsidR="005F2AC9" w:rsidRDefault="00B56839">
      <w:pPr>
        <w:pStyle w:val="ListParagraph"/>
        <w:numPr>
          <w:ilvl w:val="0"/>
          <w:numId w:val="3"/>
        </w:numPr>
        <w:spacing w:before="0" w:after="0"/>
        <w:ind w:right="113"/>
        <w:jc w:val="both"/>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color w:val="000000" w:themeColor="text1"/>
          <w:sz w:val="24"/>
          <w:szCs w:val="24"/>
          <w:lang w:val="sq-AL"/>
        </w:rPr>
        <w:t>18-30 vjeç janë 30,188 individë</w:t>
      </w:r>
    </w:p>
    <w:p w14:paraId="23FD0ADD" w14:textId="77777777" w:rsidR="005F2AC9" w:rsidRDefault="00B56839">
      <w:pPr>
        <w:pStyle w:val="ListParagraph"/>
        <w:numPr>
          <w:ilvl w:val="0"/>
          <w:numId w:val="3"/>
        </w:numPr>
        <w:spacing w:before="0" w:after="0"/>
        <w:ind w:right="113"/>
        <w:jc w:val="both"/>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color w:val="000000" w:themeColor="text1"/>
          <w:sz w:val="24"/>
          <w:szCs w:val="24"/>
          <w:lang w:val="sq-AL"/>
        </w:rPr>
        <w:t>31-50 vjeç janë  50,738 individë</w:t>
      </w:r>
    </w:p>
    <w:p w14:paraId="3D968E23" w14:textId="77777777" w:rsidR="005F2AC9" w:rsidRDefault="00B56839">
      <w:pPr>
        <w:pStyle w:val="ListParagraph"/>
        <w:numPr>
          <w:ilvl w:val="0"/>
          <w:numId w:val="3"/>
        </w:numPr>
        <w:spacing w:before="0" w:after="0"/>
        <w:ind w:right="113"/>
        <w:jc w:val="both"/>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color w:val="000000" w:themeColor="text1"/>
          <w:sz w:val="24"/>
          <w:szCs w:val="24"/>
          <w:lang w:val="sq-AL"/>
        </w:rPr>
        <w:t>Mbi 50 vjeç janë 28,697 individë</w:t>
      </w:r>
    </w:p>
    <w:p w14:paraId="53D7A3FD" w14:textId="77777777" w:rsidR="005F2AC9" w:rsidRDefault="005F2AC9">
      <w:pPr>
        <w:spacing w:before="0" w:after="0"/>
        <w:ind w:right="113"/>
        <w:jc w:val="both"/>
        <w:rPr>
          <w:rFonts w:ascii="Times New Roman" w:eastAsia="Times New Roman" w:hAnsi="Times New Roman" w:cs="Times New Roman"/>
          <w:color w:val="000000" w:themeColor="text1"/>
          <w:sz w:val="24"/>
          <w:szCs w:val="24"/>
          <w:lang w:val="sq-AL"/>
        </w:rPr>
      </w:pPr>
    </w:p>
    <w:p w14:paraId="12BB017F" w14:textId="77777777" w:rsidR="005F2AC9" w:rsidRDefault="00B56839">
      <w:pPr>
        <w:spacing w:before="0" w:after="0"/>
        <w:ind w:right="113"/>
        <w:jc w:val="both"/>
        <w:rPr>
          <w:color w:val="000000" w:themeColor="text1"/>
        </w:rPr>
      </w:pPr>
      <w:r>
        <w:rPr>
          <w:noProof/>
        </w:rPr>
        <w:drawing>
          <wp:inline distT="0" distB="0" distL="0" distR="0" wp14:anchorId="17756AC6" wp14:editId="0E8DDFE9">
            <wp:extent cx="5267325" cy="1713230"/>
            <wp:effectExtent l="0" t="0" r="0" b="0"/>
            <wp:docPr id="9"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
                    <pic:cNvPicPr>
                      <a:picLocks noChangeAspect="1" noChangeArrowheads="1"/>
                    </pic:cNvPicPr>
                  </pic:nvPicPr>
                  <pic:blipFill>
                    <a:blip r:embed="rId23"/>
                    <a:stretch>
                      <a:fillRect/>
                    </a:stretch>
                  </pic:blipFill>
                  <pic:spPr bwMode="auto">
                    <a:xfrm>
                      <a:off x="0" y="0"/>
                      <a:ext cx="5267325" cy="1713230"/>
                    </a:xfrm>
                    <a:prstGeom prst="rect">
                      <a:avLst/>
                    </a:prstGeom>
                    <a:noFill/>
                  </pic:spPr>
                </pic:pic>
              </a:graphicData>
            </a:graphic>
          </wp:inline>
        </w:drawing>
      </w:r>
    </w:p>
    <w:p w14:paraId="2B351DC9" w14:textId="77777777" w:rsidR="005F2AC9" w:rsidRDefault="00B56839">
      <w:pPr>
        <w:spacing w:before="39" w:after="0"/>
        <w:ind w:right="113"/>
        <w:jc w:val="both"/>
        <w:rPr>
          <w:color w:val="000000" w:themeColor="text1"/>
        </w:rPr>
      </w:pPr>
      <w:r>
        <w:rPr>
          <w:rFonts w:ascii="Times New Roman" w:eastAsia="Times New Roman" w:hAnsi="Times New Roman" w:cs="Times New Roman"/>
          <w:i/>
          <w:iCs/>
          <w:color w:val="000000" w:themeColor="text1"/>
          <w:sz w:val="22"/>
          <w:szCs w:val="22"/>
          <w:lang w:val="sq-AL"/>
        </w:rPr>
        <w:t>Grafik 3: Përqindja e individëve në moshë aktive pune sipas grupmoshës</w:t>
      </w:r>
    </w:p>
    <w:p w14:paraId="2FC467C9" w14:textId="77777777" w:rsidR="005F2AC9" w:rsidRDefault="005F2AC9">
      <w:pPr>
        <w:shd w:val="clear" w:color="auto" w:fill="FFFFFF" w:themeFill="background1"/>
        <w:jc w:val="both"/>
        <w:rPr>
          <w:rFonts w:ascii="Times New Roman" w:eastAsia="Calibri" w:hAnsi="Times New Roman" w:cs="Times New Roman"/>
          <w:color w:val="000000" w:themeColor="text1"/>
          <w:sz w:val="24"/>
          <w:szCs w:val="24"/>
          <w:lang w:val="sq-AL"/>
        </w:rPr>
      </w:pPr>
    </w:p>
    <w:p w14:paraId="1CCE539A" w14:textId="77777777" w:rsidR="005F2AC9" w:rsidRDefault="00B56839">
      <w:pPr>
        <w:shd w:val="clear" w:color="auto" w:fill="FFFFFF" w:themeFill="background1"/>
        <w:spacing w:line="240" w:lineRule="auto"/>
        <w:jc w:val="both"/>
        <w:rPr>
          <w:rFonts w:ascii="Times New Roman" w:eastAsia="Calibri" w:hAnsi="Times New Roman" w:cs="Times New Roman"/>
          <w:color w:val="000000" w:themeColor="text1"/>
          <w:sz w:val="24"/>
          <w:szCs w:val="24"/>
          <w:lang w:val="sq-AL"/>
        </w:rPr>
      </w:pPr>
      <w:r>
        <w:rPr>
          <w:rFonts w:ascii="Times New Roman" w:eastAsia="Calibri" w:hAnsi="Times New Roman" w:cs="Times New Roman"/>
          <w:color w:val="000000" w:themeColor="text1"/>
          <w:sz w:val="24"/>
          <w:szCs w:val="24"/>
          <w:lang w:val="sq-AL"/>
        </w:rPr>
        <w:t>Me qëllim transformimin e programit të NE në një skemë integrimi nëpërmjet krijimit të mundësive për punësim, në kuadër të zbatimit të VKM-së Nr.882, datë 24.12.2019 “Për mekanizmin e bashkërendimit ndërinstitucional të punës për referimin për punësim të individëve dhe anëtarëve në moshë aktive pune, të familjeve përfituese të ndihmës ekonomike”,  dhe në vijim të urdhrave të përbashkët 2022, 2023, 2024 “Për miratimin e mekanizmit të referimit për punësimin dhe integrimin social të individëve në moshë aktive pune”, g</w:t>
      </w:r>
      <w:r>
        <w:rPr>
          <w:rFonts w:ascii="Times New Roman" w:eastAsia="Times New Roman" w:hAnsi="Times New Roman" w:cs="Times New Roman"/>
          <w:color w:val="000000" w:themeColor="text1"/>
          <w:sz w:val="24"/>
          <w:szCs w:val="24"/>
          <w:lang w:val="sq-AL" w:eastAsia="sq-AL"/>
        </w:rPr>
        <w:t xml:space="preserve">jatë vitit 2025 </w:t>
      </w:r>
      <w:r>
        <w:rPr>
          <w:rFonts w:ascii="Times New Roman" w:eastAsia="Calibri" w:hAnsi="Times New Roman" w:cs="Times New Roman"/>
          <w:color w:val="000000" w:themeColor="text1"/>
          <w:sz w:val="24"/>
          <w:szCs w:val="24"/>
          <w:lang w:val="sq-AL"/>
        </w:rPr>
        <w:t xml:space="preserve">janë punësuar 2,501 individë të familjeve përfituese të skemës së ndihmës ekonomike dhe adresuar për formim professional 1,156 anëtarë. </w:t>
      </w:r>
    </w:p>
    <w:p w14:paraId="3269FCA9" w14:textId="77777777" w:rsidR="005F2AC9" w:rsidRDefault="005F2AC9">
      <w:pPr>
        <w:shd w:val="clear" w:color="auto" w:fill="FFFFFF" w:themeFill="background1"/>
        <w:spacing w:after="0" w:line="240" w:lineRule="auto"/>
        <w:ind w:left="6480"/>
        <w:jc w:val="both"/>
        <w:rPr>
          <w:color w:val="000000" w:themeColor="text1"/>
        </w:rPr>
      </w:pPr>
    </w:p>
    <w:p w14:paraId="270E9E56" w14:textId="77777777" w:rsidR="005F2AC9" w:rsidRDefault="00B56839">
      <w:pPr>
        <w:spacing w:after="0"/>
        <w:jc w:val="both"/>
        <w:rPr>
          <w:rFonts w:ascii="Times New Roman" w:hAnsi="Times New Roman"/>
          <w:color w:val="000000" w:themeColor="text1"/>
          <w:sz w:val="24"/>
          <w:szCs w:val="24"/>
        </w:rPr>
      </w:pPr>
      <w:r>
        <w:rPr>
          <w:rFonts w:ascii="Times New Roman" w:hAnsi="Times New Roman"/>
          <w:b/>
          <w:bCs/>
          <w:color w:val="000000" w:themeColor="text1"/>
          <w:sz w:val="24"/>
          <w:szCs w:val="24"/>
        </w:rPr>
        <w:t>Programi i financimit të ndërmarrjeve sociale</w:t>
      </w:r>
      <w:r>
        <w:rPr>
          <w:rFonts w:ascii="Times New Roman" w:hAnsi="Times New Roman"/>
          <w:color w:val="000000" w:themeColor="text1"/>
          <w:sz w:val="24"/>
          <w:szCs w:val="24"/>
        </w:rPr>
        <w:t> është një program përmes të cilit synohet integrimi nëpërmjet punësimit të grupeve vulnerabël.</w:t>
      </w:r>
    </w:p>
    <w:p w14:paraId="76DD12E5" w14:textId="70F35F69" w:rsidR="005F2AC9" w:rsidRDefault="00B56839">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Format e mbështetjes nëpërmjet subvencionit, janë mbështetja e hapjeve të vendeve të reja të punës, në pagesën e pagës minimale të punonjësve të ndërmarrjeve sociale, si edhe mbështetja </w:t>
      </w:r>
      <w:r>
        <w:rPr>
          <w:rFonts w:ascii="Times New Roman" w:hAnsi="Times New Roman"/>
          <w:color w:val="000000" w:themeColor="text1"/>
          <w:sz w:val="24"/>
          <w:szCs w:val="24"/>
        </w:rPr>
        <w:lastRenderedPageBreak/>
        <w:t>në pagesën e sigurimeve të detyrueshme shoqërore dhe shëndetësore të punonjësve të ndërmarrjeve sociale, që i përkasin grupeve të pafavorizuara për të paktën tre vjet.</w:t>
      </w:r>
    </w:p>
    <w:p w14:paraId="1A2ACA3D" w14:textId="77777777" w:rsidR="005F2AC9" w:rsidRDefault="00B56839">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Ndërmarrjet sociale që mbështeten financiarisht duhet të punësojnë individë nga grupet e pafavorizuara, nga ku 50% e tyre janë pjesë e programit të daljes nga skema e Ndihmës Ekonomike. Nëpërmjet këtij programi mbështetet edhe më shumë riintegrimi social ekonomik i individëve në moshë aktive pune duke e kthyer skemën e ndihmës ekonomike në një skemë aktive.</w:t>
      </w:r>
    </w:p>
    <w:p w14:paraId="769D4120" w14:textId="77777777" w:rsidR="005F2AC9" w:rsidRDefault="00B56839">
      <w:pPr>
        <w:spacing w:after="0"/>
        <w:jc w:val="both"/>
        <w:rPr>
          <w:rFonts w:ascii="Times New Roman" w:hAnsi="Times New Roman"/>
          <w:color w:val="000000" w:themeColor="text1"/>
          <w:sz w:val="24"/>
          <w:szCs w:val="24"/>
        </w:rPr>
      </w:pPr>
      <w:r>
        <w:rPr>
          <w:rFonts w:ascii="Times New Roman" w:hAnsi="Times New Roman"/>
          <w:b/>
          <w:bCs/>
          <w:color w:val="000000" w:themeColor="text1"/>
          <w:sz w:val="24"/>
          <w:szCs w:val="24"/>
        </w:rPr>
        <w:t>Gjithsej janë 13 organizata</w:t>
      </w:r>
      <w:r>
        <w:rPr>
          <w:rFonts w:ascii="Times New Roman" w:hAnsi="Times New Roman"/>
          <w:color w:val="000000" w:themeColor="text1"/>
          <w:sz w:val="24"/>
          <w:szCs w:val="24"/>
        </w:rPr>
        <w:t xml:space="preserve"> që kanë marrë statusin e ndërmarrjes sociale dhe gjatë vitit 2025 kanë përfituar mbështetje financiare tre ndërmarrje sociale. </w:t>
      </w:r>
    </w:p>
    <w:p w14:paraId="09D866F5" w14:textId="77777777" w:rsidR="005F2AC9" w:rsidRDefault="00B56839">
      <w:pPr>
        <w:spacing w:after="0"/>
        <w:jc w:val="both"/>
        <w:rPr>
          <w:rFonts w:ascii="Times New Roman" w:eastAsia="MS PMincho" w:hAnsi="Times New Roman"/>
          <w:color w:val="000000" w:themeColor="text1"/>
          <w:sz w:val="24"/>
          <w:szCs w:val="24"/>
        </w:rPr>
      </w:pPr>
      <w:r>
        <w:rPr>
          <w:rFonts w:ascii="Times New Roman" w:eastAsia="MS PMincho" w:hAnsi="Times New Roman"/>
          <w:color w:val="000000" w:themeColor="text1"/>
          <w:sz w:val="24"/>
          <w:szCs w:val="24"/>
        </w:rPr>
        <w:t>Gjatë vitit 2025, në zbatim të Vendimit nr.174, datë 24.03.2023 të Këshillit të Ministrave “Për përcaktimin e formave të mbështetjes financiare nëpërmjet subvencionit për ndërmarrjet sociale, për periudhën 2023-2025”, gjithsej kanë përfituar mbështetje financiare 3 ndërmarrje sociale:</w:t>
      </w:r>
    </w:p>
    <w:p w14:paraId="4DF28212" w14:textId="77777777" w:rsidR="005F2AC9" w:rsidRDefault="00B56839">
      <w:pPr>
        <w:pStyle w:val="ListParagraph"/>
        <w:numPr>
          <w:ilvl w:val="0"/>
          <w:numId w:val="1"/>
        </w:numPr>
        <w:spacing w:after="0"/>
        <w:jc w:val="both"/>
        <w:rPr>
          <w:rFonts w:ascii="Times New Roman" w:eastAsia="MS PMincho" w:hAnsi="Times New Roman"/>
          <w:color w:val="000000" w:themeColor="text1"/>
          <w:sz w:val="24"/>
          <w:szCs w:val="24"/>
        </w:rPr>
      </w:pPr>
      <w:r>
        <w:rPr>
          <w:rFonts w:ascii="Times New Roman" w:eastAsia="MS PMincho" w:hAnsi="Times New Roman"/>
          <w:color w:val="000000" w:themeColor="text1"/>
          <w:sz w:val="24"/>
          <w:szCs w:val="24"/>
        </w:rPr>
        <w:t>Shoqata Kombëtare për Integrim, Zhvillim dhe Ndihmë për Shtresat në Nevojë.</w:t>
      </w:r>
    </w:p>
    <w:p w14:paraId="6B74C7CD" w14:textId="77777777" w:rsidR="005F2AC9" w:rsidRDefault="00B56839">
      <w:pPr>
        <w:pStyle w:val="ListParagraph"/>
        <w:numPr>
          <w:ilvl w:val="0"/>
          <w:numId w:val="1"/>
        </w:numPr>
        <w:spacing w:after="0"/>
        <w:jc w:val="both"/>
        <w:rPr>
          <w:rFonts w:ascii="Times New Roman" w:eastAsia="MS PMincho" w:hAnsi="Times New Roman"/>
          <w:color w:val="000000" w:themeColor="text1"/>
          <w:sz w:val="24"/>
          <w:szCs w:val="24"/>
        </w:rPr>
      </w:pPr>
      <w:r>
        <w:rPr>
          <w:rFonts w:ascii="Times New Roman" w:eastAsia="MS PMincho" w:hAnsi="Times New Roman"/>
          <w:color w:val="000000" w:themeColor="text1"/>
          <w:sz w:val="24"/>
          <w:szCs w:val="24"/>
        </w:rPr>
        <w:t>Qendra Sociale në Ndihmë të Njerëzve në Nevojë.</w:t>
      </w:r>
    </w:p>
    <w:p w14:paraId="7A21E673" w14:textId="77777777" w:rsidR="005F2AC9" w:rsidRDefault="00B56839">
      <w:pPr>
        <w:pStyle w:val="ListParagraph"/>
        <w:numPr>
          <w:ilvl w:val="0"/>
          <w:numId w:val="1"/>
        </w:numPr>
        <w:spacing w:after="0"/>
        <w:jc w:val="both"/>
        <w:rPr>
          <w:rFonts w:ascii="Times New Roman" w:eastAsia="MS PMincho" w:hAnsi="Times New Roman"/>
          <w:color w:val="000000" w:themeColor="text1"/>
          <w:sz w:val="24"/>
          <w:szCs w:val="24"/>
        </w:rPr>
      </w:pPr>
      <w:r>
        <w:rPr>
          <w:rFonts w:ascii="Times New Roman" w:eastAsia="MS PMincho" w:hAnsi="Times New Roman"/>
          <w:color w:val="000000" w:themeColor="text1"/>
          <w:sz w:val="24"/>
          <w:szCs w:val="24"/>
        </w:rPr>
        <w:t>Mbrojtja e të Drejtave të Gruas Qytetare dhe Fshatare</w:t>
      </w:r>
    </w:p>
    <w:p w14:paraId="0192C809" w14:textId="77777777" w:rsidR="005F2AC9" w:rsidRDefault="00B56839">
      <w:pPr>
        <w:spacing w:after="0"/>
        <w:jc w:val="both"/>
        <w:rPr>
          <w:rFonts w:ascii="Times New Roman" w:eastAsia="MS PMincho" w:hAnsi="Times New Roman"/>
          <w:color w:val="000000" w:themeColor="text1"/>
          <w:sz w:val="24"/>
          <w:szCs w:val="24"/>
        </w:rPr>
      </w:pPr>
      <w:r>
        <w:rPr>
          <w:rFonts w:ascii="Times New Roman" w:eastAsia="MS PMincho" w:hAnsi="Times New Roman"/>
          <w:color w:val="000000" w:themeColor="text1"/>
          <w:sz w:val="24"/>
          <w:szCs w:val="24"/>
        </w:rPr>
        <w:t xml:space="preserve">Vlera totale e fondit të shpenzuar gjatë vitit 2025 për të tre ndërmarrjet sociale është 13,583,848 lekë për rreth 30 punonjës të punësuar nga grupet e pafavorizuara, ku 90% e tyre janë përfitues të skemës së ndihmës ekonomike. </w:t>
      </w:r>
    </w:p>
    <w:p w14:paraId="7710B74A" w14:textId="77777777" w:rsidR="005F2AC9" w:rsidRDefault="005F2AC9">
      <w:pPr>
        <w:spacing w:after="0"/>
        <w:jc w:val="both"/>
        <w:rPr>
          <w:rFonts w:ascii="Times New Roman" w:hAnsi="Times New Roman"/>
          <w:color w:val="000000" w:themeColor="text1"/>
          <w:sz w:val="24"/>
          <w:szCs w:val="24"/>
          <w:lang w:val="sq-AL"/>
        </w:rPr>
      </w:pPr>
    </w:p>
    <w:p w14:paraId="575490A9" w14:textId="77777777" w:rsidR="005F2AC9" w:rsidRDefault="00B56839">
      <w:pPr>
        <w:spacing w:after="0"/>
        <w:jc w:val="both"/>
        <w:rPr>
          <w:rFonts w:ascii="Times New Roman" w:hAnsi="Times New Roman"/>
          <w:b/>
          <w:bCs/>
          <w:i/>
          <w:iCs/>
          <w:color w:val="000000" w:themeColor="text1"/>
          <w:sz w:val="24"/>
          <w:szCs w:val="24"/>
          <w:lang w:val="sq-AL"/>
        </w:rPr>
      </w:pPr>
      <w:r>
        <w:rPr>
          <w:rFonts w:ascii="Times New Roman" w:hAnsi="Times New Roman"/>
          <w:b/>
          <w:bCs/>
          <w:i/>
          <w:iCs/>
          <w:color w:val="000000" w:themeColor="text1"/>
          <w:sz w:val="24"/>
          <w:szCs w:val="24"/>
          <w:u w:val="single"/>
          <w:lang w:val="sq-AL"/>
        </w:rPr>
        <w:t>Objektivi specifik/strategjik A2:</w:t>
      </w:r>
      <w:r>
        <w:rPr>
          <w:rFonts w:ascii="Times New Roman" w:hAnsi="Times New Roman"/>
          <w:b/>
          <w:bCs/>
          <w:i/>
          <w:iCs/>
          <w:color w:val="000000" w:themeColor="text1"/>
          <w:sz w:val="24"/>
          <w:szCs w:val="24"/>
          <w:lang w:val="sq-AL"/>
        </w:rPr>
        <w:t>Konsolidimi i reformave të mbrojtjes sociale në fushën e afësisë së kufizuar për mbështetje dhe pjesëmarrjen në jetën publike dhe private</w:t>
      </w:r>
      <w:bookmarkEnd w:id="21"/>
      <w:r>
        <w:rPr>
          <w:rFonts w:ascii="Times New Roman" w:hAnsi="Times New Roman"/>
          <w:b/>
          <w:bCs/>
          <w:i/>
          <w:iCs/>
          <w:color w:val="000000" w:themeColor="text1"/>
          <w:sz w:val="24"/>
          <w:szCs w:val="24"/>
          <w:lang w:val="sq-AL"/>
        </w:rPr>
        <w:t>.</w:t>
      </w:r>
    </w:p>
    <w:p w14:paraId="623E95A9" w14:textId="77777777" w:rsidR="005F2AC9" w:rsidRDefault="005F2AC9">
      <w:pPr>
        <w:spacing w:after="0"/>
        <w:jc w:val="both"/>
        <w:rPr>
          <w:rFonts w:ascii="Times New Roman" w:hAnsi="Times New Roman"/>
          <w:i/>
          <w:iCs/>
          <w:color w:val="000000" w:themeColor="text1"/>
          <w:sz w:val="24"/>
          <w:szCs w:val="24"/>
          <w:lang w:val="sq-AL"/>
        </w:rPr>
      </w:pPr>
    </w:p>
    <w:p w14:paraId="24C90557" w14:textId="43A03C5A" w:rsidR="005F2AC9" w:rsidRPr="009D7A19" w:rsidRDefault="00B56839">
      <w:pPr>
        <w:spacing w:after="0"/>
        <w:jc w:val="both"/>
        <w:rPr>
          <w:rFonts w:ascii="Times New Roman" w:hAnsi="Times New Roman"/>
          <w:color w:val="000000" w:themeColor="text1"/>
          <w:sz w:val="24"/>
          <w:szCs w:val="24"/>
          <w:lang w:eastAsia="fr-FR"/>
        </w:rPr>
      </w:pPr>
      <w:r>
        <w:rPr>
          <w:rFonts w:ascii="Times New Roman" w:hAnsi="Times New Roman"/>
          <w:color w:val="000000" w:themeColor="text1"/>
          <w:sz w:val="24"/>
          <w:szCs w:val="24"/>
          <w:lang w:eastAsia="fr-FR"/>
        </w:rPr>
        <w:t>Ky objektiv specifik, synon të realizohet nëpërmjet masave prioritare:</w:t>
      </w:r>
    </w:p>
    <w:p w14:paraId="4EDEAFE0" w14:textId="77777777" w:rsidR="005F2AC9" w:rsidRDefault="00B56839">
      <w:pPr>
        <w:spacing w:after="0"/>
        <w:jc w:val="both"/>
        <w:rPr>
          <w:rFonts w:ascii="Times New Roman" w:hAnsi="Times New Roman"/>
          <w:color w:val="000000" w:themeColor="text1"/>
          <w:sz w:val="24"/>
          <w:szCs w:val="24"/>
          <w:lang w:val="sq-AL"/>
        </w:rPr>
      </w:pPr>
      <w:r>
        <w:rPr>
          <w:rFonts w:ascii="Times New Roman" w:hAnsi="Times New Roman"/>
          <w:color w:val="000000" w:themeColor="text1"/>
          <w:sz w:val="24"/>
          <w:szCs w:val="24"/>
          <w:lang w:val="sq-AL"/>
        </w:rPr>
        <w:t>A2.1. Përmirësimi i performancës dhe transparencës së skemës së vlerësimit të aftësisë së kufizuar me qëllim adresimin efektiv dhe të përgjegjshëm gjinor të nevojave individuale të tyre, edhe në situata krizash dhe emergjencash.</w:t>
      </w:r>
    </w:p>
    <w:p w14:paraId="500DF2F9" w14:textId="77777777" w:rsidR="005F2AC9" w:rsidRDefault="00B56839">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A2.2. Forcimi i bashkëpunimit dhe mbështetjes së vijueshme për zbatimin efektiv të Fondit Social të Punësimit për personat me Aftësi të Kufizuara dhe programeve të tjera të punësimit.</w:t>
      </w:r>
    </w:p>
    <w:p w14:paraId="422F290D" w14:textId="77777777" w:rsidR="005F2AC9" w:rsidRDefault="005F2AC9">
      <w:pPr>
        <w:spacing w:after="0"/>
        <w:jc w:val="both"/>
        <w:rPr>
          <w:rFonts w:ascii="Times New Roman" w:hAnsi="Times New Roman"/>
          <w:i/>
          <w:iCs/>
          <w:color w:val="000000" w:themeColor="text1"/>
          <w:sz w:val="24"/>
          <w:szCs w:val="24"/>
          <w:lang w:val="sq-AL"/>
        </w:rPr>
      </w:pPr>
    </w:p>
    <w:p w14:paraId="597F1276" w14:textId="77777777" w:rsidR="00A44C0A" w:rsidRDefault="00A44C0A">
      <w:pPr>
        <w:spacing w:after="0"/>
        <w:jc w:val="both"/>
        <w:rPr>
          <w:rFonts w:ascii="Times New Roman" w:hAnsi="Times New Roman"/>
          <w:i/>
          <w:iCs/>
          <w:color w:val="000000" w:themeColor="text1"/>
          <w:sz w:val="24"/>
          <w:szCs w:val="24"/>
          <w:lang w:val="sq-AL"/>
        </w:rPr>
      </w:pPr>
    </w:p>
    <w:p w14:paraId="7AF42B0E" w14:textId="77777777" w:rsidR="00A44C0A" w:rsidRDefault="00A44C0A">
      <w:pPr>
        <w:spacing w:after="0"/>
        <w:jc w:val="both"/>
        <w:rPr>
          <w:rFonts w:ascii="Times New Roman" w:hAnsi="Times New Roman"/>
          <w:i/>
          <w:iCs/>
          <w:color w:val="000000" w:themeColor="text1"/>
          <w:sz w:val="24"/>
          <w:szCs w:val="24"/>
          <w:lang w:val="sq-AL"/>
        </w:rPr>
      </w:pPr>
    </w:p>
    <w:p w14:paraId="0424B166" w14:textId="77777777" w:rsidR="00A44C0A" w:rsidRDefault="00A44C0A">
      <w:pPr>
        <w:spacing w:after="0"/>
        <w:jc w:val="both"/>
        <w:rPr>
          <w:rFonts w:ascii="Times New Roman" w:hAnsi="Times New Roman"/>
          <w:i/>
          <w:iCs/>
          <w:color w:val="000000" w:themeColor="text1"/>
          <w:sz w:val="24"/>
          <w:szCs w:val="24"/>
          <w:lang w:val="sq-AL"/>
        </w:rPr>
      </w:pPr>
    </w:p>
    <w:p w14:paraId="0EB64C88" w14:textId="77777777" w:rsidR="00A44C0A" w:rsidRDefault="00A44C0A">
      <w:pPr>
        <w:spacing w:after="0"/>
        <w:jc w:val="both"/>
        <w:rPr>
          <w:rFonts w:ascii="Times New Roman" w:hAnsi="Times New Roman"/>
          <w:i/>
          <w:iCs/>
          <w:color w:val="000000" w:themeColor="text1"/>
          <w:sz w:val="24"/>
          <w:szCs w:val="24"/>
          <w:lang w:val="sq-AL"/>
        </w:rPr>
      </w:pPr>
    </w:p>
    <w:p w14:paraId="02D45300" w14:textId="77777777" w:rsidR="009D7A19" w:rsidRDefault="009D7A19">
      <w:pPr>
        <w:spacing w:after="0"/>
        <w:jc w:val="both"/>
        <w:rPr>
          <w:rFonts w:ascii="Times New Roman" w:hAnsi="Times New Roman"/>
          <w:i/>
          <w:iCs/>
          <w:color w:val="000000" w:themeColor="text1"/>
          <w:sz w:val="24"/>
          <w:szCs w:val="24"/>
          <w:lang w:val="sq-AL"/>
        </w:rPr>
      </w:pPr>
    </w:p>
    <w:p w14:paraId="02A2B2E9" w14:textId="77777777" w:rsidR="00A44C0A" w:rsidRDefault="00A44C0A">
      <w:pPr>
        <w:spacing w:after="0"/>
        <w:jc w:val="both"/>
        <w:rPr>
          <w:rFonts w:ascii="Times New Roman" w:hAnsi="Times New Roman"/>
          <w:i/>
          <w:iCs/>
          <w:color w:val="000000" w:themeColor="text1"/>
          <w:sz w:val="24"/>
          <w:szCs w:val="24"/>
          <w:lang w:val="sq-AL"/>
        </w:rPr>
      </w:pPr>
    </w:p>
    <w:p w14:paraId="2646B576" w14:textId="77777777" w:rsidR="005F2AC9" w:rsidRDefault="00B56839">
      <w:pPr>
        <w:spacing w:after="0"/>
        <w:ind w:firstLine="720"/>
        <w:jc w:val="both"/>
        <w:rPr>
          <w:rFonts w:ascii="Times New Roman" w:eastAsia="Times New Roman" w:hAnsi="Times New Roman" w:cs="Times New Roman"/>
          <w:b/>
          <w:bCs/>
          <w:color w:val="000000" w:themeColor="text1"/>
          <w:sz w:val="24"/>
          <w:szCs w:val="24"/>
          <w:lang w:val="pt-BR"/>
        </w:rPr>
      </w:pPr>
      <w:r>
        <w:rPr>
          <w:rFonts w:ascii="Times New Roman" w:eastAsia="Times New Roman" w:hAnsi="Times New Roman" w:cs="Times New Roman"/>
          <w:b/>
          <w:bCs/>
          <w:color w:val="000000" w:themeColor="text1"/>
          <w:sz w:val="24"/>
          <w:szCs w:val="24"/>
          <w:lang w:val="it-IT"/>
        </w:rPr>
        <w:lastRenderedPageBreak/>
        <w:t>Tabela:</w:t>
      </w:r>
      <w:r>
        <w:rPr>
          <w:rFonts w:eastAsia="Garamond" w:cs="Garamond"/>
          <w:b/>
          <w:bCs/>
          <w:color w:val="000000" w:themeColor="text1"/>
          <w:lang w:val="it-IT"/>
        </w:rPr>
        <w:t xml:space="preserve"> </w:t>
      </w:r>
      <w:r>
        <w:rPr>
          <w:rFonts w:ascii="Times New Roman" w:eastAsia="Times New Roman" w:hAnsi="Times New Roman" w:cs="Times New Roman"/>
          <w:b/>
          <w:bCs/>
          <w:color w:val="000000" w:themeColor="text1"/>
          <w:sz w:val="24"/>
          <w:szCs w:val="24"/>
          <w:lang w:val="pt-BR"/>
        </w:rPr>
        <w:t>Indikatorët e Pasaportës për Objektivin specifik A.2.</w:t>
      </w:r>
    </w:p>
    <w:p w14:paraId="01AC2C43" w14:textId="77777777" w:rsidR="005F2AC9" w:rsidRDefault="005F2AC9">
      <w:pPr>
        <w:spacing w:after="0"/>
        <w:jc w:val="both"/>
        <w:rPr>
          <w:rFonts w:ascii="Times New Roman" w:hAnsi="Times New Roman"/>
          <w:i/>
          <w:iCs/>
          <w:color w:val="000000" w:themeColor="text1"/>
          <w:sz w:val="24"/>
          <w:szCs w:val="24"/>
          <w:lang w:val="sq-AL"/>
        </w:rPr>
      </w:pPr>
    </w:p>
    <w:tbl>
      <w:tblPr>
        <w:tblStyle w:val="TableGrid"/>
        <w:tblW w:w="9119" w:type="dxa"/>
        <w:tblInd w:w="135" w:type="dxa"/>
        <w:tblLayout w:type="fixed"/>
        <w:tblLook w:val="04A0" w:firstRow="1" w:lastRow="0" w:firstColumn="1" w:lastColumn="0" w:noHBand="0" w:noVBand="1"/>
      </w:tblPr>
      <w:tblGrid>
        <w:gridCol w:w="1077"/>
        <w:gridCol w:w="1466"/>
        <w:gridCol w:w="1342"/>
        <w:gridCol w:w="918"/>
        <w:gridCol w:w="894"/>
        <w:gridCol w:w="916"/>
        <w:gridCol w:w="1360"/>
        <w:gridCol w:w="1146"/>
      </w:tblGrid>
      <w:tr w:rsidR="005F2AC9" w14:paraId="12B5110F" w14:textId="77777777">
        <w:trPr>
          <w:trHeight w:val="1425"/>
        </w:trPr>
        <w:tc>
          <w:tcPr>
            <w:tcW w:w="1076" w:type="dxa"/>
            <w:tcBorders>
              <w:top w:val="single" w:sz="6" w:space="0" w:color="000000"/>
              <w:left w:val="single" w:sz="6" w:space="0" w:color="000000"/>
              <w:bottom w:val="single" w:sz="6" w:space="0" w:color="000000"/>
              <w:right w:val="single" w:sz="6" w:space="0" w:color="000000"/>
            </w:tcBorders>
            <w:shd w:val="clear" w:color="auto" w:fill="DAE8F8"/>
            <w:vAlign w:val="center"/>
          </w:tcPr>
          <w:p w14:paraId="452AC940" w14:textId="77777777" w:rsidR="005F2AC9" w:rsidRDefault="005F2AC9">
            <w:pPr>
              <w:spacing w:before="0" w:after="0" w:line="240" w:lineRule="auto"/>
              <w:rPr>
                <w:rFonts w:ascii="Times New Roman" w:eastAsia="Times New Roman" w:hAnsi="Times New Roman" w:cs="Times New Roman"/>
                <w:b/>
                <w:bCs/>
                <w:color w:val="000000" w:themeColor="text1"/>
              </w:rPr>
            </w:pPr>
          </w:p>
        </w:tc>
        <w:tc>
          <w:tcPr>
            <w:tcW w:w="1466" w:type="dxa"/>
            <w:tcBorders>
              <w:top w:val="single" w:sz="6" w:space="0" w:color="000000"/>
              <w:left w:val="single" w:sz="6" w:space="0" w:color="000000"/>
              <w:bottom w:val="single" w:sz="6" w:space="0" w:color="000000"/>
              <w:right w:val="single" w:sz="6" w:space="0" w:color="000000"/>
            </w:tcBorders>
            <w:shd w:val="clear" w:color="auto" w:fill="DAE8F8"/>
          </w:tcPr>
          <w:p w14:paraId="15777DF6" w14:textId="77777777" w:rsidR="005F2AC9" w:rsidRDefault="00B56839">
            <w:pPr>
              <w:spacing w:before="0"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Objektivat</w:t>
            </w:r>
          </w:p>
        </w:tc>
        <w:tc>
          <w:tcPr>
            <w:tcW w:w="1342" w:type="dxa"/>
            <w:tcBorders>
              <w:top w:val="single" w:sz="6" w:space="0" w:color="000000"/>
              <w:left w:val="single" w:sz="6" w:space="0" w:color="000000"/>
              <w:bottom w:val="single" w:sz="6" w:space="0" w:color="000000"/>
              <w:right w:val="single" w:sz="6" w:space="0" w:color="000000"/>
            </w:tcBorders>
            <w:shd w:val="clear" w:color="auto" w:fill="DAE8F8"/>
          </w:tcPr>
          <w:p w14:paraId="24280B74" w14:textId="77777777" w:rsidR="005F2AC9" w:rsidRDefault="00B56839">
            <w:pPr>
              <w:spacing w:before="0"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Treguesi</w:t>
            </w:r>
          </w:p>
        </w:tc>
        <w:tc>
          <w:tcPr>
            <w:tcW w:w="918" w:type="dxa"/>
            <w:tcBorders>
              <w:top w:val="single" w:sz="6" w:space="0" w:color="000000"/>
              <w:left w:val="single" w:sz="6" w:space="0" w:color="000000"/>
              <w:bottom w:val="single" w:sz="6" w:space="0" w:color="000000"/>
              <w:right w:val="single" w:sz="6" w:space="0" w:color="000000"/>
            </w:tcBorders>
            <w:shd w:val="clear" w:color="auto" w:fill="DAE8F8"/>
          </w:tcPr>
          <w:p w14:paraId="2F4C26C0" w14:textId="77777777" w:rsidR="005F2AC9" w:rsidRDefault="00B56839">
            <w:pPr>
              <w:spacing w:before="0" w:after="0" w:line="240" w:lineRule="auto"/>
              <w:rPr>
                <w:color w:val="000000" w:themeColor="text1"/>
              </w:rPr>
            </w:pPr>
            <w:r>
              <w:rPr>
                <w:rFonts w:ascii="Times New Roman" w:eastAsia="Times New Roman" w:hAnsi="Times New Roman" w:cs="Times New Roman"/>
                <w:b/>
                <w:bCs/>
                <w:color w:val="000000" w:themeColor="text1"/>
              </w:rPr>
              <w:t>Vlera bazë</w:t>
            </w:r>
          </w:p>
        </w:tc>
        <w:tc>
          <w:tcPr>
            <w:tcW w:w="894" w:type="dxa"/>
            <w:tcBorders>
              <w:top w:val="single" w:sz="6" w:space="0" w:color="000000"/>
              <w:left w:val="single" w:sz="6" w:space="0" w:color="000000"/>
              <w:bottom w:val="single" w:sz="6" w:space="0" w:color="000000"/>
              <w:right w:val="single" w:sz="6" w:space="0" w:color="000000"/>
            </w:tcBorders>
            <w:shd w:val="clear" w:color="auto" w:fill="DAE8F8"/>
          </w:tcPr>
          <w:p w14:paraId="177763C7" w14:textId="77777777" w:rsidR="005F2AC9" w:rsidRDefault="00B56839">
            <w:pPr>
              <w:spacing w:before="0" w:after="0" w:line="240" w:lineRule="auto"/>
              <w:jc w:val="center"/>
              <w:rPr>
                <w:color w:val="000000" w:themeColor="text1"/>
              </w:rPr>
            </w:pPr>
            <w:r>
              <w:rPr>
                <w:rFonts w:ascii="Times New Roman" w:eastAsia="Times New Roman" w:hAnsi="Times New Roman" w:cs="Times New Roman"/>
                <w:b/>
                <w:bCs/>
                <w:color w:val="000000" w:themeColor="text1"/>
                <w:lang w:val="sq-AL"/>
              </w:rPr>
              <w:t>Viti 2025</w:t>
            </w:r>
          </w:p>
          <w:p w14:paraId="5A3B7C78" w14:textId="77777777" w:rsidR="005F2AC9" w:rsidRDefault="005F2AC9">
            <w:pPr>
              <w:spacing w:before="0" w:after="0" w:line="240" w:lineRule="auto"/>
              <w:rPr>
                <w:rFonts w:ascii="Times New Roman" w:eastAsia="Times New Roman" w:hAnsi="Times New Roman" w:cs="Times New Roman"/>
                <w:color w:val="000000" w:themeColor="text1"/>
              </w:rPr>
            </w:pPr>
          </w:p>
        </w:tc>
        <w:tc>
          <w:tcPr>
            <w:tcW w:w="916" w:type="dxa"/>
            <w:tcBorders>
              <w:top w:val="single" w:sz="6" w:space="0" w:color="000000"/>
              <w:left w:val="single" w:sz="6" w:space="0" w:color="000000"/>
              <w:bottom w:val="single" w:sz="6" w:space="0" w:color="000000"/>
              <w:right w:val="single" w:sz="6" w:space="0" w:color="000000"/>
            </w:tcBorders>
            <w:shd w:val="clear" w:color="auto" w:fill="DAE8F8"/>
          </w:tcPr>
          <w:p w14:paraId="3722E3C2" w14:textId="77777777" w:rsidR="005F2AC9" w:rsidRDefault="00B56839">
            <w:pPr>
              <w:spacing w:before="0" w:after="0" w:line="240" w:lineRule="auto"/>
              <w:rPr>
                <w:color w:val="000000" w:themeColor="text1"/>
              </w:rPr>
            </w:pPr>
            <w:r>
              <w:rPr>
                <w:rFonts w:ascii="Times New Roman" w:eastAsia="Times New Roman" w:hAnsi="Times New Roman" w:cs="Times New Roman"/>
                <w:b/>
                <w:bCs/>
                <w:color w:val="000000" w:themeColor="text1"/>
              </w:rPr>
              <w:t>Synimi 2030</w:t>
            </w:r>
          </w:p>
        </w:tc>
        <w:tc>
          <w:tcPr>
            <w:tcW w:w="1360" w:type="dxa"/>
            <w:tcBorders>
              <w:top w:val="single" w:sz="6" w:space="0" w:color="000000"/>
              <w:left w:val="single" w:sz="6" w:space="0" w:color="000000"/>
              <w:bottom w:val="single" w:sz="6" w:space="0" w:color="000000"/>
              <w:right w:val="single" w:sz="6" w:space="0" w:color="000000"/>
            </w:tcBorders>
            <w:shd w:val="clear" w:color="auto" w:fill="DAE8F8"/>
          </w:tcPr>
          <w:p w14:paraId="50884CFC" w14:textId="77777777" w:rsidR="005F2AC9" w:rsidRDefault="00B56839">
            <w:pPr>
              <w:spacing w:before="0" w:after="0" w:line="240" w:lineRule="auto"/>
              <w:rPr>
                <w:color w:val="000000" w:themeColor="text1"/>
              </w:rPr>
            </w:pPr>
            <w:r>
              <w:rPr>
                <w:rFonts w:ascii="Times New Roman" w:eastAsia="Times New Roman" w:hAnsi="Times New Roman" w:cs="Times New Roman"/>
                <w:b/>
                <w:bCs/>
                <w:color w:val="000000" w:themeColor="text1"/>
                <w:lang w:val="it-IT"/>
              </w:rPr>
              <w:t>Burimet dhe mjetet e verifikimit</w:t>
            </w:r>
          </w:p>
        </w:tc>
        <w:tc>
          <w:tcPr>
            <w:tcW w:w="1146" w:type="dxa"/>
            <w:tcBorders>
              <w:top w:val="single" w:sz="6" w:space="0" w:color="000000"/>
              <w:left w:val="single" w:sz="6" w:space="0" w:color="000000"/>
              <w:bottom w:val="single" w:sz="6" w:space="0" w:color="000000"/>
              <w:right w:val="single" w:sz="6" w:space="0" w:color="000000"/>
            </w:tcBorders>
            <w:shd w:val="clear" w:color="auto" w:fill="DAE8F8"/>
          </w:tcPr>
          <w:p w14:paraId="17FE52A4" w14:textId="77777777" w:rsidR="005F2AC9" w:rsidRDefault="00B56839">
            <w:pPr>
              <w:spacing w:before="0" w:after="0" w:line="240" w:lineRule="auto"/>
              <w:rPr>
                <w:color w:val="000000" w:themeColor="text1"/>
              </w:rPr>
            </w:pPr>
            <w:r>
              <w:rPr>
                <w:rFonts w:ascii="Times New Roman" w:eastAsia="Times New Roman" w:hAnsi="Times New Roman" w:cs="Times New Roman"/>
                <w:b/>
                <w:bCs/>
                <w:color w:val="000000" w:themeColor="text1"/>
              </w:rPr>
              <w:t>Referenca në dok. të tjera</w:t>
            </w:r>
          </w:p>
        </w:tc>
      </w:tr>
      <w:tr w:rsidR="005F2AC9" w14:paraId="3A7598F7" w14:textId="77777777">
        <w:trPr>
          <w:trHeight w:val="300"/>
        </w:trPr>
        <w:tc>
          <w:tcPr>
            <w:tcW w:w="1076" w:type="dxa"/>
            <w:tcBorders>
              <w:top w:val="single" w:sz="6" w:space="0" w:color="000000"/>
              <w:left w:val="single" w:sz="6" w:space="0" w:color="000000"/>
              <w:bottom w:val="single" w:sz="6" w:space="0" w:color="000000"/>
              <w:right w:val="single" w:sz="6" w:space="0" w:color="000000"/>
            </w:tcBorders>
            <w:shd w:val="clear" w:color="auto" w:fill="FFF2CC"/>
            <w:vAlign w:val="center"/>
          </w:tcPr>
          <w:p w14:paraId="475C17C2" w14:textId="77777777" w:rsidR="005F2AC9" w:rsidRDefault="00B56839">
            <w:pPr>
              <w:spacing w:before="0" w:after="0" w:line="240" w:lineRule="auto"/>
              <w:rPr>
                <w:rFonts w:ascii="Times New Roman" w:eastAsia="Times New Roman" w:hAnsi="Times New Roman" w:cs="Times New Roman"/>
                <w:b/>
                <w:bCs/>
                <w:color w:val="000000" w:themeColor="text1"/>
                <w:lang w:val="sq-AL"/>
              </w:rPr>
            </w:pPr>
            <w:r>
              <w:rPr>
                <w:rFonts w:ascii="Times New Roman" w:eastAsia="Times New Roman" w:hAnsi="Times New Roman" w:cs="Times New Roman"/>
                <w:b/>
                <w:bCs/>
                <w:color w:val="000000" w:themeColor="text1"/>
                <w:lang w:val="sq-AL"/>
              </w:rPr>
              <w:t>Objektivi specifik/ strategjik</w:t>
            </w:r>
          </w:p>
        </w:tc>
        <w:tc>
          <w:tcPr>
            <w:tcW w:w="1466" w:type="dxa"/>
            <w:tcBorders>
              <w:top w:val="single" w:sz="6" w:space="0" w:color="000000"/>
              <w:left w:val="single" w:sz="6" w:space="0" w:color="000000"/>
              <w:bottom w:val="single" w:sz="6" w:space="0" w:color="000000"/>
              <w:right w:val="single" w:sz="6" w:space="0" w:color="000000"/>
            </w:tcBorders>
            <w:shd w:val="clear" w:color="auto" w:fill="FFF2CC"/>
          </w:tcPr>
          <w:p w14:paraId="330846DE" w14:textId="77777777" w:rsidR="005F2AC9" w:rsidRDefault="00B56839">
            <w:pPr>
              <w:spacing w:before="0" w:after="0" w:line="240" w:lineRule="auto"/>
              <w:rPr>
                <w:color w:val="000000" w:themeColor="text1"/>
              </w:rPr>
            </w:pPr>
            <w:r>
              <w:rPr>
                <w:rFonts w:ascii="Times New Roman" w:eastAsia="Times New Roman" w:hAnsi="Times New Roman" w:cs="Times New Roman"/>
                <w:i/>
                <w:iCs/>
                <w:color w:val="000000" w:themeColor="text1"/>
              </w:rPr>
              <w:t xml:space="preserve">A2. </w:t>
            </w:r>
            <w:r>
              <w:rPr>
                <w:rFonts w:ascii="Times New Roman" w:eastAsia="Times New Roman" w:hAnsi="Times New Roman" w:cs="Times New Roman"/>
                <w:i/>
                <w:iCs/>
                <w:color w:val="000000" w:themeColor="text1"/>
                <w:lang w:val="sq-AL"/>
              </w:rPr>
              <w:t>Konsolidimi i reformave të mbrojtjes sociale në fushën e afësisë së kufizuar për mbështetje dhe pjesëmarrjen në jetën publike dhe private</w:t>
            </w:r>
          </w:p>
        </w:tc>
        <w:tc>
          <w:tcPr>
            <w:tcW w:w="1342" w:type="dxa"/>
            <w:tcBorders>
              <w:top w:val="single" w:sz="6" w:space="0" w:color="000000"/>
              <w:left w:val="single" w:sz="6" w:space="0" w:color="000000"/>
              <w:bottom w:val="single" w:sz="6" w:space="0" w:color="000000"/>
              <w:right w:val="single" w:sz="6" w:space="0" w:color="000000"/>
            </w:tcBorders>
            <w:shd w:val="clear" w:color="auto" w:fill="FFF2CC"/>
          </w:tcPr>
          <w:p w14:paraId="5F9380DF" w14:textId="77777777" w:rsidR="005F2AC9" w:rsidRDefault="00B56839">
            <w:pPr>
              <w:spacing w:before="0" w:after="0" w:line="240" w:lineRule="auto"/>
              <w:jc w:val="both"/>
              <w:rPr>
                <w:color w:val="000000" w:themeColor="text1"/>
              </w:rPr>
            </w:pPr>
            <w:r>
              <w:rPr>
                <w:rFonts w:ascii="Times New Roman" w:eastAsia="Times New Roman" w:hAnsi="Times New Roman" w:cs="Times New Roman"/>
                <w:color w:val="000000" w:themeColor="text1"/>
              </w:rPr>
              <w:t>Përqindja e individëve me Aftësi të Kufizuara përfitues në të gjitha programet e tjera mbështetëse në raport me totalin e përfituesve, sipas gjinisë.</w:t>
            </w:r>
          </w:p>
          <w:p w14:paraId="38C3DD21" w14:textId="77777777" w:rsidR="005F2AC9" w:rsidRDefault="00B56839">
            <w:pPr>
              <w:spacing w:before="0" w:after="0" w:line="240" w:lineRule="auto"/>
              <w:jc w:val="both"/>
              <w:rPr>
                <w:color w:val="000000" w:themeColor="text1"/>
              </w:rPr>
            </w:pPr>
            <w:r>
              <w:rPr>
                <w:rFonts w:ascii="Times New Roman" w:eastAsia="Times New Roman" w:hAnsi="Times New Roman" w:cs="Times New Roman"/>
                <w:color w:val="000000" w:themeColor="text1"/>
              </w:rPr>
              <w:t xml:space="preserve"> </w:t>
            </w:r>
          </w:p>
          <w:p w14:paraId="4D0706F7" w14:textId="77777777" w:rsidR="005F2AC9" w:rsidRDefault="00B56839">
            <w:pPr>
              <w:spacing w:before="0" w:after="0" w:line="240" w:lineRule="auto"/>
              <w:jc w:val="both"/>
              <w:rPr>
                <w:color w:val="000000" w:themeColor="text1"/>
              </w:rPr>
            </w:pPr>
            <w:r>
              <w:rPr>
                <w:rFonts w:ascii="Times New Roman" w:eastAsia="Times New Roman" w:hAnsi="Times New Roman" w:cs="Times New Roman"/>
                <w:color w:val="000000" w:themeColor="text1"/>
              </w:rPr>
              <w:t xml:space="preserve"> </w:t>
            </w:r>
          </w:p>
          <w:p w14:paraId="21A3129D" w14:textId="77777777" w:rsidR="005F2AC9" w:rsidRDefault="00B56839">
            <w:pPr>
              <w:spacing w:before="0" w:after="0" w:line="240" w:lineRule="auto"/>
              <w:jc w:val="both"/>
              <w:rPr>
                <w:color w:val="000000" w:themeColor="text1"/>
              </w:rPr>
            </w:pPr>
            <w:r>
              <w:rPr>
                <w:rFonts w:ascii="Times New Roman" w:eastAsia="Times New Roman" w:hAnsi="Times New Roman" w:cs="Times New Roman"/>
                <w:color w:val="000000" w:themeColor="text1"/>
              </w:rPr>
              <w:t xml:space="preserve"> </w:t>
            </w:r>
          </w:p>
          <w:p w14:paraId="080DE58F" w14:textId="77777777" w:rsidR="005F2AC9" w:rsidRDefault="005F2AC9">
            <w:pPr>
              <w:spacing w:before="0" w:after="0" w:line="240" w:lineRule="auto"/>
              <w:jc w:val="both"/>
              <w:rPr>
                <w:rFonts w:ascii="Times New Roman" w:eastAsia="Times New Roman" w:hAnsi="Times New Roman" w:cs="Times New Roman"/>
                <w:color w:val="000000" w:themeColor="text1"/>
                <w:lang w:val="en-GB"/>
              </w:rPr>
            </w:pPr>
          </w:p>
        </w:tc>
        <w:tc>
          <w:tcPr>
            <w:tcW w:w="918" w:type="dxa"/>
            <w:tcBorders>
              <w:top w:val="single" w:sz="6" w:space="0" w:color="000000"/>
              <w:left w:val="single" w:sz="6" w:space="0" w:color="000000"/>
              <w:bottom w:val="single" w:sz="6" w:space="0" w:color="000000"/>
              <w:right w:val="single" w:sz="6" w:space="0" w:color="000000"/>
            </w:tcBorders>
            <w:shd w:val="clear" w:color="auto" w:fill="FFF2CC"/>
          </w:tcPr>
          <w:p w14:paraId="182C4E3B"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15%</w:t>
            </w:r>
          </w:p>
          <w:p w14:paraId="76C1F882"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0A679395"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42957473"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7AA137E4"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15EA170C"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5082EC84"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49B876E5"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44B5FB18" w14:textId="77777777" w:rsidR="005F2AC9" w:rsidRDefault="005F2AC9">
            <w:pPr>
              <w:spacing w:before="0" w:after="0" w:line="240" w:lineRule="auto"/>
              <w:rPr>
                <w:rFonts w:ascii="Times New Roman" w:eastAsia="Times New Roman" w:hAnsi="Times New Roman" w:cs="Times New Roman"/>
                <w:color w:val="000000" w:themeColor="text1"/>
              </w:rPr>
            </w:pPr>
          </w:p>
        </w:tc>
        <w:tc>
          <w:tcPr>
            <w:tcW w:w="894" w:type="dxa"/>
            <w:tcBorders>
              <w:top w:val="single" w:sz="6" w:space="0" w:color="000000"/>
              <w:left w:val="single" w:sz="6" w:space="0" w:color="000000"/>
              <w:bottom w:val="single" w:sz="6" w:space="0" w:color="000000"/>
              <w:right w:val="single" w:sz="6" w:space="0" w:color="000000"/>
            </w:tcBorders>
            <w:shd w:val="clear" w:color="auto" w:fill="FFF2CC"/>
          </w:tcPr>
          <w:p w14:paraId="146EA1A3" w14:textId="77777777" w:rsidR="005F2AC9" w:rsidRDefault="00B56839">
            <w:pPr>
              <w:spacing w:before="0" w:after="0" w:line="257" w:lineRule="auto"/>
              <w:rPr>
                <w:color w:val="000000" w:themeColor="text1"/>
              </w:rPr>
            </w:pPr>
            <w:r>
              <w:rPr>
                <w:rFonts w:ascii="Times New Roman" w:eastAsia="Times New Roman" w:hAnsi="Times New Roman" w:cs="Times New Roman"/>
                <w:color w:val="000000" w:themeColor="text1"/>
              </w:rPr>
              <w:t>27%</w:t>
            </w:r>
          </w:p>
          <w:p w14:paraId="733B9C7D" w14:textId="77777777" w:rsidR="005F2AC9" w:rsidRDefault="00B56839">
            <w:pPr>
              <w:spacing w:before="0" w:after="0" w:line="257" w:lineRule="auto"/>
              <w:rPr>
                <w:color w:val="000000" w:themeColor="text1"/>
              </w:rPr>
            </w:pPr>
            <w:r>
              <w:rPr>
                <w:rFonts w:ascii="Times New Roman" w:eastAsia="Times New Roman" w:hAnsi="Times New Roman" w:cs="Times New Roman"/>
                <w:color w:val="000000" w:themeColor="text1"/>
              </w:rPr>
              <w:t xml:space="preserve"> </w:t>
            </w:r>
          </w:p>
          <w:p w14:paraId="50EF630B" w14:textId="77777777" w:rsidR="005F2AC9" w:rsidRDefault="00B56839">
            <w:pPr>
              <w:spacing w:before="0" w:after="0" w:line="257" w:lineRule="auto"/>
              <w:rPr>
                <w:color w:val="000000" w:themeColor="text1"/>
              </w:rPr>
            </w:pPr>
            <w:r>
              <w:rPr>
                <w:rFonts w:ascii="Times New Roman" w:eastAsia="Times New Roman" w:hAnsi="Times New Roman" w:cs="Times New Roman"/>
                <w:color w:val="000000" w:themeColor="text1"/>
              </w:rPr>
              <w:t xml:space="preserve"> </w:t>
            </w:r>
          </w:p>
          <w:p w14:paraId="0AB76BC0" w14:textId="77777777" w:rsidR="005F2AC9" w:rsidRDefault="00B56839">
            <w:pPr>
              <w:spacing w:before="0" w:after="0" w:line="257" w:lineRule="auto"/>
              <w:rPr>
                <w:color w:val="000000" w:themeColor="text1"/>
              </w:rPr>
            </w:pPr>
            <w:r>
              <w:rPr>
                <w:rFonts w:ascii="Times New Roman" w:eastAsia="Times New Roman" w:hAnsi="Times New Roman" w:cs="Times New Roman"/>
                <w:color w:val="000000" w:themeColor="text1"/>
              </w:rPr>
              <w:t xml:space="preserve"> </w:t>
            </w:r>
          </w:p>
          <w:p w14:paraId="39AD548E" w14:textId="77777777" w:rsidR="005F2AC9" w:rsidRDefault="00B56839">
            <w:pPr>
              <w:spacing w:before="0" w:after="0" w:line="257" w:lineRule="auto"/>
              <w:rPr>
                <w:color w:val="000000" w:themeColor="text1"/>
              </w:rPr>
            </w:pPr>
            <w:r>
              <w:rPr>
                <w:rFonts w:ascii="Times New Roman" w:eastAsia="Times New Roman" w:hAnsi="Times New Roman" w:cs="Times New Roman"/>
                <w:color w:val="000000" w:themeColor="text1"/>
              </w:rPr>
              <w:t xml:space="preserve"> </w:t>
            </w:r>
          </w:p>
          <w:p w14:paraId="4991A114" w14:textId="77777777" w:rsidR="005F2AC9" w:rsidRDefault="00B56839">
            <w:pPr>
              <w:spacing w:before="0" w:after="0" w:line="257" w:lineRule="auto"/>
              <w:rPr>
                <w:color w:val="000000" w:themeColor="text1"/>
              </w:rPr>
            </w:pPr>
            <w:r>
              <w:rPr>
                <w:rFonts w:ascii="Times New Roman" w:eastAsia="Times New Roman" w:hAnsi="Times New Roman" w:cs="Times New Roman"/>
                <w:color w:val="000000" w:themeColor="text1"/>
              </w:rPr>
              <w:t xml:space="preserve"> </w:t>
            </w:r>
          </w:p>
          <w:p w14:paraId="72DD5FC5" w14:textId="77777777" w:rsidR="005F2AC9" w:rsidRDefault="00B56839">
            <w:pPr>
              <w:spacing w:before="0" w:after="0" w:line="257" w:lineRule="auto"/>
              <w:rPr>
                <w:color w:val="000000" w:themeColor="text1"/>
              </w:rPr>
            </w:pPr>
            <w:r>
              <w:rPr>
                <w:rFonts w:ascii="Times New Roman" w:eastAsia="Times New Roman" w:hAnsi="Times New Roman" w:cs="Times New Roman"/>
                <w:color w:val="000000" w:themeColor="text1"/>
              </w:rPr>
              <w:t xml:space="preserve"> </w:t>
            </w:r>
          </w:p>
          <w:p w14:paraId="31AFEACC" w14:textId="77777777" w:rsidR="005F2AC9" w:rsidRDefault="00B56839">
            <w:pPr>
              <w:spacing w:before="0" w:after="0" w:line="257" w:lineRule="auto"/>
              <w:rPr>
                <w:color w:val="000000" w:themeColor="text1"/>
              </w:rPr>
            </w:pPr>
            <w:r>
              <w:rPr>
                <w:rFonts w:ascii="Times New Roman" w:eastAsia="Times New Roman" w:hAnsi="Times New Roman" w:cs="Times New Roman"/>
                <w:color w:val="000000" w:themeColor="text1"/>
              </w:rPr>
              <w:t xml:space="preserve"> </w:t>
            </w:r>
          </w:p>
          <w:p w14:paraId="44CF730B" w14:textId="77777777" w:rsidR="005F2AC9" w:rsidRDefault="005F2AC9">
            <w:pPr>
              <w:spacing w:before="0" w:after="0" w:line="257" w:lineRule="auto"/>
              <w:rPr>
                <w:rFonts w:ascii="Times New Roman" w:eastAsia="Times New Roman" w:hAnsi="Times New Roman" w:cs="Times New Roman"/>
                <w:color w:val="000000" w:themeColor="text1"/>
              </w:rPr>
            </w:pPr>
          </w:p>
        </w:tc>
        <w:tc>
          <w:tcPr>
            <w:tcW w:w="916" w:type="dxa"/>
            <w:tcBorders>
              <w:top w:val="single" w:sz="6" w:space="0" w:color="000000"/>
              <w:left w:val="single" w:sz="6" w:space="0" w:color="000000"/>
              <w:bottom w:val="single" w:sz="6" w:space="0" w:color="000000"/>
              <w:right w:val="single" w:sz="6" w:space="0" w:color="000000"/>
            </w:tcBorders>
            <w:shd w:val="clear" w:color="auto" w:fill="FFF2CC"/>
          </w:tcPr>
          <w:p w14:paraId="657D4C27"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50%</w:t>
            </w:r>
          </w:p>
          <w:p w14:paraId="12DF683C"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1FAE8723"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05830C2E"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0F76F89C"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622C3F7A"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568C1E1C"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586BFC80"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41C29CA8"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6200B0EC" w14:textId="77777777" w:rsidR="005F2AC9" w:rsidRDefault="005F2AC9">
            <w:pPr>
              <w:spacing w:before="0" w:after="0" w:line="240" w:lineRule="auto"/>
              <w:rPr>
                <w:rFonts w:ascii="Times New Roman" w:eastAsia="Times New Roman" w:hAnsi="Times New Roman" w:cs="Times New Roman"/>
                <w:color w:val="000000" w:themeColor="text1"/>
              </w:rPr>
            </w:pPr>
          </w:p>
        </w:tc>
        <w:tc>
          <w:tcPr>
            <w:tcW w:w="1360" w:type="dxa"/>
            <w:tcBorders>
              <w:top w:val="single" w:sz="6" w:space="0" w:color="000000"/>
              <w:left w:val="single" w:sz="6" w:space="0" w:color="000000"/>
              <w:bottom w:val="single" w:sz="6" w:space="0" w:color="000000"/>
              <w:right w:val="single" w:sz="6" w:space="0" w:color="000000"/>
            </w:tcBorders>
            <w:shd w:val="clear" w:color="auto" w:fill="FFF2CC"/>
          </w:tcPr>
          <w:p w14:paraId="4F902A0C"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SHSSH/ të dhëna administrative</w:t>
            </w:r>
          </w:p>
        </w:tc>
        <w:tc>
          <w:tcPr>
            <w:tcW w:w="1146" w:type="dxa"/>
            <w:tcBorders>
              <w:top w:val="single" w:sz="6" w:space="0" w:color="000000"/>
              <w:left w:val="single" w:sz="6" w:space="0" w:color="000000"/>
              <w:bottom w:val="single" w:sz="6" w:space="0" w:color="000000"/>
              <w:right w:val="single" w:sz="6" w:space="0" w:color="000000"/>
            </w:tcBorders>
            <w:shd w:val="clear" w:color="auto" w:fill="FFF2CC"/>
          </w:tcPr>
          <w:p w14:paraId="68A9DFCE"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57FBCCAF"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OZhQ- 10.2</w:t>
            </w:r>
          </w:p>
          <w:p w14:paraId="71E83029"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738C85E2"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70F92C01"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SKZHI / tregues i Mbrojtjes Sociale </w:t>
            </w:r>
          </w:p>
          <w:p w14:paraId="221A1AC6"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OZhQ- 8.5;8.6;5.c; 1</w:t>
            </w:r>
          </w:p>
          <w:p w14:paraId="5E81F3DF" w14:textId="77777777" w:rsidR="005F2AC9" w:rsidRDefault="005F2AC9">
            <w:pPr>
              <w:spacing w:before="0" w:after="0" w:line="240" w:lineRule="auto"/>
              <w:rPr>
                <w:rFonts w:ascii="Times New Roman" w:eastAsia="Times New Roman" w:hAnsi="Times New Roman" w:cs="Times New Roman"/>
                <w:color w:val="000000" w:themeColor="text1"/>
              </w:rPr>
            </w:pPr>
          </w:p>
        </w:tc>
      </w:tr>
      <w:tr w:rsidR="005F2AC9" w14:paraId="3E518E4D" w14:textId="77777777">
        <w:trPr>
          <w:trHeight w:val="300"/>
        </w:trPr>
        <w:tc>
          <w:tcPr>
            <w:tcW w:w="1076" w:type="dxa"/>
            <w:vMerge w:val="restart"/>
            <w:tcBorders>
              <w:top w:val="single" w:sz="6" w:space="0" w:color="000000"/>
              <w:left w:val="single" w:sz="6" w:space="0" w:color="000000"/>
              <w:bottom w:val="single" w:sz="6" w:space="0" w:color="000000"/>
              <w:right w:val="single" w:sz="6" w:space="0" w:color="000000"/>
            </w:tcBorders>
            <w:shd w:val="clear" w:color="auto" w:fill="F3EAE1" w:themeFill="accent4" w:themeFillTint="33"/>
            <w:vAlign w:val="center"/>
          </w:tcPr>
          <w:p w14:paraId="4C7A053C" w14:textId="77777777" w:rsidR="005F2AC9" w:rsidRDefault="00B56839">
            <w:pPr>
              <w:spacing w:before="0" w:after="0" w:line="240" w:lineRule="auto"/>
              <w:rPr>
                <w:rFonts w:ascii="Times New Roman" w:eastAsia="Times New Roman" w:hAnsi="Times New Roman" w:cs="Times New Roman"/>
                <w:b/>
                <w:bCs/>
                <w:color w:val="000000" w:themeColor="text1"/>
                <w:lang w:val="sq-AL"/>
              </w:rPr>
            </w:pPr>
            <w:r>
              <w:rPr>
                <w:rFonts w:ascii="Times New Roman" w:eastAsia="Times New Roman" w:hAnsi="Times New Roman" w:cs="Times New Roman"/>
                <w:b/>
                <w:bCs/>
                <w:color w:val="000000" w:themeColor="text1"/>
                <w:lang w:val="sq-AL"/>
              </w:rPr>
              <w:t>Masat prioritare</w:t>
            </w:r>
          </w:p>
        </w:tc>
        <w:tc>
          <w:tcPr>
            <w:tcW w:w="1466"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0027AFE8"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A2.1. Përmirësimi i performancës dhe transparencës së skemës së vlerësimit të aftësisë së kufizuar me qëllim adresimin efektiv dhe të përgjegjshëm gjinor të nevojave individuale të tyre, edhe në situata krizash dhe emergjencash.</w:t>
            </w:r>
          </w:p>
        </w:tc>
        <w:tc>
          <w:tcPr>
            <w:tcW w:w="1342"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0D941A58"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Përqindja e individëve referuar për të marrë shërbime sociale ndaj numrit total të individëve përfitues të vërtetimeve të aftësisë së kufizuar gjatë muajit të kaluar (%); </w:t>
            </w:r>
          </w:p>
          <w:p w14:paraId="05C36B41"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34F650D2"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Numri i individëve që përfitojnë pagesë të aftësisë së kufizuar (sipas grupmoshës dhe gjinisë);</w:t>
            </w:r>
          </w:p>
          <w:p w14:paraId="68875AC4"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2BB1F263"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Numri i individëve që përfitojnë ndihmës </w:t>
            </w:r>
            <w:r>
              <w:rPr>
                <w:rFonts w:ascii="Times New Roman" w:eastAsia="Times New Roman" w:hAnsi="Times New Roman" w:cs="Times New Roman"/>
                <w:color w:val="000000" w:themeColor="text1"/>
              </w:rPr>
              <w:lastRenderedPageBreak/>
              <w:t xml:space="preserve">personal (sipas grupmoshës </w:t>
            </w:r>
            <w:proofErr w:type="gramStart"/>
            <w:r>
              <w:rPr>
                <w:rFonts w:ascii="Times New Roman" w:eastAsia="Times New Roman" w:hAnsi="Times New Roman" w:cs="Times New Roman"/>
                <w:color w:val="000000" w:themeColor="text1"/>
              </w:rPr>
              <w:t>dhe  gjinisë</w:t>
            </w:r>
            <w:proofErr w:type="gramEnd"/>
            <w:r>
              <w:rPr>
                <w:rFonts w:ascii="Times New Roman" w:eastAsia="Times New Roman" w:hAnsi="Times New Roman" w:cs="Times New Roman"/>
                <w:color w:val="000000" w:themeColor="text1"/>
              </w:rPr>
              <w:t xml:space="preserve">); </w:t>
            </w:r>
          </w:p>
          <w:p w14:paraId="64AC89FE"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4A36C0CC"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Numri i individëve që përfitojnë pagesë për invaliditetin e punës (sipas grupmoshës dhe gjinisë).</w:t>
            </w:r>
          </w:p>
        </w:tc>
        <w:tc>
          <w:tcPr>
            <w:tcW w:w="918"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318F1EB0"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lastRenderedPageBreak/>
              <w:t>10%</w:t>
            </w:r>
          </w:p>
          <w:p w14:paraId="5A9911D7"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3D4E3F05"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7DD47B74"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5B910CC5"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66A3D6AD"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366FA761"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747509BB"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49032E70"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1A1960EC" w14:textId="77777777" w:rsidR="005F2AC9" w:rsidRDefault="005F2AC9">
            <w:pPr>
              <w:spacing w:before="0" w:after="0" w:line="240" w:lineRule="auto"/>
              <w:rPr>
                <w:rFonts w:ascii="Times New Roman" w:eastAsia="Times New Roman" w:hAnsi="Times New Roman" w:cs="Times New Roman"/>
                <w:color w:val="000000" w:themeColor="text1"/>
              </w:rPr>
            </w:pPr>
          </w:p>
          <w:p w14:paraId="5AA7F63B" w14:textId="77777777" w:rsidR="005F2AC9" w:rsidRDefault="005F2AC9">
            <w:pPr>
              <w:spacing w:before="0" w:after="0" w:line="240" w:lineRule="auto"/>
              <w:rPr>
                <w:rFonts w:ascii="Times New Roman" w:eastAsia="Times New Roman" w:hAnsi="Times New Roman" w:cs="Times New Roman"/>
                <w:color w:val="000000" w:themeColor="text1"/>
              </w:rPr>
            </w:pPr>
          </w:p>
          <w:p w14:paraId="789E0D9F" w14:textId="77777777" w:rsidR="005F2AC9" w:rsidRDefault="005F2AC9">
            <w:pPr>
              <w:spacing w:before="0" w:after="0" w:line="240" w:lineRule="auto"/>
              <w:rPr>
                <w:rFonts w:ascii="Times New Roman" w:eastAsia="Times New Roman" w:hAnsi="Times New Roman" w:cs="Times New Roman"/>
                <w:color w:val="000000" w:themeColor="text1"/>
              </w:rPr>
            </w:pPr>
          </w:p>
          <w:p w14:paraId="627D84F2" w14:textId="77777777" w:rsidR="005F2AC9" w:rsidRDefault="005F2AC9">
            <w:pPr>
              <w:spacing w:before="0" w:after="0" w:line="240" w:lineRule="auto"/>
              <w:rPr>
                <w:rFonts w:ascii="Times New Roman" w:eastAsia="Times New Roman" w:hAnsi="Times New Roman" w:cs="Times New Roman"/>
                <w:color w:val="000000" w:themeColor="text1"/>
              </w:rPr>
            </w:pPr>
          </w:p>
          <w:p w14:paraId="04621F3E" w14:textId="77777777" w:rsidR="005F2AC9" w:rsidRDefault="005F2AC9">
            <w:pPr>
              <w:spacing w:before="0" w:after="0" w:line="240" w:lineRule="auto"/>
              <w:rPr>
                <w:rFonts w:ascii="Times New Roman" w:eastAsia="Times New Roman" w:hAnsi="Times New Roman" w:cs="Times New Roman"/>
                <w:color w:val="000000" w:themeColor="text1"/>
              </w:rPr>
            </w:pPr>
          </w:p>
          <w:p w14:paraId="43555382" w14:textId="77777777" w:rsidR="005F2AC9" w:rsidRDefault="005F2AC9">
            <w:pPr>
              <w:spacing w:before="0" w:after="0" w:line="240" w:lineRule="auto"/>
              <w:rPr>
                <w:rFonts w:ascii="Times New Roman" w:eastAsia="Times New Roman" w:hAnsi="Times New Roman" w:cs="Times New Roman"/>
                <w:color w:val="000000" w:themeColor="text1"/>
              </w:rPr>
            </w:pPr>
          </w:p>
          <w:p w14:paraId="3B716EBB"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73,046</w:t>
            </w:r>
          </w:p>
          <w:p w14:paraId="09B1C0DF"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0340E2B0"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6B452BD6"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57AFAFE6" w14:textId="77777777" w:rsidR="005F2AC9" w:rsidRDefault="005F2AC9">
            <w:pPr>
              <w:spacing w:before="0" w:after="0" w:line="240" w:lineRule="auto"/>
              <w:rPr>
                <w:rFonts w:ascii="Times New Roman" w:eastAsia="Times New Roman" w:hAnsi="Times New Roman" w:cs="Times New Roman"/>
                <w:color w:val="000000" w:themeColor="text1"/>
              </w:rPr>
            </w:pPr>
          </w:p>
          <w:p w14:paraId="09FBDE67" w14:textId="77777777" w:rsidR="005F2AC9" w:rsidRDefault="005F2AC9">
            <w:pPr>
              <w:spacing w:before="0" w:after="0" w:line="240" w:lineRule="auto"/>
              <w:rPr>
                <w:rFonts w:ascii="Times New Roman" w:eastAsia="Times New Roman" w:hAnsi="Times New Roman" w:cs="Times New Roman"/>
                <w:color w:val="000000" w:themeColor="text1"/>
              </w:rPr>
            </w:pPr>
          </w:p>
          <w:p w14:paraId="1E8FD2B6" w14:textId="77777777" w:rsidR="005F2AC9" w:rsidRDefault="005F2AC9">
            <w:pPr>
              <w:spacing w:before="0" w:after="0" w:line="240" w:lineRule="auto"/>
              <w:rPr>
                <w:rFonts w:ascii="Times New Roman" w:eastAsia="Times New Roman" w:hAnsi="Times New Roman" w:cs="Times New Roman"/>
                <w:color w:val="000000" w:themeColor="text1"/>
              </w:rPr>
            </w:pPr>
          </w:p>
          <w:p w14:paraId="0E9359ED" w14:textId="77777777" w:rsidR="005F2AC9" w:rsidRDefault="005F2AC9">
            <w:pPr>
              <w:spacing w:before="0" w:after="0" w:line="240" w:lineRule="auto"/>
              <w:rPr>
                <w:rFonts w:ascii="Times New Roman" w:eastAsia="Times New Roman" w:hAnsi="Times New Roman" w:cs="Times New Roman"/>
                <w:color w:val="000000" w:themeColor="text1"/>
              </w:rPr>
            </w:pPr>
          </w:p>
          <w:p w14:paraId="45ED895A" w14:textId="77777777" w:rsidR="005F2AC9" w:rsidRDefault="005F2AC9">
            <w:pPr>
              <w:spacing w:before="0" w:after="0" w:line="240" w:lineRule="auto"/>
              <w:rPr>
                <w:rFonts w:ascii="Times New Roman" w:eastAsia="Times New Roman" w:hAnsi="Times New Roman" w:cs="Times New Roman"/>
                <w:color w:val="000000" w:themeColor="text1"/>
              </w:rPr>
            </w:pPr>
          </w:p>
          <w:p w14:paraId="44BB1AA3"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18,467</w:t>
            </w:r>
          </w:p>
          <w:p w14:paraId="58F9A9FE"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7CFB59C0"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51AF0AD8"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433FD01E"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021FEBF7" w14:textId="77777777" w:rsidR="005F2AC9" w:rsidRDefault="005F2AC9">
            <w:pPr>
              <w:spacing w:before="0" w:after="0" w:line="240" w:lineRule="auto"/>
              <w:rPr>
                <w:rFonts w:ascii="Times New Roman" w:eastAsia="Times New Roman" w:hAnsi="Times New Roman" w:cs="Times New Roman"/>
                <w:color w:val="000000" w:themeColor="text1"/>
              </w:rPr>
            </w:pPr>
          </w:p>
          <w:p w14:paraId="1DAC06C6" w14:textId="77777777" w:rsidR="005F2AC9" w:rsidRDefault="005F2AC9">
            <w:pPr>
              <w:spacing w:before="0" w:after="0" w:line="240" w:lineRule="auto"/>
              <w:rPr>
                <w:rFonts w:ascii="Times New Roman" w:eastAsia="Times New Roman" w:hAnsi="Times New Roman" w:cs="Times New Roman"/>
                <w:color w:val="000000" w:themeColor="text1"/>
              </w:rPr>
            </w:pPr>
          </w:p>
          <w:p w14:paraId="6B8C9B91" w14:textId="77777777" w:rsidR="005F2AC9" w:rsidRDefault="005F2AC9">
            <w:pPr>
              <w:spacing w:before="0" w:after="0" w:line="240" w:lineRule="auto"/>
              <w:rPr>
                <w:rFonts w:ascii="Times New Roman" w:eastAsia="Times New Roman" w:hAnsi="Times New Roman" w:cs="Times New Roman"/>
                <w:color w:val="000000" w:themeColor="text1"/>
              </w:rPr>
            </w:pPr>
          </w:p>
          <w:p w14:paraId="0C38FF04" w14:textId="77777777" w:rsidR="005F2AC9" w:rsidRDefault="00B56839">
            <w:pPr>
              <w:spacing w:before="0"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73,418</w:t>
            </w:r>
          </w:p>
        </w:tc>
        <w:tc>
          <w:tcPr>
            <w:tcW w:w="894"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019C0151"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lastRenderedPageBreak/>
              <w:t>31%</w:t>
            </w:r>
          </w:p>
          <w:p w14:paraId="58EB3121"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highlight w:val="yellow"/>
              </w:rPr>
              <w:t xml:space="preserve"> </w:t>
            </w:r>
          </w:p>
          <w:p w14:paraId="51C89B60"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highlight w:val="yellow"/>
              </w:rPr>
              <w:t xml:space="preserve"> </w:t>
            </w:r>
          </w:p>
          <w:p w14:paraId="17FD95C2"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highlight w:val="yellow"/>
              </w:rPr>
              <w:t xml:space="preserve"> </w:t>
            </w:r>
          </w:p>
          <w:p w14:paraId="7666EBD2"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highlight w:val="yellow"/>
              </w:rPr>
              <w:t xml:space="preserve"> </w:t>
            </w:r>
          </w:p>
          <w:p w14:paraId="6571C7E8"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highlight w:val="yellow"/>
              </w:rPr>
              <w:t xml:space="preserve"> </w:t>
            </w:r>
          </w:p>
          <w:p w14:paraId="590EE96B"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highlight w:val="yellow"/>
              </w:rPr>
              <w:t xml:space="preserve"> </w:t>
            </w:r>
          </w:p>
          <w:p w14:paraId="2C1D9B6B"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highlight w:val="yellow"/>
              </w:rPr>
              <w:t xml:space="preserve"> </w:t>
            </w:r>
          </w:p>
          <w:p w14:paraId="06E020C8" w14:textId="77777777" w:rsidR="005F2AC9" w:rsidRDefault="005F2AC9">
            <w:pPr>
              <w:spacing w:before="0" w:after="0" w:line="240" w:lineRule="auto"/>
              <w:rPr>
                <w:rFonts w:ascii="Times New Roman" w:eastAsia="Times New Roman" w:hAnsi="Times New Roman" w:cs="Times New Roman"/>
                <w:color w:val="000000" w:themeColor="text1"/>
                <w:highlight w:val="yellow"/>
              </w:rPr>
            </w:pPr>
          </w:p>
          <w:p w14:paraId="5F564204" w14:textId="77777777" w:rsidR="005F2AC9" w:rsidRDefault="005F2AC9">
            <w:pPr>
              <w:spacing w:before="0" w:after="0" w:line="240" w:lineRule="auto"/>
              <w:rPr>
                <w:rFonts w:ascii="Times New Roman" w:eastAsia="Times New Roman" w:hAnsi="Times New Roman" w:cs="Times New Roman"/>
                <w:color w:val="000000" w:themeColor="text1"/>
                <w:highlight w:val="yellow"/>
              </w:rPr>
            </w:pPr>
          </w:p>
          <w:p w14:paraId="0B2F777C" w14:textId="77777777" w:rsidR="005F2AC9" w:rsidRDefault="005F2AC9">
            <w:pPr>
              <w:spacing w:before="0" w:after="0" w:line="240" w:lineRule="auto"/>
              <w:rPr>
                <w:rFonts w:ascii="Times New Roman" w:eastAsia="Times New Roman" w:hAnsi="Times New Roman" w:cs="Times New Roman"/>
                <w:color w:val="000000" w:themeColor="text1"/>
                <w:highlight w:val="yellow"/>
              </w:rPr>
            </w:pPr>
          </w:p>
          <w:p w14:paraId="37079655" w14:textId="77777777" w:rsidR="005F2AC9" w:rsidRDefault="005F2AC9">
            <w:pPr>
              <w:spacing w:before="0" w:after="0" w:line="240" w:lineRule="auto"/>
              <w:rPr>
                <w:rFonts w:ascii="Times New Roman" w:eastAsia="Times New Roman" w:hAnsi="Times New Roman" w:cs="Times New Roman"/>
                <w:color w:val="000000" w:themeColor="text1"/>
                <w:highlight w:val="yellow"/>
              </w:rPr>
            </w:pPr>
          </w:p>
          <w:p w14:paraId="391EFCE4" w14:textId="77777777" w:rsidR="005F2AC9" w:rsidRDefault="005F2AC9">
            <w:pPr>
              <w:spacing w:before="0" w:after="0" w:line="240" w:lineRule="auto"/>
              <w:rPr>
                <w:rFonts w:ascii="Times New Roman" w:eastAsia="Times New Roman" w:hAnsi="Times New Roman" w:cs="Times New Roman"/>
                <w:color w:val="000000" w:themeColor="text1"/>
                <w:highlight w:val="yellow"/>
              </w:rPr>
            </w:pPr>
          </w:p>
          <w:p w14:paraId="74D891A3" w14:textId="77777777" w:rsidR="005F2AC9" w:rsidRDefault="005F2AC9">
            <w:pPr>
              <w:spacing w:before="0" w:after="0" w:line="240" w:lineRule="auto"/>
              <w:rPr>
                <w:rFonts w:ascii="Times New Roman" w:eastAsia="Times New Roman" w:hAnsi="Times New Roman" w:cs="Times New Roman"/>
                <w:color w:val="000000" w:themeColor="text1"/>
                <w:highlight w:val="yellow"/>
              </w:rPr>
            </w:pPr>
          </w:p>
          <w:p w14:paraId="3358201D"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highlight w:val="yellow"/>
              </w:rPr>
              <w:t xml:space="preserve"> </w:t>
            </w:r>
          </w:p>
          <w:p w14:paraId="56D4C2CA"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78,043</w:t>
            </w:r>
          </w:p>
          <w:p w14:paraId="3B419972"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highlight w:val="yellow"/>
              </w:rPr>
              <w:t xml:space="preserve"> </w:t>
            </w:r>
          </w:p>
          <w:p w14:paraId="5EA890FD"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highlight w:val="yellow"/>
              </w:rPr>
              <w:t xml:space="preserve"> </w:t>
            </w:r>
          </w:p>
          <w:p w14:paraId="03CF2D4E"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highlight w:val="yellow"/>
              </w:rPr>
              <w:t xml:space="preserve"> </w:t>
            </w:r>
          </w:p>
          <w:p w14:paraId="3E09B252" w14:textId="77777777" w:rsidR="005F2AC9" w:rsidRDefault="005F2AC9">
            <w:pPr>
              <w:spacing w:before="0" w:after="0" w:line="240" w:lineRule="auto"/>
              <w:rPr>
                <w:rFonts w:ascii="Times New Roman" w:eastAsia="Times New Roman" w:hAnsi="Times New Roman" w:cs="Times New Roman"/>
                <w:color w:val="000000" w:themeColor="text1"/>
                <w:highlight w:val="yellow"/>
              </w:rPr>
            </w:pPr>
          </w:p>
          <w:p w14:paraId="150ADB58" w14:textId="77777777" w:rsidR="005F2AC9" w:rsidRDefault="005F2AC9">
            <w:pPr>
              <w:spacing w:before="0" w:after="0" w:line="240" w:lineRule="auto"/>
              <w:rPr>
                <w:rFonts w:ascii="Times New Roman" w:eastAsia="Times New Roman" w:hAnsi="Times New Roman" w:cs="Times New Roman"/>
                <w:color w:val="000000" w:themeColor="text1"/>
                <w:highlight w:val="yellow"/>
              </w:rPr>
            </w:pPr>
          </w:p>
          <w:p w14:paraId="5C8D737E" w14:textId="77777777" w:rsidR="005F2AC9" w:rsidRDefault="005F2AC9">
            <w:pPr>
              <w:spacing w:before="0" w:after="0" w:line="240" w:lineRule="auto"/>
              <w:rPr>
                <w:rFonts w:ascii="Times New Roman" w:eastAsia="Times New Roman" w:hAnsi="Times New Roman" w:cs="Times New Roman"/>
                <w:color w:val="000000" w:themeColor="text1"/>
                <w:highlight w:val="yellow"/>
              </w:rPr>
            </w:pPr>
          </w:p>
          <w:p w14:paraId="39948F47" w14:textId="77777777" w:rsidR="005F2AC9" w:rsidRDefault="005F2AC9">
            <w:pPr>
              <w:spacing w:before="0" w:after="0" w:line="240" w:lineRule="auto"/>
              <w:rPr>
                <w:rFonts w:ascii="Times New Roman" w:eastAsia="Times New Roman" w:hAnsi="Times New Roman" w:cs="Times New Roman"/>
                <w:color w:val="000000" w:themeColor="text1"/>
                <w:highlight w:val="yellow"/>
              </w:rPr>
            </w:pPr>
          </w:p>
          <w:p w14:paraId="13495CDB" w14:textId="77777777" w:rsidR="005F2AC9" w:rsidRDefault="005F2AC9">
            <w:pPr>
              <w:spacing w:before="0" w:after="0" w:line="240" w:lineRule="auto"/>
              <w:rPr>
                <w:rFonts w:ascii="Times New Roman" w:eastAsia="Times New Roman" w:hAnsi="Times New Roman" w:cs="Times New Roman"/>
                <w:color w:val="000000" w:themeColor="text1"/>
                <w:highlight w:val="yellow"/>
              </w:rPr>
            </w:pPr>
          </w:p>
          <w:p w14:paraId="007BEAAB"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19,642</w:t>
            </w:r>
          </w:p>
          <w:p w14:paraId="2CE662F0"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highlight w:val="yellow"/>
              </w:rPr>
              <w:t xml:space="preserve"> </w:t>
            </w:r>
          </w:p>
          <w:p w14:paraId="1D6E493D" w14:textId="77777777" w:rsidR="005F2AC9" w:rsidRDefault="005F2AC9">
            <w:pPr>
              <w:spacing w:before="0" w:after="0" w:line="240" w:lineRule="auto"/>
              <w:rPr>
                <w:rFonts w:ascii="Times New Roman" w:eastAsia="Times New Roman" w:hAnsi="Times New Roman" w:cs="Times New Roman"/>
                <w:color w:val="000000" w:themeColor="text1"/>
                <w:highlight w:val="yellow"/>
              </w:rPr>
            </w:pPr>
          </w:p>
          <w:p w14:paraId="2AFC630B" w14:textId="77777777" w:rsidR="005F2AC9" w:rsidRDefault="005F2AC9">
            <w:pPr>
              <w:spacing w:before="0" w:after="0" w:line="240" w:lineRule="auto"/>
              <w:rPr>
                <w:rFonts w:ascii="Times New Roman" w:eastAsia="Times New Roman" w:hAnsi="Times New Roman" w:cs="Times New Roman"/>
                <w:color w:val="000000" w:themeColor="text1"/>
                <w:highlight w:val="yellow"/>
              </w:rPr>
            </w:pPr>
          </w:p>
          <w:p w14:paraId="2F706FD5" w14:textId="77777777" w:rsidR="005F2AC9" w:rsidRDefault="005F2AC9">
            <w:pPr>
              <w:spacing w:before="0" w:after="0" w:line="240" w:lineRule="auto"/>
              <w:rPr>
                <w:rFonts w:ascii="Times New Roman" w:eastAsia="Times New Roman" w:hAnsi="Times New Roman" w:cs="Times New Roman"/>
                <w:color w:val="000000" w:themeColor="text1"/>
                <w:highlight w:val="yellow"/>
              </w:rPr>
            </w:pPr>
          </w:p>
          <w:p w14:paraId="077EFD83" w14:textId="77777777" w:rsidR="005F2AC9" w:rsidRDefault="005F2AC9">
            <w:pPr>
              <w:spacing w:before="0" w:after="0" w:line="240" w:lineRule="auto"/>
              <w:rPr>
                <w:rFonts w:ascii="Times New Roman" w:eastAsia="Times New Roman" w:hAnsi="Times New Roman" w:cs="Times New Roman"/>
                <w:color w:val="000000" w:themeColor="text1"/>
                <w:highlight w:val="yellow"/>
              </w:rPr>
            </w:pPr>
          </w:p>
          <w:p w14:paraId="2DD02C1F"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highlight w:val="yellow"/>
              </w:rPr>
              <w:lastRenderedPageBreak/>
              <w:t xml:space="preserve"> </w:t>
            </w:r>
          </w:p>
          <w:p w14:paraId="263972D3"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highlight w:val="yellow"/>
              </w:rPr>
              <w:t xml:space="preserve"> </w:t>
            </w:r>
          </w:p>
          <w:p w14:paraId="04F6C469"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w:t>
            </w:r>
          </w:p>
        </w:tc>
        <w:tc>
          <w:tcPr>
            <w:tcW w:w="916"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09D9B160"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lastRenderedPageBreak/>
              <w:t>40%</w:t>
            </w:r>
          </w:p>
          <w:p w14:paraId="7F7654B3"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799C4EA6"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7C822306"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27868C9A"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6FCCA751"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193BB12F"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22091B23"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5262D6FE" w14:textId="77777777" w:rsidR="005F2AC9" w:rsidRDefault="005F2AC9">
            <w:pPr>
              <w:spacing w:before="0" w:after="0" w:line="240" w:lineRule="auto"/>
              <w:rPr>
                <w:rFonts w:ascii="Times New Roman" w:eastAsia="Times New Roman" w:hAnsi="Times New Roman" w:cs="Times New Roman"/>
                <w:color w:val="000000" w:themeColor="text1"/>
              </w:rPr>
            </w:pPr>
          </w:p>
          <w:p w14:paraId="34DEC0D7" w14:textId="77777777" w:rsidR="005F2AC9" w:rsidRDefault="005F2AC9">
            <w:pPr>
              <w:spacing w:before="0" w:after="0" w:line="240" w:lineRule="auto"/>
              <w:rPr>
                <w:rFonts w:ascii="Times New Roman" w:eastAsia="Times New Roman" w:hAnsi="Times New Roman" w:cs="Times New Roman"/>
                <w:color w:val="000000" w:themeColor="text1"/>
              </w:rPr>
            </w:pPr>
          </w:p>
          <w:p w14:paraId="6098C787" w14:textId="77777777" w:rsidR="005F2AC9" w:rsidRDefault="005F2AC9">
            <w:pPr>
              <w:spacing w:before="0" w:after="0" w:line="240" w:lineRule="auto"/>
              <w:rPr>
                <w:rFonts w:ascii="Times New Roman" w:eastAsia="Times New Roman" w:hAnsi="Times New Roman" w:cs="Times New Roman"/>
                <w:color w:val="000000" w:themeColor="text1"/>
              </w:rPr>
            </w:pPr>
          </w:p>
          <w:p w14:paraId="602B7490" w14:textId="77777777" w:rsidR="005F2AC9" w:rsidRDefault="005F2AC9">
            <w:pPr>
              <w:spacing w:before="0" w:after="0" w:line="240" w:lineRule="auto"/>
              <w:rPr>
                <w:rFonts w:ascii="Times New Roman" w:eastAsia="Times New Roman" w:hAnsi="Times New Roman" w:cs="Times New Roman"/>
                <w:color w:val="000000" w:themeColor="text1"/>
              </w:rPr>
            </w:pPr>
          </w:p>
          <w:p w14:paraId="7E238F13" w14:textId="77777777" w:rsidR="005F2AC9" w:rsidRDefault="005F2AC9">
            <w:pPr>
              <w:spacing w:before="0" w:after="0" w:line="240" w:lineRule="auto"/>
              <w:rPr>
                <w:rFonts w:ascii="Times New Roman" w:eastAsia="Times New Roman" w:hAnsi="Times New Roman" w:cs="Times New Roman"/>
                <w:color w:val="000000" w:themeColor="text1"/>
              </w:rPr>
            </w:pPr>
          </w:p>
          <w:p w14:paraId="3534D925" w14:textId="77777777" w:rsidR="005F2AC9" w:rsidRDefault="005F2AC9">
            <w:pPr>
              <w:spacing w:before="0" w:after="0" w:line="240" w:lineRule="auto"/>
              <w:rPr>
                <w:rFonts w:ascii="Times New Roman" w:eastAsia="Times New Roman" w:hAnsi="Times New Roman" w:cs="Times New Roman"/>
                <w:color w:val="000000" w:themeColor="text1"/>
              </w:rPr>
            </w:pPr>
          </w:p>
          <w:p w14:paraId="477B230D"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59FC95EB"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77,000</w:t>
            </w:r>
          </w:p>
          <w:p w14:paraId="4A103D4D"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6C0C8025"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369D0F17"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4258C4BD" w14:textId="77777777" w:rsidR="005F2AC9" w:rsidRDefault="005F2AC9">
            <w:pPr>
              <w:spacing w:before="0" w:after="0" w:line="240" w:lineRule="auto"/>
              <w:rPr>
                <w:rFonts w:ascii="Times New Roman" w:eastAsia="Times New Roman" w:hAnsi="Times New Roman" w:cs="Times New Roman"/>
                <w:color w:val="000000" w:themeColor="text1"/>
              </w:rPr>
            </w:pPr>
          </w:p>
          <w:p w14:paraId="62806944" w14:textId="77777777" w:rsidR="005F2AC9" w:rsidRDefault="005F2AC9">
            <w:pPr>
              <w:spacing w:before="0" w:after="0" w:line="240" w:lineRule="auto"/>
              <w:rPr>
                <w:rFonts w:ascii="Times New Roman" w:eastAsia="Times New Roman" w:hAnsi="Times New Roman" w:cs="Times New Roman"/>
                <w:color w:val="000000" w:themeColor="text1"/>
              </w:rPr>
            </w:pPr>
          </w:p>
          <w:p w14:paraId="7353310A" w14:textId="77777777" w:rsidR="005F2AC9" w:rsidRDefault="005F2AC9">
            <w:pPr>
              <w:spacing w:before="0" w:after="0" w:line="240" w:lineRule="auto"/>
              <w:rPr>
                <w:rFonts w:ascii="Times New Roman" w:eastAsia="Times New Roman" w:hAnsi="Times New Roman" w:cs="Times New Roman"/>
                <w:color w:val="000000" w:themeColor="text1"/>
              </w:rPr>
            </w:pPr>
          </w:p>
          <w:p w14:paraId="598D3695" w14:textId="77777777" w:rsidR="005F2AC9" w:rsidRDefault="005F2AC9">
            <w:pPr>
              <w:spacing w:before="0" w:after="0" w:line="240" w:lineRule="auto"/>
              <w:rPr>
                <w:rFonts w:ascii="Times New Roman" w:eastAsia="Times New Roman" w:hAnsi="Times New Roman" w:cs="Times New Roman"/>
                <w:color w:val="000000" w:themeColor="text1"/>
              </w:rPr>
            </w:pPr>
          </w:p>
          <w:p w14:paraId="1973C5FA" w14:textId="77777777" w:rsidR="005F2AC9" w:rsidRDefault="005F2AC9">
            <w:pPr>
              <w:spacing w:before="0" w:after="0" w:line="240" w:lineRule="auto"/>
              <w:rPr>
                <w:rFonts w:ascii="Times New Roman" w:eastAsia="Times New Roman" w:hAnsi="Times New Roman" w:cs="Times New Roman"/>
                <w:color w:val="000000" w:themeColor="text1"/>
              </w:rPr>
            </w:pPr>
          </w:p>
          <w:p w14:paraId="097EC51E"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19,000</w:t>
            </w:r>
          </w:p>
          <w:p w14:paraId="5F5CB357"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0258E73A"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27AB4EA6"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71F50115" w14:textId="77777777" w:rsidR="005F2AC9" w:rsidRDefault="005F2AC9">
            <w:pPr>
              <w:spacing w:before="0" w:after="0" w:line="240" w:lineRule="auto"/>
              <w:rPr>
                <w:rFonts w:ascii="Times New Roman" w:eastAsia="Times New Roman" w:hAnsi="Times New Roman" w:cs="Times New Roman"/>
                <w:color w:val="000000" w:themeColor="text1"/>
              </w:rPr>
            </w:pPr>
          </w:p>
          <w:p w14:paraId="5F377E1C" w14:textId="77777777" w:rsidR="005F2AC9" w:rsidRDefault="005F2AC9">
            <w:pPr>
              <w:spacing w:before="0" w:after="0" w:line="240" w:lineRule="auto"/>
              <w:rPr>
                <w:rFonts w:ascii="Times New Roman" w:eastAsia="Times New Roman" w:hAnsi="Times New Roman" w:cs="Times New Roman"/>
                <w:color w:val="000000" w:themeColor="text1"/>
              </w:rPr>
            </w:pPr>
          </w:p>
          <w:p w14:paraId="6EEDDF32" w14:textId="77777777" w:rsidR="005F2AC9" w:rsidRDefault="005F2AC9">
            <w:pPr>
              <w:spacing w:before="0" w:after="0" w:line="240" w:lineRule="auto"/>
              <w:rPr>
                <w:rFonts w:ascii="Times New Roman" w:eastAsia="Times New Roman" w:hAnsi="Times New Roman" w:cs="Times New Roman"/>
                <w:color w:val="000000" w:themeColor="text1"/>
              </w:rPr>
            </w:pPr>
          </w:p>
          <w:p w14:paraId="36987800"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12407524"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74,500</w:t>
            </w:r>
          </w:p>
        </w:tc>
        <w:tc>
          <w:tcPr>
            <w:tcW w:w="1360"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4DDA9116"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lastRenderedPageBreak/>
              <w:t>SHSSH/ të dhëna administrative</w:t>
            </w:r>
          </w:p>
          <w:p w14:paraId="54FCDCDF"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03B235BA"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66C3C475"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7F54BCED" w14:textId="77777777" w:rsidR="005F2AC9" w:rsidRDefault="005F2AC9">
            <w:pPr>
              <w:spacing w:before="0" w:after="0" w:line="240" w:lineRule="auto"/>
              <w:rPr>
                <w:rFonts w:ascii="Times New Roman" w:eastAsia="Times New Roman" w:hAnsi="Times New Roman" w:cs="Times New Roman"/>
                <w:color w:val="000000" w:themeColor="text1"/>
              </w:rPr>
            </w:pPr>
          </w:p>
          <w:p w14:paraId="70E0DD09" w14:textId="77777777" w:rsidR="005F2AC9" w:rsidRDefault="005F2AC9">
            <w:pPr>
              <w:spacing w:before="0" w:after="0" w:line="240" w:lineRule="auto"/>
              <w:rPr>
                <w:rFonts w:ascii="Times New Roman" w:eastAsia="Times New Roman" w:hAnsi="Times New Roman" w:cs="Times New Roman"/>
                <w:color w:val="000000" w:themeColor="text1"/>
              </w:rPr>
            </w:pPr>
          </w:p>
          <w:p w14:paraId="7D8C95BB" w14:textId="77777777" w:rsidR="005F2AC9" w:rsidRDefault="005F2AC9">
            <w:pPr>
              <w:spacing w:before="0" w:after="0" w:line="240" w:lineRule="auto"/>
              <w:rPr>
                <w:rFonts w:ascii="Times New Roman" w:eastAsia="Times New Roman" w:hAnsi="Times New Roman" w:cs="Times New Roman"/>
                <w:color w:val="000000" w:themeColor="text1"/>
              </w:rPr>
            </w:pPr>
          </w:p>
          <w:p w14:paraId="155923B1" w14:textId="77777777" w:rsidR="005F2AC9" w:rsidRDefault="005F2AC9">
            <w:pPr>
              <w:spacing w:before="0" w:after="0" w:line="240" w:lineRule="auto"/>
              <w:rPr>
                <w:rFonts w:ascii="Times New Roman" w:eastAsia="Times New Roman" w:hAnsi="Times New Roman" w:cs="Times New Roman"/>
                <w:color w:val="000000" w:themeColor="text1"/>
              </w:rPr>
            </w:pPr>
          </w:p>
          <w:p w14:paraId="17BB016A" w14:textId="77777777" w:rsidR="005F2AC9" w:rsidRDefault="005F2AC9">
            <w:pPr>
              <w:spacing w:before="0" w:after="0" w:line="240" w:lineRule="auto"/>
              <w:rPr>
                <w:rFonts w:ascii="Times New Roman" w:eastAsia="Times New Roman" w:hAnsi="Times New Roman" w:cs="Times New Roman"/>
                <w:color w:val="000000" w:themeColor="text1"/>
              </w:rPr>
            </w:pPr>
          </w:p>
          <w:p w14:paraId="7C31F740" w14:textId="77777777" w:rsidR="005F2AC9" w:rsidRDefault="005F2AC9">
            <w:pPr>
              <w:spacing w:before="0" w:after="0" w:line="240" w:lineRule="auto"/>
              <w:rPr>
                <w:rFonts w:ascii="Times New Roman" w:eastAsia="Times New Roman" w:hAnsi="Times New Roman" w:cs="Times New Roman"/>
                <w:color w:val="000000" w:themeColor="text1"/>
              </w:rPr>
            </w:pPr>
          </w:p>
          <w:p w14:paraId="23E757D9" w14:textId="77777777" w:rsidR="005F2AC9" w:rsidRDefault="005F2AC9">
            <w:pPr>
              <w:spacing w:before="0" w:after="0" w:line="240" w:lineRule="auto"/>
              <w:rPr>
                <w:rFonts w:ascii="Times New Roman" w:eastAsia="Times New Roman" w:hAnsi="Times New Roman" w:cs="Times New Roman"/>
                <w:color w:val="000000" w:themeColor="text1"/>
              </w:rPr>
            </w:pPr>
          </w:p>
          <w:p w14:paraId="7D21F493"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1AB095F4"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SHSSH/ të dhëna administrative</w:t>
            </w:r>
          </w:p>
          <w:p w14:paraId="03757082"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4B69EDEA" w14:textId="77777777" w:rsidR="005F2AC9" w:rsidRDefault="005F2AC9">
            <w:pPr>
              <w:spacing w:before="0" w:after="0" w:line="240" w:lineRule="auto"/>
              <w:rPr>
                <w:rFonts w:ascii="Times New Roman" w:eastAsia="Times New Roman" w:hAnsi="Times New Roman" w:cs="Times New Roman"/>
                <w:color w:val="000000" w:themeColor="text1"/>
              </w:rPr>
            </w:pPr>
          </w:p>
          <w:p w14:paraId="39D8F6CF" w14:textId="77777777" w:rsidR="005F2AC9" w:rsidRDefault="005F2AC9">
            <w:pPr>
              <w:spacing w:before="0" w:after="0" w:line="240" w:lineRule="auto"/>
              <w:rPr>
                <w:rFonts w:ascii="Times New Roman" w:eastAsia="Times New Roman" w:hAnsi="Times New Roman" w:cs="Times New Roman"/>
                <w:color w:val="000000" w:themeColor="text1"/>
              </w:rPr>
            </w:pPr>
          </w:p>
          <w:p w14:paraId="53814401" w14:textId="77777777" w:rsidR="005F2AC9" w:rsidRDefault="005F2AC9">
            <w:pPr>
              <w:spacing w:before="0" w:after="0" w:line="240" w:lineRule="auto"/>
              <w:rPr>
                <w:rFonts w:ascii="Times New Roman" w:eastAsia="Times New Roman" w:hAnsi="Times New Roman" w:cs="Times New Roman"/>
                <w:color w:val="000000" w:themeColor="text1"/>
              </w:rPr>
            </w:pPr>
          </w:p>
          <w:p w14:paraId="211ACE48" w14:textId="77777777" w:rsidR="005F2AC9" w:rsidRDefault="005F2AC9">
            <w:pPr>
              <w:spacing w:before="0" w:after="0" w:line="240" w:lineRule="auto"/>
              <w:rPr>
                <w:rFonts w:ascii="Times New Roman" w:eastAsia="Times New Roman" w:hAnsi="Times New Roman" w:cs="Times New Roman"/>
                <w:color w:val="000000" w:themeColor="text1"/>
              </w:rPr>
            </w:pPr>
          </w:p>
          <w:p w14:paraId="1C68538F"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SHSSH/ të dhëna administrative</w:t>
            </w:r>
          </w:p>
          <w:p w14:paraId="695A5FA7" w14:textId="77777777" w:rsidR="005F2AC9" w:rsidRDefault="005F2AC9">
            <w:pPr>
              <w:spacing w:before="0" w:after="0" w:line="240" w:lineRule="auto"/>
              <w:rPr>
                <w:rFonts w:ascii="Times New Roman" w:eastAsia="Times New Roman" w:hAnsi="Times New Roman" w:cs="Times New Roman"/>
                <w:color w:val="000000" w:themeColor="text1"/>
              </w:rPr>
            </w:pPr>
          </w:p>
          <w:p w14:paraId="4B14672E" w14:textId="77777777" w:rsidR="005F2AC9" w:rsidRDefault="005F2AC9">
            <w:pPr>
              <w:spacing w:before="0" w:after="0" w:line="240" w:lineRule="auto"/>
              <w:rPr>
                <w:rFonts w:ascii="Times New Roman" w:eastAsia="Times New Roman" w:hAnsi="Times New Roman" w:cs="Times New Roman"/>
                <w:color w:val="000000" w:themeColor="text1"/>
              </w:rPr>
            </w:pPr>
          </w:p>
          <w:p w14:paraId="68C71D8F" w14:textId="77777777" w:rsidR="005F2AC9" w:rsidRDefault="005F2AC9">
            <w:pPr>
              <w:spacing w:before="0" w:after="0" w:line="240" w:lineRule="auto"/>
              <w:rPr>
                <w:rFonts w:ascii="Times New Roman" w:eastAsia="Times New Roman" w:hAnsi="Times New Roman" w:cs="Times New Roman"/>
                <w:color w:val="000000" w:themeColor="text1"/>
              </w:rPr>
            </w:pPr>
          </w:p>
          <w:p w14:paraId="39C5EC96"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79121712"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SHSSH/ të dhëna administrative</w:t>
            </w:r>
          </w:p>
          <w:p w14:paraId="460C12E9"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583E5AC5" w14:textId="77777777" w:rsidR="005F2AC9" w:rsidRDefault="005F2AC9">
            <w:pPr>
              <w:spacing w:before="0" w:after="0" w:line="240" w:lineRule="auto"/>
              <w:rPr>
                <w:rFonts w:ascii="Times New Roman" w:eastAsia="Times New Roman" w:hAnsi="Times New Roman" w:cs="Times New Roman"/>
                <w:color w:val="000000" w:themeColor="text1"/>
              </w:rPr>
            </w:pPr>
          </w:p>
        </w:tc>
        <w:tc>
          <w:tcPr>
            <w:tcW w:w="1146"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6B2D2782" w14:textId="77777777" w:rsidR="005F2AC9" w:rsidRDefault="005F2AC9">
            <w:pPr>
              <w:spacing w:before="0" w:after="0" w:line="240" w:lineRule="auto"/>
              <w:rPr>
                <w:rFonts w:ascii="Times New Roman" w:eastAsia="Times New Roman" w:hAnsi="Times New Roman" w:cs="Times New Roman"/>
                <w:color w:val="000000" w:themeColor="text1"/>
              </w:rPr>
            </w:pPr>
          </w:p>
        </w:tc>
      </w:tr>
      <w:tr w:rsidR="005F2AC9" w14:paraId="4720AD99" w14:textId="77777777">
        <w:trPr>
          <w:trHeight w:val="300"/>
        </w:trPr>
        <w:tc>
          <w:tcPr>
            <w:tcW w:w="1076" w:type="dxa"/>
            <w:vMerge/>
            <w:tcBorders>
              <w:top w:val="single" w:sz="6" w:space="0" w:color="000000"/>
              <w:left w:val="single" w:sz="6" w:space="0" w:color="000000"/>
              <w:bottom w:val="single" w:sz="6" w:space="0" w:color="000000"/>
              <w:right w:val="single" w:sz="6" w:space="0" w:color="000000"/>
            </w:tcBorders>
            <w:shd w:val="clear" w:color="auto" w:fill="FFF2CC"/>
            <w:vAlign w:val="center"/>
          </w:tcPr>
          <w:p w14:paraId="59CD0559" w14:textId="77777777" w:rsidR="005F2AC9" w:rsidRDefault="005F2AC9">
            <w:pPr>
              <w:spacing w:before="0" w:after="0" w:line="240" w:lineRule="auto"/>
              <w:rPr>
                <w:color w:val="000000" w:themeColor="text1"/>
              </w:rPr>
            </w:pPr>
          </w:p>
        </w:tc>
        <w:tc>
          <w:tcPr>
            <w:tcW w:w="1466"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29531E52"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A2.2. Forcimi i bashkëpunimit dhe mbështetjes së vijueshme për zbatimin efektiv të Fondit Social të Punësimit për personat me Aftësi të Kufizuara dhe programeve të tjera të punësimit.</w:t>
            </w:r>
          </w:p>
        </w:tc>
        <w:tc>
          <w:tcPr>
            <w:tcW w:w="1342"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74BEF458"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Numri i personave me AK që përfitojnë nga skema e Fondit Social të Punësimit (sipas moshës </w:t>
            </w:r>
            <w:proofErr w:type="gramStart"/>
            <w:r>
              <w:rPr>
                <w:rFonts w:ascii="Times New Roman" w:eastAsia="Times New Roman" w:hAnsi="Times New Roman" w:cs="Times New Roman"/>
                <w:color w:val="000000" w:themeColor="text1"/>
              </w:rPr>
              <w:t>dhe  gjinisë</w:t>
            </w:r>
            <w:proofErr w:type="gramEnd"/>
            <w:r>
              <w:rPr>
                <w:rFonts w:ascii="Times New Roman" w:eastAsia="Times New Roman" w:hAnsi="Times New Roman" w:cs="Times New Roman"/>
                <w:color w:val="000000" w:themeColor="text1"/>
              </w:rPr>
              <w:t xml:space="preserve">). </w:t>
            </w:r>
          </w:p>
          <w:p w14:paraId="5CB0DBE3"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07F0807D"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Numri i personave me AK që përftojnë nga shërbimet sociale të integruara </w:t>
            </w:r>
          </w:p>
          <w:p w14:paraId="307DF9E7"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6BE8D920"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tc>
        <w:tc>
          <w:tcPr>
            <w:tcW w:w="918"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5EDE8208"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N/A </w:t>
            </w:r>
          </w:p>
          <w:p w14:paraId="192F4BD8"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467D5644"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51633C67"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6711231E"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177D1EBA"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36107D78"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31AA2B67"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684FDAD8"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5A8B74CC"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330C9844"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053A4099"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2,503</w:t>
            </w:r>
          </w:p>
          <w:p w14:paraId="26CCE388"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1D41A9DB"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7B1DFB0A"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4834AF96"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tc>
        <w:tc>
          <w:tcPr>
            <w:tcW w:w="894"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2840D833"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N/A</w:t>
            </w:r>
          </w:p>
          <w:p w14:paraId="5AB2D3AC"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196F61B3"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6103DF4D"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6C9A6D8E"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7B69BF97"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22E81059"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3BC7EFFD"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004E8598"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5F67D309"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2D17F0AA"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0A787D4E"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1,792</w:t>
            </w:r>
          </w:p>
        </w:tc>
        <w:tc>
          <w:tcPr>
            <w:tcW w:w="916"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4B6BE11E"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700</w:t>
            </w:r>
          </w:p>
          <w:p w14:paraId="04A81631"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3F68048E"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1483A29E"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19023183"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04322537"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12CA726B"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7B9438A0"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004D5674"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31FA4B3A"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6A24B48E"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1D2F9490"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3,667</w:t>
            </w:r>
          </w:p>
          <w:p w14:paraId="45631E25"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tc>
        <w:tc>
          <w:tcPr>
            <w:tcW w:w="1360"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06885660"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SHSSH/ të dhëna administrative</w:t>
            </w:r>
          </w:p>
          <w:p w14:paraId="376647B0"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69D90839" w14:textId="77777777" w:rsidR="005F2AC9" w:rsidRDefault="005F2AC9">
            <w:pPr>
              <w:spacing w:before="0" w:after="0" w:line="240" w:lineRule="auto"/>
              <w:rPr>
                <w:rFonts w:ascii="Times New Roman" w:eastAsia="Times New Roman" w:hAnsi="Times New Roman" w:cs="Times New Roman"/>
                <w:color w:val="000000" w:themeColor="text1"/>
              </w:rPr>
            </w:pPr>
          </w:p>
          <w:p w14:paraId="461D5204" w14:textId="77777777" w:rsidR="005F2AC9" w:rsidRDefault="005F2AC9">
            <w:pPr>
              <w:spacing w:before="0" w:after="0" w:line="240" w:lineRule="auto"/>
              <w:rPr>
                <w:rFonts w:ascii="Times New Roman" w:eastAsia="Times New Roman" w:hAnsi="Times New Roman" w:cs="Times New Roman"/>
                <w:color w:val="000000" w:themeColor="text1"/>
              </w:rPr>
            </w:pPr>
          </w:p>
          <w:p w14:paraId="6DE03F17" w14:textId="77777777" w:rsidR="005F2AC9" w:rsidRDefault="005F2AC9">
            <w:pPr>
              <w:spacing w:before="0" w:after="0" w:line="240" w:lineRule="auto"/>
              <w:rPr>
                <w:rFonts w:ascii="Times New Roman" w:eastAsia="Times New Roman" w:hAnsi="Times New Roman" w:cs="Times New Roman"/>
                <w:color w:val="000000" w:themeColor="text1"/>
              </w:rPr>
            </w:pPr>
          </w:p>
          <w:p w14:paraId="4EE134D0" w14:textId="77777777" w:rsidR="005F2AC9" w:rsidRDefault="005F2AC9">
            <w:pPr>
              <w:spacing w:before="0" w:after="0" w:line="240" w:lineRule="auto"/>
              <w:rPr>
                <w:rFonts w:ascii="Times New Roman" w:eastAsia="Times New Roman" w:hAnsi="Times New Roman" w:cs="Times New Roman"/>
                <w:color w:val="000000" w:themeColor="text1"/>
              </w:rPr>
            </w:pPr>
          </w:p>
          <w:p w14:paraId="30B3F94A"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036F4AAD"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SHSSH/ të dhëna administrative</w:t>
            </w:r>
          </w:p>
        </w:tc>
        <w:tc>
          <w:tcPr>
            <w:tcW w:w="1146"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5F908A90" w14:textId="77777777" w:rsidR="005F2AC9" w:rsidRDefault="005F2AC9">
            <w:pPr>
              <w:spacing w:before="0" w:after="0" w:line="240" w:lineRule="auto"/>
              <w:rPr>
                <w:rFonts w:ascii="Times New Roman" w:eastAsia="Times New Roman" w:hAnsi="Times New Roman" w:cs="Times New Roman"/>
                <w:color w:val="000000" w:themeColor="text1"/>
              </w:rPr>
            </w:pPr>
          </w:p>
        </w:tc>
      </w:tr>
    </w:tbl>
    <w:p w14:paraId="4BB0A704" w14:textId="77777777" w:rsidR="005F2AC9" w:rsidRDefault="005F2AC9">
      <w:pPr>
        <w:spacing w:after="0"/>
        <w:jc w:val="both"/>
        <w:rPr>
          <w:rFonts w:ascii="Times New Roman" w:hAnsi="Times New Roman"/>
          <w:i/>
          <w:iCs/>
          <w:color w:val="000000" w:themeColor="text1"/>
          <w:sz w:val="24"/>
          <w:szCs w:val="24"/>
          <w:lang w:val="sq-AL"/>
        </w:rPr>
      </w:pPr>
    </w:p>
    <w:p w14:paraId="53041586" w14:textId="77777777" w:rsidR="005F2AC9" w:rsidRDefault="00B56839">
      <w:pPr>
        <w:spacing w:after="0"/>
        <w:jc w:val="both"/>
        <w:rPr>
          <w:rFonts w:ascii="Times New Roman" w:hAnsi="Times New Roman"/>
          <w:color w:val="000000" w:themeColor="text1"/>
          <w:sz w:val="24"/>
          <w:szCs w:val="24"/>
          <w:lang w:val="sq-AL"/>
        </w:rPr>
      </w:pPr>
      <w:r>
        <w:rPr>
          <w:rFonts w:ascii="Times New Roman" w:hAnsi="Times New Roman"/>
          <w:color w:val="000000" w:themeColor="text1"/>
          <w:sz w:val="24"/>
          <w:szCs w:val="24"/>
          <w:lang w:val="sq-AL"/>
        </w:rPr>
        <w:t xml:space="preserve">Personat me aftësi të kufizuar janë në qendër të politikave dhe programeve të ndërmarra nga qeveria me qëllim garantimin dhe respektimin e të drejtave të tyre, mbështetjen, rehabilitimin dhe integrimin e tyre në jetën shoqërore. Në kuadër të këtij objektivi strategjik, gjatë vitit 2025 ka vijuar zbatimi dhe monitorimi i reformës në sistemin e vlerësimit të aftësisë së kufizuar, duke kaluar nga modeli mjekësor i vlerësimit drejt modelit bio-psiko-social, i cili bazohet në standarte ndërkombëtare të OBSH-së, ICF-së dhe në Konventën e OKB-së për të Drejtat e PAK, të ratifikuar nga shteti Shqiptar, e cila mundëson vlerësimin e aftësisë së kufizuar me qasje respektimin e të drejtave të njeriut. </w:t>
      </w:r>
    </w:p>
    <w:p w14:paraId="5EBAA40C" w14:textId="77777777" w:rsidR="005F2AC9" w:rsidRDefault="00B56839">
      <w:pPr>
        <w:spacing w:after="0"/>
        <w:jc w:val="both"/>
        <w:rPr>
          <w:rFonts w:ascii="Times New Roman" w:hAnsi="Times New Roman"/>
          <w:color w:val="000000" w:themeColor="text1"/>
          <w:sz w:val="24"/>
          <w:szCs w:val="24"/>
          <w:lang w:val="sq-AL"/>
        </w:rPr>
      </w:pPr>
      <w:r>
        <w:rPr>
          <w:rFonts w:ascii="Times New Roman" w:hAnsi="Times New Roman"/>
          <w:color w:val="000000" w:themeColor="text1"/>
          <w:sz w:val="24"/>
          <w:szCs w:val="24"/>
          <w:lang w:val="sq-AL"/>
        </w:rPr>
        <w:t xml:space="preserve">Reforma e vlerësimit bio-psiko-social të aftësisë së kufizuar është konceptuar që në nënshkrimin e marrëveshjes ndërmjet Shqipërisë dhe Bankës Botërore për Rindërtim dhe Zhvillim (IBRD) për financimin e projektit të reformimit të asistencës sociale ratifikuar me Ligjin Nr. 84/2012, datë 18.09.2012, “Për ratifikimin e marrëveshjes ndërmjet Shqipërisë dhe Bankës Botërore për Rindërtim dhe Zhvillim (IBRD) për financimin e projektit të modernizimit të asistencës sociale” dhe ka vijuar të mbështetet në kuadër të ligjit nr. 53/2018, datë 23.7.2018, “Për ratifikimin e marrëveshjes së huas ndërmjet Republikës së Shqipërisë dhe Bankës </w:t>
      </w:r>
      <w:r>
        <w:rPr>
          <w:rFonts w:ascii="Times New Roman" w:hAnsi="Times New Roman"/>
          <w:color w:val="000000" w:themeColor="text1"/>
          <w:sz w:val="24"/>
          <w:szCs w:val="24"/>
          <w:lang w:val="sq-AL"/>
        </w:rPr>
        <w:lastRenderedPageBreak/>
        <w:t xml:space="preserve">Ndërkombëtare për Rindërtim dhe Zhvillim, për shtesën e financimit për projektin “Modernizimi i asistencës sociale”. </w:t>
      </w:r>
    </w:p>
    <w:p w14:paraId="39344F8E" w14:textId="77777777" w:rsidR="005F2AC9" w:rsidRDefault="00B56839">
      <w:pPr>
        <w:spacing w:after="0"/>
        <w:jc w:val="both"/>
        <w:rPr>
          <w:rFonts w:ascii="Times New Roman" w:hAnsi="Times New Roman"/>
          <w:color w:val="000000" w:themeColor="text1"/>
          <w:sz w:val="24"/>
          <w:szCs w:val="24"/>
          <w:lang w:val="sq-AL"/>
        </w:rPr>
      </w:pPr>
      <w:r>
        <w:rPr>
          <w:rFonts w:ascii="Times New Roman" w:hAnsi="Times New Roman"/>
          <w:color w:val="000000" w:themeColor="text1"/>
          <w:sz w:val="24"/>
          <w:szCs w:val="24"/>
          <w:lang w:val="sq-AL"/>
        </w:rPr>
        <w:t>Përmirësimi i sistemit të vlerësimit të personave me aftësi të kufizuara si pjesë e programit të Mbrojtjes Sociale është konsideruar si një domosdoshmëri prej disa vitesh, për shkak se modeli i mëparshëm i vlerësimit ishte tërësisht i bazuar në kritere mjekësore dhe nuk merrte në konsideratë nevojat e individit për tu përfshirë në jetën sociale. Sistemi i reformuar i vlerësimit bio-psiko-social, merr në konsideratë jo vetëm gjendjen shëndetësore, por edhe faktorë të tjerë psiko-socialë në vlerësimin e nevojave të individit dhe ndërvepron me skema të tjera integruese si punësimi, shërbimet sociale rehabilituese dhe arsimi. Ky sistem vlerësimi realizohet nëpërmjet përdorimit të Regjistrit Kombëtar Elektronik për Personat me Aftësi të Kufizuar.</w:t>
      </w:r>
    </w:p>
    <w:p w14:paraId="26DCC358" w14:textId="77777777" w:rsidR="005F2AC9" w:rsidRDefault="00B56839">
      <w:pPr>
        <w:spacing w:after="0"/>
        <w:jc w:val="both"/>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color w:val="000000" w:themeColor="text1"/>
          <w:sz w:val="24"/>
          <w:szCs w:val="24"/>
          <w:lang w:val="sq-AL"/>
        </w:rPr>
        <w:t xml:space="preserve">Gjatë vitit 2025, janë mbështetur nga programi i aftësisë së kufizuar 97,685 persona, nga të cilët 57,030 PAK, 15,303 të verbër, 5,710 paraplegjikë e tetraplegjikë dhe 19,642 ndihmës personal. </w:t>
      </w:r>
    </w:p>
    <w:p w14:paraId="7E3EC8C1" w14:textId="77777777" w:rsidR="005F2AC9" w:rsidRDefault="00B56839">
      <w:pPr>
        <w:spacing w:after="0"/>
        <w:jc w:val="both"/>
        <w:rPr>
          <w:rFonts w:ascii="Times New Roman" w:eastAsia="Times New Roman" w:hAnsi="Times New Roman" w:cs="Times New Roman"/>
          <w:color w:val="000000" w:themeColor="text1"/>
          <w:sz w:val="24"/>
          <w:szCs w:val="24"/>
          <w:lang w:val="it-IT"/>
        </w:rPr>
      </w:pPr>
      <w:r>
        <w:rPr>
          <w:rFonts w:ascii="Times New Roman" w:eastAsia="Times New Roman" w:hAnsi="Times New Roman" w:cs="Times New Roman"/>
          <w:color w:val="000000" w:themeColor="text1"/>
          <w:sz w:val="24"/>
          <w:szCs w:val="24"/>
          <w:lang w:val="sq-AL"/>
        </w:rPr>
        <w:t>Pagesat e aftësisë së kufizuar dhe të ndihmësit personal janë indeksuar sipas përcaktimeve të legjislacionit në fuqi. Po ashtu edhe masa e përfitimit për mbulimin e shpenzimeve për paketën higjieno-sanitare për paraplegjikët dhe tetraplegjikët,</w:t>
      </w:r>
      <w:r>
        <w:rPr>
          <w:rFonts w:ascii="Calibri" w:eastAsia="Calibri" w:hAnsi="Calibri" w:cs="Calibri"/>
          <w:color w:val="000000" w:themeColor="text1"/>
          <w:sz w:val="22"/>
          <w:szCs w:val="22"/>
          <w:lang w:val="da-DK"/>
        </w:rPr>
        <w:t xml:space="preserve"> </w:t>
      </w:r>
      <w:r>
        <w:rPr>
          <w:rFonts w:ascii="Times New Roman" w:eastAsia="Times New Roman" w:hAnsi="Times New Roman" w:cs="Times New Roman"/>
          <w:color w:val="000000" w:themeColor="text1"/>
          <w:sz w:val="24"/>
          <w:szCs w:val="24"/>
          <w:lang w:val="da-DK"/>
        </w:rPr>
        <w:t>indeksohet me 2,4% në bazë të indeksit të çmimeve të konsumit sipas INSTAT.</w:t>
      </w:r>
    </w:p>
    <w:p w14:paraId="49A88062" w14:textId="77777777" w:rsidR="005F2AC9" w:rsidRDefault="00B56839">
      <w:pPr>
        <w:spacing w:after="0"/>
        <w:jc w:val="both"/>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color w:val="000000" w:themeColor="text1"/>
          <w:sz w:val="24"/>
          <w:szCs w:val="24"/>
          <w:lang w:val="it-IT"/>
        </w:rPr>
        <w:t>Përfituan mbështetje financiare në masën 15,000 lekë të gjithë p</w:t>
      </w:r>
      <w:r>
        <w:rPr>
          <w:rFonts w:ascii="Times New Roman" w:eastAsia="Times New Roman" w:hAnsi="Times New Roman" w:cs="Times New Roman"/>
          <w:color w:val="000000" w:themeColor="text1"/>
          <w:sz w:val="24"/>
          <w:szCs w:val="24"/>
          <w:lang w:val="sq-AL"/>
        </w:rPr>
        <w:t>ersonat me aftësi të kufizuara, të verbrit, paraplegjikët dhe tetraplegjikët, si edhe ndihmësit personal të tyre.</w:t>
      </w:r>
    </w:p>
    <w:p w14:paraId="60521B92" w14:textId="22C7BF53" w:rsidR="005F2AC9" w:rsidRDefault="00B56839">
      <w:pPr>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Për rritjen e kapaciteteve të stafeve të komisioneve të vlerësimit, gjatë muajit Prill 2025, janë zhvilluar trajnime për punonjësit në nivel rajonal dhe lokal (administratorët </w:t>
      </w:r>
      <w:r w:rsidR="000D3687">
        <w:rPr>
          <w:rFonts w:ascii="Times New Roman" w:eastAsia="Times New Roman" w:hAnsi="Times New Roman" w:cs="Times New Roman"/>
          <w:color w:val="000000" w:themeColor="text1"/>
          <w:sz w:val="24"/>
          <w:szCs w:val="24"/>
        </w:rPr>
        <w:t>social</w:t>
      </w:r>
      <w:r>
        <w:rPr>
          <w:rFonts w:ascii="Times New Roman" w:eastAsia="Times New Roman" w:hAnsi="Times New Roman" w:cs="Times New Roman"/>
          <w:color w:val="000000" w:themeColor="text1"/>
          <w:sz w:val="24"/>
          <w:szCs w:val="24"/>
        </w:rPr>
        <w:t>) me tematikë "Rritja e kapaciteteve të personelit shëndetësor dhe psikosocial të vlerësimit të aftësisë së kufizuar", duke përfshire edhe ngritjen e kapaciteteve për referimin, ndjekjen, menaxhimin dhe mbështetjen me shërbime të personave me aftësi të kufizuar.</w:t>
      </w:r>
    </w:p>
    <w:p w14:paraId="48F8A66D" w14:textId="77777777" w:rsidR="005F2AC9" w:rsidRDefault="00B56839">
      <w:pPr>
        <w:spacing w:after="0"/>
        <w:jc w:val="both"/>
        <w:rPr>
          <w:rFonts w:ascii="Times New Roman" w:hAnsi="Times New Roman"/>
          <w:color w:val="000000" w:themeColor="text1"/>
          <w:sz w:val="24"/>
          <w:szCs w:val="24"/>
          <w:lang w:val="sq-AL"/>
        </w:rPr>
      </w:pPr>
      <w:r>
        <w:rPr>
          <w:rFonts w:ascii="Times New Roman" w:hAnsi="Times New Roman"/>
          <w:color w:val="000000" w:themeColor="text1"/>
          <w:sz w:val="24"/>
          <w:szCs w:val="24"/>
          <w:lang w:val="sq-AL"/>
        </w:rPr>
        <w:t xml:space="preserve">U miratuan me Udhëzim  nr. 20, datë 17.01.2025 të MSHMS kriteret e vlerësimit bio-psiko-social të aftësisë së kufizuar tek të rriturit dhe fëmijët dhe metodologjia e rishikimit të tyre. Kriteret e rishikuara përfshijnë ndërhyrje në kapitujt e diagnozave Neurologjike, Onkologjike, Gastro-hepatologjike, Rheumatologjike, Okulistike, Endokrine dhe Ortopedike. </w:t>
      </w:r>
    </w:p>
    <w:p w14:paraId="06157D24" w14:textId="77777777" w:rsidR="005F2AC9" w:rsidRDefault="00B56839">
      <w:pPr>
        <w:spacing w:after="0"/>
        <w:jc w:val="both"/>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 xml:space="preserve">Identifikimi i nevojave individuale të personave me aftësi të kufizuar bëhet rast pas rasti nga komisionet e vlerësimit bio-psiko-social, duke përfshirë edhe nevojat për mbështetje me shërbime të arsimit, punësimit, aftësimit profesional dhe ato psiko-sociale. Forcimi i bashkëpunimit me strukturat e shërbimeve psiko-sociale, integruese dhe rehabilituese, koordinon përpjekjet për të garantuar një rrjet mbështetjeje për personat me aftësi të kufizuara. Në këtë kuadër po zbatohen marrëveshjet e bashkëpunimit, të cilat janë firmosur nga SHSSH me 12 Drejtoritë Rajonale të Punësimit dhe me 61 Bashkitë e vendit. </w:t>
      </w:r>
    </w:p>
    <w:p w14:paraId="016E83E1" w14:textId="77777777" w:rsidR="005F2AC9" w:rsidRDefault="00B56839">
      <w:pPr>
        <w:spacing w:after="0"/>
        <w:jc w:val="both"/>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 xml:space="preserve">Për vitin 2025, rezultojnë të referuar pranë shërbimeve sociale 13,768 PAK, nga të cilët kanë përfituar shërbime 1,792 PAK (13%). Në shërbime arsimi  janë referuar 1,284 PAK, nga të cilët kanë përfituar 545 PAK ose 42,4% e tyre (arsim special/mësues mbështetës). Nga 12 Komisonet Rajonale të ngritura për zbatimin e mekanizmit të referimit për punësim dhe </w:t>
      </w:r>
      <w:r>
        <w:rPr>
          <w:rFonts w:ascii="Times New Roman" w:hAnsi="Times New Roman"/>
          <w:color w:val="000000" w:themeColor="text1"/>
          <w:sz w:val="24"/>
          <w:szCs w:val="24"/>
          <w:lang w:val="pt-BR"/>
        </w:rPr>
        <w:lastRenderedPageBreak/>
        <w:t>integrim social të PAK në moshë aktive pune, të punësueshëm janë përfshirë në programe punësimi dhe formimi profesional 741 persona me aftësi të kufizuar .</w:t>
      </w:r>
      <w:r>
        <w:rPr>
          <w:color w:val="000000" w:themeColor="text1"/>
        </w:rPr>
        <w:t xml:space="preserve"> </w:t>
      </w:r>
    </w:p>
    <w:p w14:paraId="07C61241" w14:textId="77777777" w:rsidR="005F2AC9" w:rsidRDefault="005F2AC9">
      <w:pPr>
        <w:shd w:val="clear" w:color="auto" w:fill="FFFFFF" w:themeFill="background1"/>
        <w:spacing w:before="0" w:after="0"/>
        <w:jc w:val="both"/>
        <w:rPr>
          <w:rFonts w:ascii="Times New Roman" w:hAnsi="Times New Roman"/>
          <w:color w:val="000000" w:themeColor="text1"/>
          <w:sz w:val="24"/>
          <w:szCs w:val="24"/>
          <w:lang w:val="pt-BR"/>
        </w:rPr>
      </w:pPr>
    </w:p>
    <w:p w14:paraId="54B6EDFA" w14:textId="77777777" w:rsidR="005F2AC9" w:rsidRDefault="00B56839">
      <w:pPr>
        <w:shd w:val="clear" w:color="auto" w:fill="FFFFFF" w:themeFill="background1"/>
        <w:spacing w:before="0" w:after="0"/>
        <w:jc w:val="both"/>
        <w:rPr>
          <w:rFonts w:ascii="Times New Roman" w:hAnsi="Times New Roman"/>
          <w:color w:val="000000" w:themeColor="text1"/>
          <w:sz w:val="24"/>
          <w:szCs w:val="24"/>
          <w:lang w:val="sq-AL"/>
        </w:rPr>
      </w:pPr>
      <w:r>
        <w:rPr>
          <w:rFonts w:ascii="Times New Roman" w:hAnsi="Times New Roman"/>
          <w:color w:val="000000" w:themeColor="text1"/>
          <w:sz w:val="24"/>
          <w:szCs w:val="24"/>
          <w:lang w:val="pt-BR"/>
        </w:rPr>
        <w:t>Mbetet sfidë konsolidimi i mekanizmit të referimit dhe mbështetjes së personave me aftësi të kufizuar, për të harmonizuar përfitimet në para me paketën e mbështetjes me shërbime të kujdesit social, shëndetësor, të arsimit, punësimit dhe formimit profesional, si edhe për të rritur numrin e përfituesve të mbështetur nga këto programe, me qëllim përfshirjen dhe integrimin në jetën shoqërore të personave me aftësi të kufizuar.</w:t>
      </w:r>
    </w:p>
    <w:p w14:paraId="08D4752A" w14:textId="77777777" w:rsidR="005F2AC9" w:rsidRDefault="005F2AC9">
      <w:pPr>
        <w:shd w:val="clear" w:color="auto" w:fill="FFFFFF" w:themeFill="background1"/>
        <w:spacing w:before="0" w:after="0"/>
        <w:jc w:val="both"/>
        <w:rPr>
          <w:rFonts w:ascii="Times New Roman" w:hAnsi="Times New Roman"/>
          <w:color w:val="000000" w:themeColor="text1"/>
          <w:sz w:val="24"/>
          <w:szCs w:val="24"/>
          <w:lang w:val="sq-AL"/>
        </w:rPr>
      </w:pPr>
    </w:p>
    <w:p w14:paraId="599F8640" w14:textId="77777777" w:rsidR="005F2AC9" w:rsidRDefault="00B56839">
      <w:pPr>
        <w:shd w:val="clear" w:color="auto" w:fill="FFFFFF" w:themeFill="background1"/>
        <w:spacing w:before="0" w:after="0"/>
        <w:jc w:val="both"/>
        <w:rPr>
          <w:rFonts w:ascii="Times New Roman" w:hAnsi="Times New Roman"/>
          <w:color w:val="000000" w:themeColor="text1"/>
          <w:sz w:val="24"/>
          <w:szCs w:val="24"/>
          <w:highlight w:val="yellow"/>
          <w:lang w:val="sq-AL"/>
        </w:rPr>
      </w:pPr>
      <w:r>
        <w:rPr>
          <w:rFonts w:ascii="Times New Roman" w:hAnsi="Times New Roman"/>
          <w:color w:val="000000" w:themeColor="text1"/>
          <w:sz w:val="24"/>
          <w:szCs w:val="24"/>
          <w:lang w:val="sq-AL"/>
        </w:rPr>
        <w:t>Ky objektiv është i lidhur me zbatimin e reformës së vlerësimit bio-psiko-social të aftësisë së kufizuar e cila bazohet në standardet ndërkombëtare të OBSH-së, ICF-së dhe në Konventën e OKB -së për të Drejtat PAK, duke garantuar një vlerësim ë aftësisë së kufizuar, me qasje bazuar në të drejtat e njeritut. Në programin e mbrojtjes sociale, personat me aftësi të kufizuar zënë peshën më të madhe përsa i përket numrit të përfituesve dhe fondit që mbulon këtë kategori. Për vitin 2025, 55% e fondit të programit buxhetor të përkujdesit social u planifikua për mbështetjen financiare të PAK.</w:t>
      </w:r>
    </w:p>
    <w:p w14:paraId="57EE35B7" w14:textId="77777777" w:rsidR="005F2AC9" w:rsidRDefault="005F2AC9">
      <w:pPr>
        <w:shd w:val="clear" w:color="auto" w:fill="FFFFFF" w:themeFill="background1"/>
        <w:spacing w:before="0" w:after="0"/>
        <w:jc w:val="both"/>
        <w:rPr>
          <w:rFonts w:ascii="Times New Roman" w:hAnsi="Times New Roman"/>
          <w:color w:val="000000" w:themeColor="text1"/>
          <w:sz w:val="24"/>
          <w:szCs w:val="24"/>
          <w:highlight w:val="yellow"/>
          <w:lang w:val="sq-AL"/>
        </w:rPr>
      </w:pPr>
    </w:p>
    <w:p w14:paraId="688F9FF8" w14:textId="77777777" w:rsidR="005F2AC9" w:rsidRDefault="00B56839">
      <w:pPr>
        <w:shd w:val="clear" w:color="auto" w:fill="FFFFFF" w:themeFill="background1"/>
        <w:spacing w:before="0" w:after="0"/>
        <w:jc w:val="both"/>
        <w:rPr>
          <w:rFonts w:ascii="Times New Roman" w:hAnsi="Times New Roman"/>
          <w:color w:val="000000" w:themeColor="text1"/>
          <w:sz w:val="24"/>
          <w:szCs w:val="24"/>
          <w:lang w:val="sq-AL"/>
        </w:rPr>
      </w:pPr>
      <w:r>
        <w:rPr>
          <w:rFonts w:ascii="Times New Roman" w:hAnsi="Times New Roman"/>
          <w:color w:val="000000" w:themeColor="text1"/>
          <w:sz w:val="24"/>
          <w:szCs w:val="24"/>
          <w:lang w:val="sq-AL"/>
        </w:rPr>
        <w:t>Realizimi i indikatorit për Objektivin Specifik A.2., për vitin 2025, përfshin 15,745 PAK që kanë përfituar nga shërbimet sociale, të arsimit, punësimit dhe formimit profesional, nga të cilët 14,550 PAK kanë përfituar nga shërbimet e përkujdesit shoqëror, 545 PAK nga shërbimet arsimore (mësues ndihmës/arsim special) dhe 741 PAK nga programet e punësimit dhe formim profesional.</w:t>
      </w:r>
    </w:p>
    <w:p w14:paraId="68F8DBE9" w14:textId="77777777" w:rsidR="005F2AC9" w:rsidRDefault="005F2AC9">
      <w:pPr>
        <w:shd w:val="clear" w:color="auto" w:fill="FFFFFF" w:themeFill="background1"/>
        <w:spacing w:before="0" w:after="0"/>
        <w:jc w:val="both"/>
        <w:rPr>
          <w:rFonts w:ascii="Times New Roman" w:hAnsi="Times New Roman"/>
          <w:color w:val="000000" w:themeColor="text1"/>
          <w:sz w:val="24"/>
          <w:szCs w:val="24"/>
          <w:highlight w:val="yellow"/>
          <w:lang w:val="sq-AL"/>
        </w:rPr>
      </w:pPr>
    </w:p>
    <w:p w14:paraId="2E196C49" w14:textId="77777777" w:rsidR="005F2AC9" w:rsidRDefault="00B56839">
      <w:pPr>
        <w:shd w:val="clear" w:color="auto" w:fill="FFFFFF" w:themeFill="background1"/>
        <w:spacing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Një nga masat (masa A.2.1) është e lidhur me përmirësimin e performancës dhe transparencës së skemës së vlerësimit të aftësisë së kufizuar me qëllim adresimin efektiv dhe të përgjegjshëm gjinor të nevojave individuale të tyre, edhe në situata krizash dhe emergjencash. Në përmbushje të indikatorëve për realizimin e kësaj mase, rezulton që 13,768 PAK, nga 45,127 përfitues të rivlerësuar për aftësi të kufizuar në vitin 2025, janë referuar për tu mbështetur me shërbime sociale (31%).  </w:t>
      </w:r>
    </w:p>
    <w:p w14:paraId="205C02EA" w14:textId="77777777" w:rsidR="005F2AC9" w:rsidRDefault="005F2AC9">
      <w:pPr>
        <w:shd w:val="clear" w:color="auto" w:fill="FFFFFF" w:themeFill="background1"/>
        <w:spacing w:before="0" w:after="0"/>
        <w:jc w:val="both"/>
        <w:rPr>
          <w:rFonts w:ascii="Times New Roman" w:hAnsi="Times New Roman"/>
          <w:color w:val="000000" w:themeColor="text1"/>
          <w:sz w:val="24"/>
          <w:szCs w:val="24"/>
          <w:highlight w:val="yellow"/>
          <w:lang w:val="sq-AL"/>
        </w:rPr>
      </w:pPr>
    </w:p>
    <w:p w14:paraId="04E88F0C" w14:textId="77777777" w:rsidR="005F2AC9" w:rsidRDefault="00B56839">
      <w:pPr>
        <w:shd w:val="clear" w:color="auto" w:fill="FFFFFF" w:themeFill="background1"/>
        <w:spacing w:before="0" w:after="0"/>
        <w:jc w:val="both"/>
        <w:rPr>
          <w:rFonts w:ascii="Times New Roman" w:hAnsi="Times New Roman"/>
          <w:color w:val="000000" w:themeColor="text1"/>
          <w:sz w:val="24"/>
          <w:szCs w:val="24"/>
          <w:lang w:val="pt-BR"/>
        </w:rPr>
      </w:pPr>
      <w:r>
        <w:rPr>
          <w:rFonts w:ascii="Times New Roman" w:hAnsi="Times New Roman"/>
          <w:color w:val="000000" w:themeColor="text1"/>
          <w:sz w:val="24"/>
          <w:szCs w:val="24"/>
          <w:lang w:val="sq-AL"/>
        </w:rPr>
        <w:t xml:space="preserve">Numri i PAK që përfitojnë pagesë të aftësisë së kufizuar është 78,043 persona, nga të cilët rreth 13% janë fëmijë me aftësi të kufizuar (nr.10,000). Femrat përbëjnë 45% të përfituesve të aftësisë së kufizuar. Numri i individëve që përfitojnë ndihmës personal është 19,642 persona, nga të cilët 3,252 janë ndihmës personalë të fëmijëve me aftësi të kufizuar. </w:t>
      </w:r>
      <w:r>
        <w:rPr>
          <w:rFonts w:ascii="Times New Roman" w:eastAsia="Times New Roman" w:hAnsi="Times New Roman" w:cs="Times New Roman"/>
          <w:color w:val="000000" w:themeColor="text1"/>
          <w:sz w:val="24"/>
          <w:szCs w:val="24"/>
          <w:lang w:val="sq-AL"/>
        </w:rPr>
        <w:t>Që nga Janari 2025</w:t>
      </w:r>
      <w:r>
        <w:rPr>
          <w:rFonts w:ascii="Times New Roman" w:hAnsi="Times New Roman"/>
          <w:color w:val="000000" w:themeColor="text1"/>
          <w:sz w:val="24"/>
          <w:szCs w:val="24"/>
          <w:lang w:val="pt-BR"/>
        </w:rPr>
        <w:t xml:space="preserve"> invalidët e punës nuk janë më përfitues të programit të përkujdesit social pasi fondi për pagesë shtesë mbi pensionin e invaliditetit, ka kaluar nga ky program buxhetor në atë të sigurimeve shoqërore (VKM 772, datë 13.12.2024).</w:t>
      </w:r>
    </w:p>
    <w:p w14:paraId="68C47023" w14:textId="77777777" w:rsidR="005F2AC9" w:rsidRDefault="00B56839">
      <w:pPr>
        <w:spacing w:after="0"/>
        <w:jc w:val="both"/>
        <w:rPr>
          <w:rFonts w:ascii="Times New Roman" w:hAnsi="Times New Roman"/>
          <w:color w:val="000000" w:themeColor="text1"/>
          <w:sz w:val="24"/>
          <w:szCs w:val="24"/>
          <w:lang w:val="sq-AL"/>
        </w:rPr>
      </w:pPr>
      <w:r>
        <w:rPr>
          <w:rFonts w:ascii="Times New Roman" w:hAnsi="Times New Roman"/>
          <w:color w:val="000000" w:themeColor="text1"/>
          <w:sz w:val="24"/>
          <w:szCs w:val="24"/>
          <w:lang w:val="sq-AL"/>
        </w:rPr>
        <w:t>Një tjetër masë (masa A.2.1) ka të bëjë me forcimin e bashkëpunimit dhe mbështetjes së vijueshme për zbatimin efektiv të Fondit Social të Punësimit për personat me Aftësi të Kufizuara dhe programeve të tjera të punësimit.</w:t>
      </w:r>
      <w:r>
        <w:rPr>
          <w:color w:val="000000" w:themeColor="text1"/>
        </w:rPr>
        <w:t xml:space="preserve"> </w:t>
      </w:r>
      <w:r>
        <w:rPr>
          <w:rFonts w:ascii="Times New Roman" w:hAnsi="Times New Roman"/>
          <w:color w:val="000000" w:themeColor="text1"/>
          <w:sz w:val="24"/>
          <w:szCs w:val="24"/>
          <w:lang w:val="sq-AL"/>
        </w:rPr>
        <w:t xml:space="preserve">Për sa i përket numrit të PAK të mbështetur </w:t>
      </w:r>
      <w:r>
        <w:rPr>
          <w:rFonts w:ascii="Times New Roman" w:hAnsi="Times New Roman"/>
          <w:color w:val="000000" w:themeColor="text1"/>
          <w:sz w:val="24"/>
          <w:szCs w:val="24"/>
          <w:lang w:val="sq-AL"/>
        </w:rPr>
        <w:lastRenderedPageBreak/>
        <w:t xml:space="preserve">përmes Fondit Social të Punësimit, ende nuk ka nisur zbatimi i tij. Në përmbushje të indikatorëve për realizimin e kësaj mase, rezulton që 14,550 PAK përfitojnë shërbime të përkujdesit social, përkatësisht 11,000 PAK të mbështetur nga shërbime të ngritura nëpërmjet Fondit Social dhe 3,550 PAK nga shërbime rezidenciale, ditore e komunitare. Gjatë vitit 2025, nga rastet e referuara për tu mbështetur me shërbime sociale, janë 1,792 raste të reja të aftësisë së kufizuar të cilët janë mbështetur me shërbime sociale të integruara. </w:t>
      </w:r>
    </w:p>
    <w:p w14:paraId="530ED212" w14:textId="77777777" w:rsidR="005F2AC9" w:rsidRDefault="005F2AC9">
      <w:pPr>
        <w:spacing w:after="0"/>
        <w:jc w:val="both"/>
        <w:rPr>
          <w:rFonts w:ascii="Times New Roman" w:hAnsi="Times New Roman"/>
          <w:color w:val="000000" w:themeColor="text1"/>
          <w:sz w:val="24"/>
          <w:szCs w:val="24"/>
          <w:lang w:val="sq-AL"/>
        </w:rPr>
      </w:pPr>
    </w:p>
    <w:p w14:paraId="7A9DD0D5" w14:textId="77777777" w:rsidR="005F2AC9" w:rsidRDefault="00B56839">
      <w:pPr>
        <w:spacing w:after="0"/>
        <w:jc w:val="both"/>
        <w:rPr>
          <w:rFonts w:ascii="Times New Roman" w:hAnsi="Times New Roman"/>
          <w:b/>
          <w:bCs/>
          <w:i/>
          <w:iCs/>
          <w:color w:val="000000" w:themeColor="text1"/>
          <w:sz w:val="24"/>
          <w:szCs w:val="24"/>
          <w:lang w:val="sq-AL"/>
        </w:rPr>
      </w:pPr>
      <w:bookmarkStart w:id="22" w:name="_Toc150809628"/>
      <w:bookmarkStart w:id="23" w:name="_Toc156593601"/>
      <w:bookmarkStart w:id="24" w:name="_Toc150809629"/>
      <w:bookmarkEnd w:id="22"/>
      <w:r>
        <w:rPr>
          <w:rFonts w:ascii="Times New Roman" w:hAnsi="Times New Roman"/>
          <w:b/>
          <w:bCs/>
          <w:i/>
          <w:iCs/>
          <w:color w:val="000000" w:themeColor="text1"/>
          <w:sz w:val="24"/>
          <w:szCs w:val="24"/>
          <w:u w:val="single"/>
          <w:lang w:val="sq-AL"/>
        </w:rPr>
        <w:t>Objektivi specifik/strategjik A3:</w:t>
      </w:r>
      <w:r>
        <w:rPr>
          <w:rFonts w:ascii="Times New Roman" w:hAnsi="Times New Roman"/>
          <w:b/>
          <w:bCs/>
          <w:i/>
          <w:iCs/>
          <w:color w:val="000000" w:themeColor="text1"/>
          <w:sz w:val="24"/>
          <w:szCs w:val="24"/>
          <w:lang w:val="sq-AL"/>
        </w:rPr>
        <w:t xml:space="preserve"> Përmirësimi i shënjestrimit të fëmijëve, vajza dhe djem përmes skemave financare të ndjeshme gjinore dhe një programi mbrojtje sociale me fokus fëmijët.</w:t>
      </w:r>
      <w:bookmarkEnd w:id="23"/>
      <w:bookmarkEnd w:id="24"/>
      <w:r>
        <w:rPr>
          <w:rFonts w:ascii="Times New Roman" w:hAnsi="Times New Roman"/>
          <w:b/>
          <w:bCs/>
          <w:i/>
          <w:iCs/>
          <w:color w:val="000000" w:themeColor="text1"/>
          <w:sz w:val="24"/>
          <w:szCs w:val="24"/>
          <w:lang w:val="sq-AL"/>
        </w:rPr>
        <w:t xml:space="preserve"> </w:t>
      </w:r>
    </w:p>
    <w:p w14:paraId="1361627C" w14:textId="77777777" w:rsidR="005F2AC9" w:rsidRDefault="00B56839">
      <w:pPr>
        <w:spacing w:after="0"/>
        <w:jc w:val="both"/>
        <w:rPr>
          <w:rFonts w:ascii="Times New Roman" w:hAnsi="Times New Roman"/>
          <w:i/>
          <w:iCs/>
          <w:color w:val="000000" w:themeColor="text1"/>
          <w:sz w:val="24"/>
          <w:szCs w:val="24"/>
          <w:lang w:val="sq-AL"/>
        </w:rPr>
      </w:pPr>
      <w:r>
        <w:rPr>
          <w:rFonts w:ascii="Times New Roman" w:hAnsi="Times New Roman"/>
          <w:i/>
          <w:iCs/>
          <w:color w:val="000000" w:themeColor="text1"/>
          <w:sz w:val="24"/>
          <w:szCs w:val="24"/>
          <w:lang w:val="sq-AL"/>
        </w:rPr>
        <w:t xml:space="preserve">Masat prioritare: </w:t>
      </w:r>
    </w:p>
    <w:p w14:paraId="1A0BE021" w14:textId="77777777" w:rsidR="005F2AC9" w:rsidRDefault="00B56839">
      <w:pPr>
        <w:spacing w:after="0"/>
        <w:jc w:val="both"/>
        <w:rPr>
          <w:rFonts w:ascii="Times New Roman" w:hAnsi="Times New Roman"/>
          <w:color w:val="000000" w:themeColor="text1"/>
          <w:sz w:val="24"/>
          <w:szCs w:val="24"/>
          <w:lang w:val="sq-AL"/>
        </w:rPr>
      </w:pPr>
      <w:r>
        <w:rPr>
          <w:rFonts w:ascii="Times New Roman" w:hAnsi="Times New Roman"/>
          <w:color w:val="000000" w:themeColor="text1"/>
          <w:sz w:val="24"/>
          <w:szCs w:val="24"/>
          <w:lang w:val="sq-AL"/>
        </w:rPr>
        <w:t xml:space="preserve">A.3.1 </w:t>
      </w:r>
      <w:bookmarkStart w:id="25" w:name="_Hlk156580647"/>
      <w:r>
        <w:rPr>
          <w:rFonts w:ascii="Times New Roman" w:hAnsi="Times New Roman"/>
          <w:color w:val="000000" w:themeColor="text1"/>
          <w:sz w:val="24"/>
          <w:szCs w:val="24"/>
          <w:lang w:val="sq-AL"/>
        </w:rPr>
        <w:t>Përmirësimi përfitimeve dhe bashkëpunimit ndërsektorial me fokus fëmijët, vajzat dhe djemtë në skemën e ndihmës ekonomike me synim promovimin e mirëqenies së tyre, duke pasur parasysh nevojat specifike të vajzave dhe djemve.</w:t>
      </w:r>
      <w:bookmarkEnd w:id="25"/>
    </w:p>
    <w:p w14:paraId="54A2047D" w14:textId="77777777" w:rsidR="005F2AC9" w:rsidRDefault="00B56839">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A.3.2 Forcimi i bashkëpunimit ndërsektorial me fokus fëmijët në programin e NE-së dhe hartimi i Planit për Garancinë e Fëmijëve.</w:t>
      </w:r>
    </w:p>
    <w:p w14:paraId="66931995" w14:textId="77777777" w:rsidR="005F2AC9" w:rsidRDefault="005F2AC9">
      <w:pPr>
        <w:spacing w:after="0"/>
        <w:jc w:val="both"/>
        <w:rPr>
          <w:rFonts w:ascii="Times New Roman" w:hAnsi="Times New Roman"/>
          <w:color w:val="000000" w:themeColor="text1"/>
          <w:sz w:val="24"/>
          <w:szCs w:val="24"/>
        </w:rPr>
      </w:pPr>
    </w:p>
    <w:p w14:paraId="344951BB" w14:textId="77777777" w:rsidR="005F2AC9" w:rsidRDefault="00B56839">
      <w:pPr>
        <w:spacing w:after="0"/>
        <w:ind w:firstLine="720"/>
        <w:jc w:val="both"/>
        <w:rPr>
          <w:rFonts w:ascii="Times New Roman" w:eastAsia="Times New Roman" w:hAnsi="Times New Roman" w:cs="Times New Roman"/>
          <w:b/>
          <w:bCs/>
          <w:color w:val="000000" w:themeColor="text1"/>
          <w:sz w:val="24"/>
          <w:szCs w:val="24"/>
          <w:lang w:val="pt-BR"/>
        </w:rPr>
      </w:pPr>
      <w:r>
        <w:rPr>
          <w:rFonts w:ascii="Times New Roman" w:eastAsia="Times New Roman" w:hAnsi="Times New Roman" w:cs="Times New Roman"/>
          <w:b/>
          <w:bCs/>
          <w:color w:val="000000" w:themeColor="text1"/>
          <w:sz w:val="24"/>
          <w:szCs w:val="24"/>
          <w:lang w:val="it-IT"/>
        </w:rPr>
        <w:t>Tabela:</w:t>
      </w:r>
      <w:r>
        <w:rPr>
          <w:rFonts w:eastAsia="Garamond" w:cs="Garamond"/>
          <w:b/>
          <w:bCs/>
          <w:color w:val="000000" w:themeColor="text1"/>
          <w:lang w:val="it-IT"/>
        </w:rPr>
        <w:t xml:space="preserve"> </w:t>
      </w:r>
      <w:r>
        <w:rPr>
          <w:rFonts w:ascii="Times New Roman" w:eastAsia="Times New Roman" w:hAnsi="Times New Roman" w:cs="Times New Roman"/>
          <w:b/>
          <w:bCs/>
          <w:color w:val="000000" w:themeColor="text1"/>
          <w:sz w:val="24"/>
          <w:szCs w:val="24"/>
          <w:lang w:val="pt-BR"/>
        </w:rPr>
        <w:t>Indikatorët e Pasaportës për Objektivin specifik A.3.</w:t>
      </w:r>
    </w:p>
    <w:p w14:paraId="7BD13C49" w14:textId="77777777" w:rsidR="005F2AC9" w:rsidRDefault="005F2AC9">
      <w:pPr>
        <w:spacing w:after="0"/>
        <w:jc w:val="both"/>
        <w:rPr>
          <w:rFonts w:ascii="Times New Roman" w:hAnsi="Times New Roman"/>
          <w:color w:val="000000" w:themeColor="text1"/>
          <w:sz w:val="24"/>
          <w:szCs w:val="24"/>
        </w:rPr>
      </w:pPr>
    </w:p>
    <w:tbl>
      <w:tblPr>
        <w:tblStyle w:val="TableGrid"/>
        <w:tblW w:w="9119" w:type="dxa"/>
        <w:tblInd w:w="135" w:type="dxa"/>
        <w:tblLayout w:type="fixed"/>
        <w:tblLook w:val="04A0" w:firstRow="1" w:lastRow="0" w:firstColumn="1" w:lastColumn="0" w:noHBand="0" w:noVBand="1"/>
      </w:tblPr>
      <w:tblGrid>
        <w:gridCol w:w="1018"/>
        <w:gridCol w:w="1333"/>
        <w:gridCol w:w="1376"/>
        <w:gridCol w:w="670"/>
        <w:gridCol w:w="1143"/>
        <w:gridCol w:w="1240"/>
        <w:gridCol w:w="1302"/>
        <w:gridCol w:w="1037"/>
      </w:tblGrid>
      <w:tr w:rsidR="005F2AC9" w14:paraId="36AD6BEA" w14:textId="77777777">
        <w:trPr>
          <w:trHeight w:val="1425"/>
        </w:trPr>
        <w:tc>
          <w:tcPr>
            <w:tcW w:w="1017" w:type="dxa"/>
            <w:tcBorders>
              <w:top w:val="single" w:sz="6" w:space="0" w:color="000000"/>
              <w:left w:val="single" w:sz="6" w:space="0" w:color="000000"/>
              <w:bottom w:val="single" w:sz="6" w:space="0" w:color="000000"/>
              <w:right w:val="single" w:sz="6" w:space="0" w:color="000000"/>
            </w:tcBorders>
            <w:shd w:val="clear" w:color="auto" w:fill="DAE8F8"/>
            <w:vAlign w:val="center"/>
          </w:tcPr>
          <w:p w14:paraId="2502B60E" w14:textId="77777777" w:rsidR="005F2AC9" w:rsidRDefault="005F2AC9">
            <w:pPr>
              <w:spacing w:before="0" w:after="0" w:line="240" w:lineRule="auto"/>
              <w:rPr>
                <w:rFonts w:ascii="Times New Roman" w:eastAsia="Times New Roman" w:hAnsi="Times New Roman" w:cs="Times New Roman"/>
                <w:b/>
                <w:bCs/>
                <w:color w:val="000000" w:themeColor="text1"/>
              </w:rPr>
            </w:pPr>
          </w:p>
        </w:tc>
        <w:tc>
          <w:tcPr>
            <w:tcW w:w="1333" w:type="dxa"/>
            <w:tcBorders>
              <w:top w:val="single" w:sz="6" w:space="0" w:color="000000"/>
              <w:left w:val="single" w:sz="6" w:space="0" w:color="000000"/>
              <w:bottom w:val="single" w:sz="6" w:space="0" w:color="000000"/>
              <w:right w:val="single" w:sz="6" w:space="0" w:color="000000"/>
            </w:tcBorders>
            <w:shd w:val="clear" w:color="auto" w:fill="DAE8F8"/>
          </w:tcPr>
          <w:p w14:paraId="740F0289" w14:textId="77777777" w:rsidR="005F2AC9" w:rsidRDefault="00B56839">
            <w:pPr>
              <w:spacing w:before="0"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Objektivat</w:t>
            </w:r>
          </w:p>
        </w:tc>
        <w:tc>
          <w:tcPr>
            <w:tcW w:w="1376" w:type="dxa"/>
            <w:tcBorders>
              <w:top w:val="single" w:sz="6" w:space="0" w:color="000000"/>
              <w:left w:val="single" w:sz="6" w:space="0" w:color="000000"/>
              <w:bottom w:val="single" w:sz="6" w:space="0" w:color="000000"/>
              <w:right w:val="single" w:sz="6" w:space="0" w:color="000000"/>
            </w:tcBorders>
            <w:shd w:val="clear" w:color="auto" w:fill="DAE8F8"/>
          </w:tcPr>
          <w:p w14:paraId="7EE13E99" w14:textId="77777777" w:rsidR="005F2AC9" w:rsidRDefault="00B56839">
            <w:pPr>
              <w:spacing w:before="0"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Treguesi</w:t>
            </w:r>
          </w:p>
        </w:tc>
        <w:tc>
          <w:tcPr>
            <w:tcW w:w="670" w:type="dxa"/>
            <w:tcBorders>
              <w:top w:val="single" w:sz="6" w:space="0" w:color="000000"/>
              <w:left w:val="single" w:sz="6" w:space="0" w:color="000000"/>
              <w:bottom w:val="single" w:sz="6" w:space="0" w:color="000000"/>
              <w:right w:val="single" w:sz="6" w:space="0" w:color="000000"/>
            </w:tcBorders>
            <w:shd w:val="clear" w:color="auto" w:fill="DAE8F8"/>
          </w:tcPr>
          <w:p w14:paraId="222B651A" w14:textId="77777777" w:rsidR="005F2AC9" w:rsidRDefault="00B56839">
            <w:pPr>
              <w:spacing w:before="0" w:after="0" w:line="240" w:lineRule="auto"/>
              <w:rPr>
                <w:color w:val="000000" w:themeColor="text1"/>
              </w:rPr>
            </w:pPr>
            <w:r>
              <w:rPr>
                <w:rFonts w:ascii="Times New Roman" w:eastAsia="Times New Roman" w:hAnsi="Times New Roman" w:cs="Times New Roman"/>
                <w:b/>
                <w:bCs/>
                <w:color w:val="000000" w:themeColor="text1"/>
              </w:rPr>
              <w:t>Vlera bazë</w:t>
            </w:r>
          </w:p>
        </w:tc>
        <w:tc>
          <w:tcPr>
            <w:tcW w:w="1143" w:type="dxa"/>
            <w:tcBorders>
              <w:top w:val="single" w:sz="6" w:space="0" w:color="000000"/>
              <w:left w:val="single" w:sz="6" w:space="0" w:color="000000"/>
              <w:bottom w:val="single" w:sz="6" w:space="0" w:color="000000"/>
              <w:right w:val="single" w:sz="6" w:space="0" w:color="000000"/>
            </w:tcBorders>
            <w:shd w:val="clear" w:color="auto" w:fill="DAE8F8"/>
          </w:tcPr>
          <w:p w14:paraId="75D2511C" w14:textId="77777777" w:rsidR="005F2AC9" w:rsidRDefault="00B56839">
            <w:pPr>
              <w:spacing w:before="0" w:after="0" w:line="240" w:lineRule="auto"/>
              <w:jc w:val="center"/>
              <w:rPr>
                <w:color w:val="000000" w:themeColor="text1"/>
              </w:rPr>
            </w:pPr>
            <w:r>
              <w:rPr>
                <w:rFonts w:ascii="Times New Roman" w:eastAsia="Times New Roman" w:hAnsi="Times New Roman" w:cs="Times New Roman"/>
                <w:b/>
                <w:bCs/>
                <w:color w:val="000000" w:themeColor="text1"/>
                <w:lang w:val="sq-AL"/>
              </w:rPr>
              <w:t>Viti 2025</w:t>
            </w:r>
          </w:p>
          <w:p w14:paraId="207EA7FE" w14:textId="77777777" w:rsidR="005F2AC9" w:rsidRDefault="005F2AC9">
            <w:pPr>
              <w:spacing w:before="0" w:after="0" w:line="240" w:lineRule="auto"/>
              <w:rPr>
                <w:rFonts w:ascii="Times New Roman" w:eastAsia="Times New Roman" w:hAnsi="Times New Roman" w:cs="Times New Roman"/>
                <w:color w:val="000000" w:themeColor="text1"/>
              </w:rPr>
            </w:pPr>
          </w:p>
        </w:tc>
        <w:tc>
          <w:tcPr>
            <w:tcW w:w="1240" w:type="dxa"/>
            <w:tcBorders>
              <w:top w:val="single" w:sz="6" w:space="0" w:color="000000"/>
              <w:left w:val="single" w:sz="6" w:space="0" w:color="000000"/>
              <w:bottom w:val="single" w:sz="6" w:space="0" w:color="000000"/>
              <w:right w:val="single" w:sz="6" w:space="0" w:color="000000"/>
            </w:tcBorders>
            <w:shd w:val="clear" w:color="auto" w:fill="DAE8F8"/>
          </w:tcPr>
          <w:p w14:paraId="35FF88D3" w14:textId="77777777" w:rsidR="005F2AC9" w:rsidRDefault="00B56839">
            <w:pPr>
              <w:spacing w:before="0" w:after="0" w:line="240" w:lineRule="auto"/>
              <w:rPr>
                <w:color w:val="000000" w:themeColor="text1"/>
              </w:rPr>
            </w:pPr>
            <w:r>
              <w:rPr>
                <w:rFonts w:ascii="Times New Roman" w:eastAsia="Times New Roman" w:hAnsi="Times New Roman" w:cs="Times New Roman"/>
                <w:b/>
                <w:bCs/>
                <w:color w:val="000000" w:themeColor="text1"/>
              </w:rPr>
              <w:t>Synimi 2030</w:t>
            </w:r>
          </w:p>
        </w:tc>
        <w:tc>
          <w:tcPr>
            <w:tcW w:w="1302" w:type="dxa"/>
            <w:tcBorders>
              <w:top w:val="single" w:sz="6" w:space="0" w:color="000000"/>
              <w:left w:val="single" w:sz="6" w:space="0" w:color="000000"/>
              <w:bottom w:val="single" w:sz="6" w:space="0" w:color="000000"/>
              <w:right w:val="single" w:sz="6" w:space="0" w:color="000000"/>
            </w:tcBorders>
            <w:shd w:val="clear" w:color="auto" w:fill="DAE8F8"/>
          </w:tcPr>
          <w:p w14:paraId="2730E06B" w14:textId="77777777" w:rsidR="005F2AC9" w:rsidRDefault="00B56839">
            <w:pPr>
              <w:spacing w:before="0" w:after="0" w:line="240" w:lineRule="auto"/>
              <w:rPr>
                <w:color w:val="000000" w:themeColor="text1"/>
              </w:rPr>
            </w:pPr>
            <w:r>
              <w:rPr>
                <w:rFonts w:ascii="Times New Roman" w:eastAsia="Times New Roman" w:hAnsi="Times New Roman" w:cs="Times New Roman"/>
                <w:b/>
                <w:bCs/>
                <w:color w:val="000000" w:themeColor="text1"/>
                <w:lang w:val="it-IT"/>
              </w:rPr>
              <w:t>Burimet dhe mjetet e verifikimit</w:t>
            </w:r>
          </w:p>
        </w:tc>
        <w:tc>
          <w:tcPr>
            <w:tcW w:w="1037" w:type="dxa"/>
            <w:tcBorders>
              <w:top w:val="single" w:sz="6" w:space="0" w:color="000000"/>
              <w:left w:val="single" w:sz="6" w:space="0" w:color="000000"/>
              <w:bottom w:val="single" w:sz="6" w:space="0" w:color="000000"/>
              <w:right w:val="single" w:sz="6" w:space="0" w:color="000000"/>
            </w:tcBorders>
            <w:shd w:val="clear" w:color="auto" w:fill="DAE8F8"/>
          </w:tcPr>
          <w:p w14:paraId="191E3394" w14:textId="77777777" w:rsidR="005F2AC9" w:rsidRDefault="00B56839">
            <w:pPr>
              <w:spacing w:before="0" w:after="0" w:line="240" w:lineRule="auto"/>
              <w:rPr>
                <w:color w:val="000000" w:themeColor="text1"/>
              </w:rPr>
            </w:pPr>
            <w:r>
              <w:rPr>
                <w:rFonts w:ascii="Times New Roman" w:eastAsia="Times New Roman" w:hAnsi="Times New Roman" w:cs="Times New Roman"/>
                <w:b/>
                <w:bCs/>
                <w:color w:val="000000" w:themeColor="text1"/>
              </w:rPr>
              <w:t>Referenca në dok. të tjera</w:t>
            </w:r>
          </w:p>
        </w:tc>
      </w:tr>
      <w:tr w:rsidR="005F2AC9" w14:paraId="64486EDB" w14:textId="77777777">
        <w:trPr>
          <w:trHeight w:val="300"/>
        </w:trPr>
        <w:tc>
          <w:tcPr>
            <w:tcW w:w="1017" w:type="dxa"/>
            <w:tcBorders>
              <w:top w:val="single" w:sz="6" w:space="0" w:color="000000"/>
              <w:left w:val="single" w:sz="6" w:space="0" w:color="000000"/>
              <w:bottom w:val="single" w:sz="6" w:space="0" w:color="000000"/>
              <w:right w:val="single" w:sz="6" w:space="0" w:color="000000"/>
            </w:tcBorders>
            <w:shd w:val="clear" w:color="auto" w:fill="FFF2CC"/>
            <w:vAlign w:val="center"/>
          </w:tcPr>
          <w:p w14:paraId="3611BDDC" w14:textId="77777777" w:rsidR="005F2AC9" w:rsidRDefault="00B56839">
            <w:pPr>
              <w:spacing w:before="0" w:after="0" w:line="240" w:lineRule="auto"/>
              <w:rPr>
                <w:rFonts w:ascii="Times New Roman" w:eastAsia="Times New Roman" w:hAnsi="Times New Roman" w:cs="Times New Roman"/>
                <w:b/>
                <w:bCs/>
                <w:color w:val="000000" w:themeColor="text1"/>
                <w:lang w:val="sq-AL"/>
              </w:rPr>
            </w:pPr>
            <w:r>
              <w:rPr>
                <w:rFonts w:ascii="Times New Roman" w:eastAsia="Times New Roman" w:hAnsi="Times New Roman" w:cs="Times New Roman"/>
                <w:b/>
                <w:bCs/>
                <w:color w:val="000000" w:themeColor="text1"/>
                <w:lang w:val="sq-AL"/>
              </w:rPr>
              <w:t>Objektivi specifik/ strategjik</w:t>
            </w:r>
          </w:p>
        </w:tc>
        <w:tc>
          <w:tcPr>
            <w:tcW w:w="1333" w:type="dxa"/>
            <w:tcBorders>
              <w:top w:val="single" w:sz="6" w:space="0" w:color="000000"/>
              <w:left w:val="single" w:sz="6" w:space="0" w:color="000000"/>
              <w:bottom w:val="single" w:sz="6" w:space="0" w:color="000000"/>
              <w:right w:val="single" w:sz="6" w:space="0" w:color="000000"/>
            </w:tcBorders>
            <w:shd w:val="clear" w:color="auto" w:fill="FFF2CC"/>
          </w:tcPr>
          <w:p w14:paraId="61AD7032"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A3</w:t>
            </w:r>
            <w:r>
              <w:rPr>
                <w:rFonts w:ascii="Times New Roman" w:eastAsia="Times New Roman" w:hAnsi="Times New Roman" w:cs="Times New Roman"/>
                <w:i/>
                <w:iCs/>
                <w:color w:val="000000" w:themeColor="text1"/>
                <w:lang w:val="sq-AL"/>
              </w:rPr>
              <w:t>. Përmirësimi i shënjestrimit të fëmijëve përmes një programi mbrojtje sociale me fokus fëmijët dhe me ndjeshmëri gjinore.</w:t>
            </w:r>
            <w:r>
              <w:rPr>
                <w:rFonts w:ascii="Times New Roman" w:eastAsia="Times New Roman" w:hAnsi="Times New Roman" w:cs="Times New Roman"/>
                <w:color w:val="000000" w:themeColor="text1"/>
                <w:lang w:val="sq-AL"/>
              </w:rPr>
              <w:t xml:space="preserve"> </w:t>
            </w:r>
          </w:p>
        </w:tc>
        <w:tc>
          <w:tcPr>
            <w:tcW w:w="1376" w:type="dxa"/>
            <w:tcBorders>
              <w:top w:val="single" w:sz="6" w:space="0" w:color="000000"/>
              <w:left w:val="single" w:sz="6" w:space="0" w:color="000000"/>
              <w:bottom w:val="single" w:sz="6" w:space="0" w:color="000000"/>
              <w:right w:val="single" w:sz="6" w:space="0" w:color="000000"/>
            </w:tcBorders>
            <w:shd w:val="clear" w:color="auto" w:fill="FFF2CC"/>
          </w:tcPr>
          <w:p w14:paraId="55B60EBF"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Përqindja e fëmijëve dhe të </w:t>
            </w:r>
            <w:proofErr w:type="gramStart"/>
            <w:r>
              <w:rPr>
                <w:rFonts w:ascii="Times New Roman" w:eastAsia="Times New Roman" w:hAnsi="Times New Roman" w:cs="Times New Roman"/>
                <w:color w:val="000000" w:themeColor="text1"/>
              </w:rPr>
              <w:t>rinjve  6</w:t>
            </w:r>
            <w:proofErr w:type="gramEnd"/>
            <w:r>
              <w:rPr>
                <w:rFonts w:ascii="Times New Roman" w:eastAsia="Times New Roman" w:hAnsi="Times New Roman" w:cs="Times New Roman"/>
                <w:color w:val="000000" w:themeColor="text1"/>
              </w:rPr>
              <w:t>-17 vjeç që përfitojnë nga  masat e programit të mbrojtjes sociale dhe që ndjekin arsimin (%, disagreguar sipas gjinisë,).</w:t>
            </w:r>
          </w:p>
        </w:tc>
        <w:tc>
          <w:tcPr>
            <w:tcW w:w="670" w:type="dxa"/>
            <w:tcBorders>
              <w:top w:val="single" w:sz="6" w:space="0" w:color="000000"/>
              <w:left w:val="single" w:sz="6" w:space="0" w:color="000000"/>
              <w:bottom w:val="single" w:sz="6" w:space="0" w:color="000000"/>
              <w:right w:val="single" w:sz="6" w:space="0" w:color="000000"/>
            </w:tcBorders>
            <w:shd w:val="clear" w:color="auto" w:fill="FFF2CC"/>
          </w:tcPr>
          <w:p w14:paraId="44609465"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42%</w:t>
            </w:r>
          </w:p>
        </w:tc>
        <w:tc>
          <w:tcPr>
            <w:tcW w:w="1143" w:type="dxa"/>
            <w:tcBorders>
              <w:top w:val="single" w:sz="6" w:space="0" w:color="000000"/>
              <w:left w:val="single" w:sz="6" w:space="0" w:color="000000"/>
              <w:bottom w:val="single" w:sz="6" w:space="0" w:color="000000"/>
              <w:right w:val="single" w:sz="6" w:space="0" w:color="000000"/>
            </w:tcBorders>
            <w:shd w:val="clear" w:color="auto" w:fill="FFF2CC"/>
          </w:tcPr>
          <w:p w14:paraId="4829CCD2" w14:textId="77777777" w:rsidR="005F2AC9" w:rsidRDefault="00B56839">
            <w:pPr>
              <w:spacing w:before="0" w:after="0" w:line="257" w:lineRule="auto"/>
              <w:rPr>
                <w:color w:val="000000" w:themeColor="text1"/>
              </w:rPr>
            </w:pPr>
            <w:r>
              <w:rPr>
                <w:rFonts w:ascii="Times New Roman" w:eastAsia="Times New Roman" w:hAnsi="Times New Roman" w:cs="Times New Roman"/>
                <w:color w:val="000000" w:themeColor="text1"/>
              </w:rPr>
              <w:t>42%</w:t>
            </w:r>
          </w:p>
        </w:tc>
        <w:tc>
          <w:tcPr>
            <w:tcW w:w="1240" w:type="dxa"/>
            <w:tcBorders>
              <w:top w:val="single" w:sz="6" w:space="0" w:color="000000"/>
              <w:left w:val="single" w:sz="6" w:space="0" w:color="000000"/>
              <w:bottom w:val="single" w:sz="6" w:space="0" w:color="000000"/>
              <w:right w:val="single" w:sz="6" w:space="0" w:color="000000"/>
            </w:tcBorders>
            <w:shd w:val="clear" w:color="auto" w:fill="FFF2CC"/>
          </w:tcPr>
          <w:p w14:paraId="06A35DDF" w14:textId="77777777" w:rsidR="005F2AC9" w:rsidRDefault="00B56839">
            <w:pPr>
              <w:spacing w:before="0" w:after="0" w:line="257" w:lineRule="auto"/>
              <w:rPr>
                <w:color w:val="000000" w:themeColor="text1"/>
              </w:rPr>
            </w:pPr>
            <w:r>
              <w:rPr>
                <w:rFonts w:ascii="Times New Roman" w:eastAsia="Times New Roman" w:hAnsi="Times New Roman" w:cs="Times New Roman"/>
                <w:color w:val="000000" w:themeColor="text1"/>
              </w:rPr>
              <w:t>95%</w:t>
            </w:r>
          </w:p>
        </w:tc>
        <w:tc>
          <w:tcPr>
            <w:tcW w:w="1302" w:type="dxa"/>
            <w:tcBorders>
              <w:top w:val="single" w:sz="6" w:space="0" w:color="000000"/>
              <w:left w:val="single" w:sz="6" w:space="0" w:color="000000"/>
              <w:bottom w:val="single" w:sz="6" w:space="0" w:color="000000"/>
              <w:right w:val="single" w:sz="6" w:space="0" w:color="000000"/>
            </w:tcBorders>
            <w:shd w:val="clear" w:color="auto" w:fill="FFF2CC"/>
          </w:tcPr>
          <w:p w14:paraId="4454F5B9"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SHSSH/ të dhëna administrative</w:t>
            </w:r>
          </w:p>
        </w:tc>
        <w:tc>
          <w:tcPr>
            <w:tcW w:w="1037" w:type="dxa"/>
            <w:tcBorders>
              <w:top w:val="single" w:sz="6" w:space="0" w:color="000000"/>
              <w:left w:val="single" w:sz="6" w:space="0" w:color="000000"/>
              <w:bottom w:val="single" w:sz="6" w:space="0" w:color="000000"/>
              <w:right w:val="single" w:sz="6" w:space="0" w:color="000000"/>
            </w:tcBorders>
            <w:shd w:val="clear" w:color="auto" w:fill="FFF2CC"/>
          </w:tcPr>
          <w:p w14:paraId="0A639F84"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Tregues i programit </w:t>
            </w:r>
            <w:proofErr w:type="gramStart"/>
            <w:r>
              <w:rPr>
                <w:rFonts w:ascii="Times New Roman" w:eastAsia="Times New Roman" w:hAnsi="Times New Roman" w:cs="Times New Roman"/>
                <w:color w:val="000000" w:themeColor="text1"/>
              </w:rPr>
              <w:t>të  Bankës</w:t>
            </w:r>
            <w:proofErr w:type="gramEnd"/>
            <w:r>
              <w:rPr>
                <w:rFonts w:ascii="Times New Roman" w:eastAsia="Times New Roman" w:hAnsi="Times New Roman" w:cs="Times New Roman"/>
                <w:color w:val="000000" w:themeColor="text1"/>
              </w:rPr>
              <w:t xml:space="preserve"> Botërore</w:t>
            </w:r>
          </w:p>
          <w:p w14:paraId="2AEB2E3F"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1B59EF92"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OZhQ- 1.2; 8.6</w:t>
            </w:r>
          </w:p>
        </w:tc>
      </w:tr>
      <w:tr w:rsidR="005F2AC9" w14:paraId="2CE44235" w14:textId="77777777">
        <w:trPr>
          <w:trHeight w:val="300"/>
        </w:trPr>
        <w:tc>
          <w:tcPr>
            <w:tcW w:w="1017" w:type="dxa"/>
            <w:vMerge w:val="restart"/>
            <w:tcBorders>
              <w:top w:val="single" w:sz="6" w:space="0" w:color="000000"/>
              <w:left w:val="single" w:sz="6" w:space="0" w:color="000000"/>
              <w:bottom w:val="single" w:sz="6" w:space="0" w:color="000000"/>
              <w:right w:val="single" w:sz="6" w:space="0" w:color="000000"/>
            </w:tcBorders>
            <w:shd w:val="clear" w:color="auto" w:fill="F3EAE1" w:themeFill="accent4" w:themeFillTint="33"/>
            <w:vAlign w:val="center"/>
          </w:tcPr>
          <w:p w14:paraId="49D1B7F3" w14:textId="77777777" w:rsidR="005F2AC9" w:rsidRDefault="00B56839">
            <w:pPr>
              <w:spacing w:before="0" w:after="0" w:line="240" w:lineRule="auto"/>
              <w:rPr>
                <w:rFonts w:ascii="Times New Roman" w:eastAsia="Times New Roman" w:hAnsi="Times New Roman" w:cs="Times New Roman"/>
                <w:b/>
                <w:bCs/>
                <w:color w:val="000000" w:themeColor="text1"/>
                <w:lang w:val="sq-AL"/>
              </w:rPr>
            </w:pPr>
            <w:r>
              <w:rPr>
                <w:rFonts w:ascii="Times New Roman" w:eastAsia="Times New Roman" w:hAnsi="Times New Roman" w:cs="Times New Roman"/>
                <w:b/>
                <w:bCs/>
                <w:color w:val="000000" w:themeColor="text1"/>
                <w:lang w:val="sq-AL"/>
              </w:rPr>
              <w:t>Masat prioritare</w:t>
            </w:r>
          </w:p>
        </w:tc>
        <w:tc>
          <w:tcPr>
            <w:tcW w:w="1333"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0D8AD0CE"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A3.1. Përmirësimi përfitimeve dhe bashkëpunimit ndër-sektorial me </w:t>
            </w:r>
            <w:r>
              <w:rPr>
                <w:rFonts w:ascii="Times New Roman" w:eastAsia="Times New Roman" w:hAnsi="Times New Roman" w:cs="Times New Roman"/>
                <w:color w:val="000000" w:themeColor="text1"/>
              </w:rPr>
              <w:lastRenderedPageBreak/>
              <w:t>fokus fëmijët në skemën e ndihmës ekonomike me synim promovimin e mirëqënies së tyre, duke pasur parasysh nevojat specifike të vajzave dhe djemve.</w:t>
            </w:r>
          </w:p>
        </w:tc>
        <w:tc>
          <w:tcPr>
            <w:tcW w:w="1376"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2179150D"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lastRenderedPageBreak/>
              <w:t xml:space="preserve">Përqindja e fëmijëve që përfitojnë nga programet mbështetëse në dobi të mirëqenies së </w:t>
            </w:r>
            <w:r>
              <w:rPr>
                <w:rFonts w:ascii="Times New Roman" w:eastAsia="Times New Roman" w:hAnsi="Times New Roman" w:cs="Times New Roman"/>
                <w:color w:val="000000" w:themeColor="text1"/>
              </w:rPr>
              <w:lastRenderedPageBreak/>
              <w:t>tyre në skemën e ndihmës ekonomiike</w:t>
            </w:r>
          </w:p>
          <w:p w14:paraId="3D295FA0"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77465709"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Numri i personelit </w:t>
            </w:r>
            <w:proofErr w:type="gramStart"/>
            <w:r>
              <w:rPr>
                <w:rFonts w:ascii="Times New Roman" w:eastAsia="Times New Roman" w:hAnsi="Times New Roman" w:cs="Times New Roman"/>
                <w:color w:val="000000" w:themeColor="text1"/>
              </w:rPr>
              <w:t>ndërsektorial  të</w:t>
            </w:r>
            <w:proofErr w:type="gramEnd"/>
            <w:r>
              <w:rPr>
                <w:rFonts w:ascii="Times New Roman" w:eastAsia="Times New Roman" w:hAnsi="Times New Roman" w:cs="Times New Roman"/>
                <w:color w:val="000000" w:themeColor="text1"/>
              </w:rPr>
              <w:t xml:space="preserve"> trajnuar për bashkëpunimin ndërsektorial me fokus fëmijët;</w:t>
            </w:r>
          </w:p>
          <w:p w14:paraId="6085F345"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tc>
        <w:tc>
          <w:tcPr>
            <w:tcW w:w="670"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0DD299C7"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lastRenderedPageBreak/>
              <w:t>42%</w:t>
            </w:r>
          </w:p>
          <w:p w14:paraId="6362167F"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4505F09C"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0FEC6EC9"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7C62CDE3"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7581787F"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02F883DF" w14:textId="77777777" w:rsidR="005F2AC9" w:rsidRDefault="005F2AC9">
            <w:pPr>
              <w:spacing w:before="0" w:after="0" w:line="240" w:lineRule="auto"/>
              <w:rPr>
                <w:rFonts w:ascii="Times New Roman" w:eastAsia="Times New Roman" w:hAnsi="Times New Roman" w:cs="Times New Roman"/>
                <w:color w:val="000000" w:themeColor="text1"/>
              </w:rPr>
            </w:pPr>
          </w:p>
          <w:p w14:paraId="12E7AC80" w14:textId="77777777" w:rsidR="005F2AC9" w:rsidRDefault="005F2AC9">
            <w:pPr>
              <w:spacing w:before="0" w:after="0" w:line="240" w:lineRule="auto"/>
              <w:rPr>
                <w:rFonts w:ascii="Times New Roman" w:eastAsia="Times New Roman" w:hAnsi="Times New Roman" w:cs="Times New Roman"/>
                <w:color w:val="000000" w:themeColor="text1"/>
              </w:rPr>
            </w:pPr>
          </w:p>
          <w:p w14:paraId="5CD15D9A" w14:textId="77777777" w:rsidR="005F2AC9" w:rsidRDefault="005F2AC9">
            <w:pPr>
              <w:spacing w:before="0" w:after="0" w:line="240" w:lineRule="auto"/>
              <w:rPr>
                <w:rFonts w:ascii="Times New Roman" w:eastAsia="Times New Roman" w:hAnsi="Times New Roman" w:cs="Times New Roman"/>
                <w:color w:val="000000" w:themeColor="text1"/>
              </w:rPr>
            </w:pPr>
          </w:p>
          <w:p w14:paraId="6700C924" w14:textId="77777777" w:rsidR="005F2AC9" w:rsidRDefault="005F2AC9">
            <w:pPr>
              <w:spacing w:before="0" w:after="0" w:line="240" w:lineRule="auto"/>
              <w:rPr>
                <w:rFonts w:ascii="Times New Roman" w:eastAsia="Times New Roman" w:hAnsi="Times New Roman" w:cs="Times New Roman"/>
                <w:color w:val="000000" w:themeColor="text1"/>
              </w:rPr>
            </w:pPr>
          </w:p>
          <w:p w14:paraId="24314F02"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12B0CCE8"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N/A</w:t>
            </w:r>
          </w:p>
        </w:tc>
        <w:tc>
          <w:tcPr>
            <w:tcW w:w="1143"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23B19735"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lastRenderedPageBreak/>
              <w:t>42%</w:t>
            </w:r>
          </w:p>
          <w:p w14:paraId="6F028532"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4EBCD12A"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3CB117CB"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70EA90EC"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71C6A731"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6D08ED92" w14:textId="77777777" w:rsidR="005F2AC9" w:rsidRDefault="005F2AC9">
            <w:pPr>
              <w:spacing w:before="0" w:after="0" w:line="240" w:lineRule="auto"/>
              <w:rPr>
                <w:rFonts w:ascii="Times New Roman" w:eastAsia="Times New Roman" w:hAnsi="Times New Roman" w:cs="Times New Roman"/>
                <w:color w:val="000000" w:themeColor="text1"/>
              </w:rPr>
            </w:pPr>
          </w:p>
          <w:p w14:paraId="0A8EF41A" w14:textId="77777777" w:rsidR="005F2AC9" w:rsidRDefault="005F2AC9">
            <w:pPr>
              <w:spacing w:before="0" w:after="0" w:line="240" w:lineRule="auto"/>
              <w:rPr>
                <w:rFonts w:ascii="Times New Roman" w:eastAsia="Times New Roman" w:hAnsi="Times New Roman" w:cs="Times New Roman"/>
                <w:color w:val="000000" w:themeColor="text1"/>
              </w:rPr>
            </w:pPr>
          </w:p>
          <w:p w14:paraId="293738E0" w14:textId="77777777" w:rsidR="005F2AC9" w:rsidRDefault="005F2AC9">
            <w:pPr>
              <w:spacing w:before="0" w:after="0" w:line="240" w:lineRule="auto"/>
              <w:rPr>
                <w:rFonts w:ascii="Times New Roman" w:eastAsia="Times New Roman" w:hAnsi="Times New Roman" w:cs="Times New Roman"/>
                <w:color w:val="000000" w:themeColor="text1"/>
              </w:rPr>
            </w:pPr>
          </w:p>
          <w:p w14:paraId="468DC264" w14:textId="77777777" w:rsidR="005F2AC9" w:rsidRDefault="005F2AC9">
            <w:pPr>
              <w:spacing w:before="0" w:after="0" w:line="240" w:lineRule="auto"/>
              <w:rPr>
                <w:rFonts w:ascii="Times New Roman" w:eastAsia="Times New Roman" w:hAnsi="Times New Roman" w:cs="Times New Roman"/>
                <w:color w:val="000000" w:themeColor="text1"/>
              </w:rPr>
            </w:pPr>
          </w:p>
          <w:p w14:paraId="47674813"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6044E142"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170 punonjës</w:t>
            </w:r>
          </w:p>
          <w:p w14:paraId="4D829172"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(Masa zbatohet në vitet në vijim)</w:t>
            </w:r>
          </w:p>
        </w:tc>
        <w:tc>
          <w:tcPr>
            <w:tcW w:w="1240"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25128E8B"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lastRenderedPageBreak/>
              <w:t>95%</w:t>
            </w:r>
          </w:p>
          <w:p w14:paraId="53F332F3"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33F686EB"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13A2BBC4"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650A123C"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4E6A854D"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6788BE53" w14:textId="77777777" w:rsidR="005F2AC9" w:rsidRDefault="005F2AC9">
            <w:pPr>
              <w:spacing w:before="0" w:after="0" w:line="240" w:lineRule="auto"/>
              <w:rPr>
                <w:rFonts w:ascii="Times New Roman" w:eastAsia="Times New Roman" w:hAnsi="Times New Roman" w:cs="Times New Roman"/>
                <w:color w:val="000000" w:themeColor="text1"/>
              </w:rPr>
            </w:pPr>
          </w:p>
          <w:p w14:paraId="03FA70D0" w14:textId="77777777" w:rsidR="005F2AC9" w:rsidRDefault="005F2AC9">
            <w:pPr>
              <w:spacing w:before="0" w:after="0" w:line="240" w:lineRule="auto"/>
              <w:rPr>
                <w:rFonts w:ascii="Times New Roman" w:eastAsia="Times New Roman" w:hAnsi="Times New Roman" w:cs="Times New Roman"/>
                <w:color w:val="000000" w:themeColor="text1"/>
              </w:rPr>
            </w:pPr>
          </w:p>
          <w:p w14:paraId="39C69C4D" w14:textId="77777777" w:rsidR="005F2AC9" w:rsidRDefault="005F2AC9">
            <w:pPr>
              <w:spacing w:before="0" w:after="0" w:line="240" w:lineRule="auto"/>
              <w:rPr>
                <w:rFonts w:ascii="Times New Roman" w:eastAsia="Times New Roman" w:hAnsi="Times New Roman" w:cs="Times New Roman"/>
                <w:color w:val="000000" w:themeColor="text1"/>
              </w:rPr>
            </w:pPr>
          </w:p>
          <w:p w14:paraId="13670D6B" w14:textId="77777777" w:rsidR="005F2AC9" w:rsidRDefault="005F2AC9">
            <w:pPr>
              <w:spacing w:before="0" w:after="0" w:line="240" w:lineRule="auto"/>
              <w:rPr>
                <w:rFonts w:ascii="Times New Roman" w:eastAsia="Times New Roman" w:hAnsi="Times New Roman" w:cs="Times New Roman"/>
                <w:color w:val="000000" w:themeColor="text1"/>
              </w:rPr>
            </w:pPr>
          </w:p>
          <w:p w14:paraId="737A745F"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3BCF4AB0"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340 punonjës</w:t>
            </w:r>
          </w:p>
        </w:tc>
        <w:tc>
          <w:tcPr>
            <w:tcW w:w="1302"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1A710440"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lastRenderedPageBreak/>
              <w:t>SHSSH/ të dhëna administrative</w:t>
            </w:r>
          </w:p>
          <w:p w14:paraId="7CBCDB92"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74406573"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6580DEE4"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1BF3C33F"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lastRenderedPageBreak/>
              <w:t xml:space="preserve"> </w:t>
            </w:r>
          </w:p>
          <w:p w14:paraId="7196095F"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23F27846"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SHSSH/ të dhëna administrative</w:t>
            </w:r>
          </w:p>
        </w:tc>
        <w:tc>
          <w:tcPr>
            <w:tcW w:w="1037"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27FCEB86" w14:textId="77777777" w:rsidR="005F2AC9" w:rsidRDefault="005F2AC9">
            <w:pPr>
              <w:spacing w:before="0" w:after="0" w:line="240" w:lineRule="auto"/>
              <w:rPr>
                <w:rFonts w:ascii="Times New Roman" w:eastAsia="Times New Roman" w:hAnsi="Times New Roman" w:cs="Times New Roman"/>
                <w:color w:val="000000" w:themeColor="text1"/>
              </w:rPr>
            </w:pPr>
          </w:p>
        </w:tc>
      </w:tr>
      <w:tr w:rsidR="005F2AC9" w14:paraId="4EC8661C" w14:textId="77777777">
        <w:trPr>
          <w:trHeight w:val="300"/>
        </w:trPr>
        <w:tc>
          <w:tcPr>
            <w:tcW w:w="1017" w:type="dxa"/>
            <w:vMerge/>
            <w:tcBorders>
              <w:top w:val="single" w:sz="6" w:space="0" w:color="000000"/>
              <w:left w:val="single" w:sz="6" w:space="0" w:color="000000"/>
              <w:bottom w:val="single" w:sz="6" w:space="0" w:color="000000"/>
              <w:right w:val="single" w:sz="6" w:space="0" w:color="000000"/>
            </w:tcBorders>
            <w:shd w:val="clear" w:color="auto" w:fill="FFF2CC"/>
            <w:vAlign w:val="center"/>
          </w:tcPr>
          <w:p w14:paraId="4BCCAC84" w14:textId="77777777" w:rsidR="005F2AC9" w:rsidRDefault="005F2AC9">
            <w:pPr>
              <w:spacing w:before="0" w:after="0" w:line="240" w:lineRule="auto"/>
              <w:rPr>
                <w:color w:val="000000" w:themeColor="text1"/>
              </w:rPr>
            </w:pPr>
          </w:p>
        </w:tc>
        <w:tc>
          <w:tcPr>
            <w:tcW w:w="1333"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060325D0"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A3.2. Forcimi i bashkëpunimit ndër-sektorial me fokus fëmijët në programin e NE-së dhe hartimi i planit për garancinë e fëmijëve.</w:t>
            </w:r>
          </w:p>
        </w:tc>
        <w:tc>
          <w:tcPr>
            <w:tcW w:w="1376"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41CE5895"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Numri i takimeve me strukturat rajonale dhe vendore të fushave të ndryshme për nxitjen e bashkëpunimit ndërsektorial me sistemin arsimor dhe shëndetësor, si dhe planifikimin e Garancisë së Fëmijëve; </w:t>
            </w:r>
          </w:p>
          <w:p w14:paraId="24291290"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56B9EE43"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35F652E9"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45D794ED"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7A793198"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Plani i Veprimit për Garancinë e fëmijëve hartuar dhe aprovuar, sipas udhëzimeve të BE.</w:t>
            </w:r>
          </w:p>
        </w:tc>
        <w:tc>
          <w:tcPr>
            <w:tcW w:w="670"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16708AD5"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N/A</w:t>
            </w:r>
          </w:p>
          <w:p w14:paraId="768AD588"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472EBF89"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6776D1CB"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545B4F95"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4E08E41D"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46241655"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7179A6FF"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630888F5"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597B16D0"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62271469"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1046DABC"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094228EE"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4A28E2A4"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1D8B7F8D"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0BA91320"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704F705D"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32969367"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55A19462"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32C655C2"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7DD4CB5D"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N/A</w:t>
            </w:r>
          </w:p>
        </w:tc>
        <w:tc>
          <w:tcPr>
            <w:tcW w:w="1143"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678AB175"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10 tryeza konsultative </w:t>
            </w:r>
          </w:p>
          <w:p w14:paraId="4EC6CD50"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3BBF60E9"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Masa zbatohet në vitet në vijim)</w:t>
            </w:r>
          </w:p>
          <w:p w14:paraId="37F5A53C"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65D0B96C"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13666125"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59A9740C"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54D5E59F"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2CD6E8DE"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4BB059E6"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4775B0CF"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090CD064"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4BA341FA"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5126EFC2"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5DC8BA72"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78A58080" w14:textId="77777777" w:rsidR="005F2AC9" w:rsidRDefault="00B56839">
            <w:pPr>
              <w:spacing w:before="0" w:after="0" w:line="240" w:lineRule="auto"/>
              <w:rPr>
                <w:rFonts w:ascii="Times New Roman" w:eastAsia="Times New Roman" w:hAnsi="Times New Roman" w:cs="Times New Roman"/>
                <w:color w:val="000000" w:themeColor="text1"/>
                <w:lang w:val="it-IT"/>
              </w:rPr>
            </w:pPr>
            <w:r>
              <w:rPr>
                <w:rFonts w:ascii="Times New Roman" w:eastAsia="Times New Roman" w:hAnsi="Times New Roman" w:cs="Times New Roman"/>
                <w:color w:val="000000" w:themeColor="text1"/>
                <w:lang w:val="it-IT"/>
              </w:rPr>
              <w:t>Plani Kombëtar i Veprimit për Garancinë e fëmijëve 2026-2030</w:t>
            </w:r>
          </w:p>
          <w:p w14:paraId="003FAD95" w14:textId="77777777" w:rsidR="005F2AC9" w:rsidRDefault="00B56839">
            <w:pPr>
              <w:spacing w:before="0" w:after="0" w:line="240" w:lineRule="auto"/>
              <w:rPr>
                <w:rFonts w:ascii="Times New Roman" w:eastAsia="Times New Roman" w:hAnsi="Times New Roman" w:cs="Times New Roman"/>
                <w:color w:val="000000" w:themeColor="text1"/>
                <w:lang w:val="it-IT"/>
              </w:rPr>
            </w:pPr>
            <w:r>
              <w:rPr>
                <w:rFonts w:ascii="Times New Roman" w:eastAsia="Times New Roman" w:hAnsi="Times New Roman" w:cs="Times New Roman"/>
                <w:color w:val="000000" w:themeColor="text1"/>
                <w:lang w:val="it-IT"/>
              </w:rPr>
              <w:t>(i hartuar, ne pritje për miratim nga KM)</w:t>
            </w:r>
          </w:p>
        </w:tc>
        <w:tc>
          <w:tcPr>
            <w:tcW w:w="1240"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25F2E301"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5 tryeza konsultative </w:t>
            </w:r>
          </w:p>
          <w:p w14:paraId="71FB67D7"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54CBA076"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22D7A45D"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45C940ED"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54CCA654"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4A15C360"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3FF51211"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37C2E800"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4B4B08F6"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18A3B1B7"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5AE585FB"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3251D97B"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091121B9"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7147681B"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5B71D2F6"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38B70AA6"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61204FA1"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2F9BBEB6" w14:textId="77777777" w:rsidR="005F2AC9" w:rsidRDefault="00B56839">
            <w:pPr>
              <w:spacing w:before="0" w:after="0" w:line="240" w:lineRule="auto"/>
              <w:rPr>
                <w:rFonts w:ascii="Times New Roman" w:eastAsia="Times New Roman" w:hAnsi="Times New Roman" w:cs="Times New Roman"/>
                <w:color w:val="000000" w:themeColor="text1"/>
                <w:lang w:val="it-IT"/>
              </w:rPr>
            </w:pPr>
            <w:r>
              <w:rPr>
                <w:rFonts w:ascii="Times New Roman" w:eastAsia="Times New Roman" w:hAnsi="Times New Roman" w:cs="Times New Roman"/>
                <w:color w:val="000000" w:themeColor="text1"/>
                <w:lang w:val="it-IT"/>
              </w:rPr>
              <w:t xml:space="preserve">Ndërtimi i strukturës institucionale të zbatimit </w:t>
            </w:r>
          </w:p>
          <w:p w14:paraId="04F02330"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0B829E77"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Fillimi i zbatimit</w:t>
            </w:r>
          </w:p>
        </w:tc>
        <w:tc>
          <w:tcPr>
            <w:tcW w:w="1302"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2D05ED49"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SHSSH/ të dhëna administrative</w:t>
            </w:r>
          </w:p>
          <w:p w14:paraId="576CC9E2"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0389BE12"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564D5948"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70670774"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3B95E759"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SSS/ të dhëna administrative</w:t>
            </w:r>
          </w:p>
          <w:p w14:paraId="00D92511"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256FA796"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MSHMS/ të dhëna administrative</w:t>
            </w:r>
          </w:p>
          <w:p w14:paraId="477CF7FD"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204289BA"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33AA7A70"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MSHMS në koordinim me institucionet e linjës</w:t>
            </w:r>
          </w:p>
        </w:tc>
        <w:tc>
          <w:tcPr>
            <w:tcW w:w="1037"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2E27FAAC" w14:textId="77777777" w:rsidR="005F2AC9" w:rsidRDefault="005F2AC9">
            <w:pPr>
              <w:spacing w:before="0" w:after="0" w:line="240" w:lineRule="auto"/>
              <w:rPr>
                <w:rFonts w:ascii="Times New Roman" w:eastAsia="Times New Roman" w:hAnsi="Times New Roman" w:cs="Times New Roman"/>
                <w:color w:val="000000" w:themeColor="text1"/>
              </w:rPr>
            </w:pPr>
          </w:p>
        </w:tc>
      </w:tr>
    </w:tbl>
    <w:p w14:paraId="790220E7" w14:textId="77777777" w:rsidR="005F2AC9" w:rsidRDefault="005F2AC9">
      <w:pPr>
        <w:spacing w:after="0"/>
        <w:jc w:val="both"/>
        <w:rPr>
          <w:rFonts w:ascii="Times New Roman" w:hAnsi="Times New Roman"/>
          <w:color w:val="000000" w:themeColor="text1"/>
          <w:sz w:val="24"/>
          <w:szCs w:val="24"/>
        </w:rPr>
      </w:pPr>
    </w:p>
    <w:p w14:paraId="61B52ADD" w14:textId="77777777" w:rsidR="005F2AC9" w:rsidRDefault="00B56839">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Skema e ndihmës ekonomike, mbështet familjet e varfëra dhe sidomos familjet e mëdha. Familje me më shumë se katër anëtarë përbëjnë rreth 67% të skemës së ndihmës ekonomike. Për familjet e mëdha, përkatësisht familjet me tre e më shumë fëmijë është dyfishuar masa e përfitimit të ndihmës ekonomike.</w:t>
      </w:r>
    </w:p>
    <w:p w14:paraId="7E3A3E51" w14:textId="77777777" w:rsidR="005F2AC9" w:rsidRDefault="00B56839">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Përveç pagesës së dyfishuar këto familje marrin dhe përfitime të tjera si:</w:t>
      </w:r>
    </w:p>
    <w:p w14:paraId="1B75A80F" w14:textId="77777777" w:rsidR="005F2AC9" w:rsidRDefault="00B56839">
      <w:pPr>
        <w:numPr>
          <w:ilvl w:val="0"/>
          <w:numId w:val="16"/>
        </w:num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Subvencion mujor, të faturës së energjisë elektrike në masën 1,288 lekë për familje</w:t>
      </w:r>
    </w:p>
    <w:p w14:paraId="0BBCFA08" w14:textId="77777777" w:rsidR="005F2AC9" w:rsidRDefault="00B56839">
      <w:pPr>
        <w:numPr>
          <w:ilvl w:val="0"/>
          <w:numId w:val="16"/>
        </w:num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Subvencion per çdo femije qe ndjek arsimin e detyrueshem dhe për kryejen e çdo vaksine në masën 400 lekë në muaj</w:t>
      </w:r>
    </w:p>
    <w:p w14:paraId="6BD0A952" w14:textId="77777777" w:rsidR="005F2AC9" w:rsidRDefault="00B56839">
      <w:pPr>
        <w:numPr>
          <w:ilvl w:val="0"/>
          <w:numId w:val="16"/>
        </w:num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Shërbime shëndetësore falas si në shërbimin parësor dhe atë dytësor, rimburisim medikamentesh;</w:t>
      </w:r>
    </w:p>
    <w:p w14:paraId="3EFC9345" w14:textId="77777777" w:rsidR="005F2AC9" w:rsidRDefault="00B56839">
      <w:pPr>
        <w:numPr>
          <w:ilvl w:val="0"/>
          <w:numId w:val="16"/>
        </w:num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Përjashtim nga tarifa për fëmijët që frekuentojnë çerdhe/kopshte;</w:t>
      </w:r>
    </w:p>
    <w:p w14:paraId="7AAA87DE" w14:textId="77777777" w:rsidR="005F2AC9" w:rsidRDefault="00B56839">
      <w:pPr>
        <w:numPr>
          <w:ilvl w:val="0"/>
          <w:numId w:val="16"/>
        </w:num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Përjashtim nga tarifa e shkollimit universitar për programet profesionale, ciklin e parë të studimeve. Në ciklin e dytë përfitojnë 50% të tarifës.</w:t>
      </w:r>
    </w:p>
    <w:p w14:paraId="7B2B4CA0" w14:textId="77777777" w:rsidR="005F2AC9" w:rsidRDefault="00B56839">
      <w:pPr>
        <w:numPr>
          <w:ilvl w:val="0"/>
          <w:numId w:val="16"/>
        </w:num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Përfitim burse nga fondi i mbështetjes studentore, në programet e studimeve profesionale, programet e ciklit të parë të studimeve, programet e intregruara të studimeve. Studentët që vazhdojnë studimet në një program të dytë studimi nuk trajtohen me bursë financiare. </w:t>
      </w:r>
    </w:p>
    <w:p w14:paraId="4727956E" w14:textId="77777777" w:rsidR="005F2AC9" w:rsidRDefault="00B56839">
      <w:pPr>
        <w:numPr>
          <w:ilvl w:val="0"/>
          <w:numId w:val="16"/>
        </w:num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Përfitim të teksteve shkollore falas për arsimin e detyrueshëm për nxënësit që ndjekin arsimin bazë nga klasa e parë deri në klasën e tretë në institucionet arsimore publike, në institucionet e paraburgimit, të vuajtjes së dënimit dhe në institucionet e përkujdesjes shoqërore. Nxënësve që ndjekin arsimin bazë në këto institucione nga klsa e katërt deri në klasën e nëntë, u jepen tekstet shkollore në përdorim falas.</w:t>
      </w:r>
    </w:p>
    <w:p w14:paraId="549C67D0" w14:textId="77777777" w:rsidR="005F2AC9" w:rsidRDefault="00B56839">
      <w:pPr>
        <w:numPr>
          <w:ilvl w:val="0"/>
          <w:numId w:val="16"/>
        </w:num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Përfitim nga programet e strehimit social.</w:t>
      </w:r>
    </w:p>
    <w:p w14:paraId="0F478203" w14:textId="77777777" w:rsidR="005F2AC9" w:rsidRDefault="00B56839">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455372B3" w14:textId="77777777" w:rsidR="005F2AC9" w:rsidRDefault="00B56839">
      <w:pPr>
        <w:spacing w:after="0" w:line="300" w:lineRule="exact"/>
        <w:jc w:val="both"/>
        <w:rPr>
          <w:rFonts w:ascii="Times New Roman" w:hAnsi="Times New Roman"/>
          <w:color w:val="000000" w:themeColor="text1"/>
          <w:sz w:val="24"/>
          <w:szCs w:val="24"/>
        </w:rPr>
      </w:pPr>
      <w:r>
        <w:rPr>
          <w:rFonts w:ascii="Times New Roman" w:hAnsi="Times New Roman"/>
          <w:b/>
          <w:bCs/>
          <w:color w:val="000000" w:themeColor="text1"/>
          <w:sz w:val="24"/>
          <w:szCs w:val="24"/>
        </w:rPr>
        <w:t xml:space="preserve">Programi i mbështetjes së veçantë nga shteti për gratë e papuna me shumë fëmijë </w:t>
      </w:r>
      <w:r>
        <w:rPr>
          <w:rFonts w:ascii="Times New Roman" w:hAnsi="Times New Roman"/>
          <w:color w:val="000000" w:themeColor="text1"/>
          <w:sz w:val="24"/>
          <w:szCs w:val="24"/>
        </w:rPr>
        <w:t>për nënat e papuna me 3 e më shumë fëmijë, ku fëmija i vogël është nën 5 vjec, numëron</w:t>
      </w:r>
      <w:r>
        <w:rPr>
          <w:rFonts w:ascii="Times New Roman" w:hAnsi="Times New Roman"/>
          <w:b/>
          <w:bCs/>
          <w:color w:val="000000" w:themeColor="text1"/>
          <w:sz w:val="24"/>
          <w:szCs w:val="24"/>
        </w:rPr>
        <w:t xml:space="preserve"> 9,200</w:t>
      </w:r>
      <w:r>
        <w:rPr>
          <w:rFonts w:ascii="Times New Roman" w:hAnsi="Times New Roman"/>
          <w:color w:val="000000" w:themeColor="text1"/>
          <w:sz w:val="24"/>
          <w:szCs w:val="24"/>
        </w:rPr>
        <w:t xml:space="preserve"> nëna, të cilat përfitojnë nga njohja e moshës së pensionit, pasi atyre i paguhen nga buxheti i shtetit siguracionet e sigurimeve shoqërore dhe shëndetësore. Nga këto, rreth 4,000 janë gra përfituese nga skema e ndihmës ekonomike. </w:t>
      </w:r>
    </w:p>
    <w:p w14:paraId="2D640D0D" w14:textId="77777777" w:rsidR="005F2AC9" w:rsidRDefault="005F2AC9">
      <w:pPr>
        <w:spacing w:after="0" w:line="300" w:lineRule="exact"/>
        <w:jc w:val="both"/>
        <w:rPr>
          <w:rFonts w:ascii="Times New Roman" w:hAnsi="Times New Roman"/>
          <w:color w:val="000000" w:themeColor="text1"/>
          <w:sz w:val="24"/>
          <w:szCs w:val="24"/>
        </w:rPr>
      </w:pPr>
    </w:p>
    <w:p w14:paraId="72558542" w14:textId="77777777" w:rsidR="005F2AC9" w:rsidRDefault="00B56839">
      <w:pPr>
        <w:pStyle w:val="CommentText"/>
        <w:spacing w:line="300" w:lineRule="exact"/>
        <w:jc w:val="both"/>
        <w:rPr>
          <w:rFonts w:ascii="Times New Roman" w:hAnsi="Times New Roman" w:cs="Times New Roman"/>
          <w:color w:val="000000" w:themeColor="text1"/>
          <w:sz w:val="24"/>
          <w:szCs w:val="24"/>
          <w:highlight w:val="yellow"/>
          <w:lang w:val="sq-AL"/>
        </w:rPr>
      </w:pPr>
      <w:r>
        <w:rPr>
          <w:rFonts w:ascii="Times New Roman" w:eastAsia="Times New Roman" w:hAnsi="Times New Roman" w:cs="Times New Roman"/>
          <w:b/>
          <w:bCs/>
          <w:color w:val="000000" w:themeColor="text1"/>
          <w:sz w:val="24"/>
          <w:szCs w:val="24"/>
          <w:lang w:val="it-IT"/>
        </w:rPr>
        <w:t>Planit Kombëtar i Veprimit të Garancisë Evropiane për Fëmijët 2026-2030</w:t>
      </w:r>
    </w:p>
    <w:p w14:paraId="55E63780" w14:textId="77777777" w:rsidR="005F2AC9" w:rsidRDefault="00B56839">
      <w:pPr>
        <w:pStyle w:val="CommentText"/>
        <w:spacing w:line="300" w:lineRule="exact"/>
        <w:jc w:val="both"/>
        <w:rPr>
          <w:rFonts w:ascii="Times New Roman" w:hAnsi="Times New Roman" w:cs="Times New Roman"/>
          <w:color w:val="000000" w:themeColor="text1"/>
          <w:sz w:val="24"/>
          <w:szCs w:val="24"/>
          <w:highlight w:val="yellow"/>
          <w:lang w:val="sq-AL"/>
        </w:rPr>
      </w:pPr>
      <w:bookmarkStart w:id="26" w:name="_Hlk200980385"/>
      <w:r>
        <w:rPr>
          <w:rFonts w:ascii="Times New Roman" w:hAnsi="Times New Roman" w:cs="Times New Roman"/>
          <w:color w:val="000000" w:themeColor="text1"/>
          <w:sz w:val="24"/>
          <w:szCs w:val="24"/>
          <w:lang w:val="sq-AL"/>
        </w:rPr>
        <w:t xml:space="preserve">Është ngritur Grupi ndërinstitucional i punës për hartimin e planit të veprimit për garancinë e fëmijëve me anë të Urdhërit nr.577, datë 08.11.2024. Në zbatim të këtij urdhri gjatë vitit 2025 është hartuar </w:t>
      </w:r>
      <w:bookmarkEnd w:id="26"/>
      <w:r>
        <w:rPr>
          <w:rFonts w:ascii="Times New Roman" w:eastAsia="Times New Roman" w:hAnsi="Times New Roman" w:cs="Times New Roman"/>
          <w:color w:val="000000" w:themeColor="text1"/>
          <w:sz w:val="24"/>
          <w:szCs w:val="24"/>
          <w:lang w:val="it-IT"/>
        </w:rPr>
        <w:t>Plani Kombëtar i Veprimit të Garancisë Evropiane për Fëmijët 2026-2030.</w:t>
      </w:r>
    </w:p>
    <w:p w14:paraId="7BEC1385" w14:textId="77777777" w:rsidR="005F2AC9" w:rsidRDefault="00B56839">
      <w:pPr>
        <w:pStyle w:val="CommentText"/>
        <w:spacing w:line="300" w:lineRule="exact"/>
        <w:jc w:val="both"/>
        <w:rPr>
          <w:rFonts w:ascii="Times New Roman" w:eastAsia="MS PMincho" w:hAnsi="Times New Roman" w:cs="Times New Roman"/>
          <w:color w:val="000000" w:themeColor="text1"/>
          <w:sz w:val="24"/>
          <w:szCs w:val="24"/>
          <w:lang w:val="sq-AL"/>
        </w:rPr>
      </w:pPr>
      <w:r>
        <w:rPr>
          <w:rFonts w:ascii="Times New Roman" w:eastAsia="MS PMincho" w:hAnsi="Times New Roman" w:cs="Times New Roman"/>
          <w:color w:val="000000" w:themeColor="text1"/>
          <w:sz w:val="24"/>
          <w:szCs w:val="24"/>
          <w:lang w:val="sq-AL"/>
        </w:rPr>
        <w:t xml:space="preserve">Ky plan veprimi përcakton masat prioritare për zbatimin e Rekomandimit të Këshillit të Bashkimit Evropian të datës 14 qershor 2021 për themelimin e Garancisë Evropiane për Fëmijët (Rekomandimi i Këshillit (BE) 2021/1004 i datës 14 qershor 2021 për krijimin e një Garancie Evropiane për Fëmijët OJ L 223, 22.6.2021, fq 14–23), duke reflektuar angazhimin e Shqipërisë për të garantuar mbrojtjen sociale dhe përfshirjen e barabartë të çdo fëmije. Objektivi kryesor i këtij plani është parandalimi i përjashtimit social dhe sigurimi i aksesit efektiv e gjithëpërfshirës në shërbime themelore për fëmijët në nevojë. Sipas përkufizimit që përdor Bashkimi Evropian, kategoria “fëmijë në nevojë”, u referohet të miturve nën 18 vjeç në rrezik varfërie ose </w:t>
      </w:r>
      <w:r>
        <w:rPr>
          <w:rFonts w:ascii="Times New Roman" w:eastAsia="MS PMincho" w:hAnsi="Times New Roman" w:cs="Times New Roman"/>
          <w:color w:val="000000" w:themeColor="text1"/>
          <w:sz w:val="24"/>
          <w:szCs w:val="24"/>
          <w:lang w:val="sq-AL"/>
        </w:rPr>
        <w:lastRenderedPageBreak/>
        <w:t>përjashtimi social, të cilët duhet të përfitojnë akses falas dhe efektiv në edukimin dhe kujdesin në fëmijërinë e hershme, arsimin e detyrueshëm dhe atë të mesëm (përfshirë aktivitetet jashtëshkollore), garantimin e të paktën një vakti ushqimor të shëndetshëm çdo ditë shkollore, kujdesin shëndetësor; si dhe akses efektiv në ushqyerjen e shëndetshme dhe strehim të përshtatshëm. Në përputhje me objektivat dhe standardet e Garancisë Evropiane për Fëmijët, plani ndërthur politika dhe masa të integruara ndërsektoriale në arsim, shëndetësi, mbrojtje sociale dhe strehim, në nivel kombëtar, vendor e komunitar, duke synuar një qasje gjithëpërfshirëse e të koordinuar.</w:t>
      </w:r>
    </w:p>
    <w:p w14:paraId="2AB5D658" w14:textId="77777777" w:rsidR="005F2AC9" w:rsidRDefault="00B56839">
      <w:pPr>
        <w:pStyle w:val="CommentText"/>
        <w:spacing w:line="300" w:lineRule="exact"/>
        <w:jc w:val="both"/>
        <w:rPr>
          <w:rFonts w:ascii="Times New Roman" w:eastAsia="MS PMincho" w:hAnsi="Times New Roman" w:cs="Times New Roman"/>
          <w:color w:val="000000" w:themeColor="text1"/>
          <w:sz w:val="24"/>
          <w:szCs w:val="24"/>
          <w:lang w:val="sq-AL"/>
        </w:rPr>
      </w:pPr>
      <w:r>
        <w:rPr>
          <w:rFonts w:ascii="Times New Roman" w:eastAsia="MS PMincho" w:hAnsi="Times New Roman" w:cs="Times New Roman"/>
          <w:color w:val="000000" w:themeColor="text1"/>
          <w:sz w:val="24"/>
          <w:szCs w:val="24"/>
          <w:lang w:val="sq-AL"/>
        </w:rPr>
        <w:t>Plani i veprimtit ka gjashtë fusha veprimi dhe disa objektiva që synohen të arrihen përmes tij si mbrojtja dhe mirëqenia e fëmijëve; edukimi dhe kujdesi në fëmijërinë e hershme (EKFH); arsimi; shëndetësia; mirëushqyerja dhe strehimi.</w:t>
      </w:r>
    </w:p>
    <w:p w14:paraId="1CECBFB8" w14:textId="77777777" w:rsidR="005F2AC9" w:rsidRDefault="005F2AC9">
      <w:pPr>
        <w:pStyle w:val="CommentText"/>
        <w:spacing w:line="300" w:lineRule="exact"/>
        <w:jc w:val="both"/>
        <w:rPr>
          <w:rFonts w:ascii="Times New Roman" w:hAnsi="Times New Roman" w:cs="Times New Roman"/>
          <w:color w:val="000000" w:themeColor="text1"/>
          <w:sz w:val="24"/>
          <w:szCs w:val="24"/>
          <w:lang w:val="sq-AL"/>
        </w:rPr>
      </w:pPr>
    </w:p>
    <w:p w14:paraId="4183AFD7" w14:textId="77777777" w:rsidR="005F2AC9" w:rsidRDefault="005F2AC9">
      <w:pPr>
        <w:pStyle w:val="CommentText"/>
        <w:spacing w:line="300" w:lineRule="exact"/>
        <w:jc w:val="both"/>
        <w:rPr>
          <w:rFonts w:ascii="Times New Roman" w:hAnsi="Times New Roman" w:cs="Times New Roman"/>
          <w:color w:val="000000" w:themeColor="text1"/>
          <w:sz w:val="24"/>
          <w:szCs w:val="24"/>
          <w:lang w:val="sq-AL"/>
        </w:rPr>
      </w:pPr>
    </w:p>
    <w:p w14:paraId="73FD9535" w14:textId="77777777" w:rsidR="005F2AC9" w:rsidRDefault="005F2AC9">
      <w:pPr>
        <w:pStyle w:val="CommentText"/>
        <w:spacing w:line="300" w:lineRule="exact"/>
        <w:jc w:val="both"/>
        <w:rPr>
          <w:rFonts w:ascii="Times New Roman" w:hAnsi="Times New Roman" w:cs="Times New Roman"/>
          <w:color w:val="000000" w:themeColor="text1"/>
          <w:sz w:val="24"/>
          <w:szCs w:val="24"/>
          <w:lang w:val="sq-AL"/>
        </w:rPr>
      </w:pPr>
    </w:p>
    <w:p w14:paraId="625204BE" w14:textId="77777777" w:rsidR="005F2AC9" w:rsidRDefault="005F2AC9">
      <w:pPr>
        <w:pStyle w:val="CommentText"/>
        <w:spacing w:line="300" w:lineRule="exact"/>
        <w:jc w:val="both"/>
        <w:rPr>
          <w:rFonts w:ascii="Times New Roman" w:hAnsi="Times New Roman" w:cs="Times New Roman"/>
          <w:color w:val="000000" w:themeColor="text1"/>
          <w:sz w:val="24"/>
          <w:szCs w:val="24"/>
          <w:lang w:val="sq-AL"/>
        </w:rPr>
      </w:pPr>
    </w:p>
    <w:p w14:paraId="7F8CDBD7" w14:textId="77777777" w:rsidR="005F2AC9" w:rsidRDefault="005F2AC9">
      <w:pPr>
        <w:pStyle w:val="CommentText"/>
        <w:spacing w:line="300" w:lineRule="exact"/>
        <w:jc w:val="both"/>
        <w:rPr>
          <w:rFonts w:ascii="Times New Roman" w:hAnsi="Times New Roman" w:cs="Times New Roman"/>
          <w:color w:val="000000" w:themeColor="text1"/>
          <w:sz w:val="24"/>
          <w:szCs w:val="24"/>
          <w:lang w:val="sq-AL"/>
        </w:rPr>
      </w:pPr>
    </w:p>
    <w:p w14:paraId="58FBF2DD" w14:textId="77777777" w:rsidR="00962E92" w:rsidRDefault="00962E92">
      <w:pPr>
        <w:pStyle w:val="CommentText"/>
        <w:spacing w:line="300" w:lineRule="exact"/>
        <w:jc w:val="both"/>
        <w:rPr>
          <w:rFonts w:ascii="Times New Roman" w:hAnsi="Times New Roman" w:cs="Times New Roman"/>
          <w:color w:val="000000" w:themeColor="text1"/>
          <w:sz w:val="24"/>
          <w:szCs w:val="24"/>
          <w:lang w:val="sq-AL"/>
        </w:rPr>
      </w:pPr>
    </w:p>
    <w:p w14:paraId="3F3187B5" w14:textId="77777777" w:rsidR="00962E92" w:rsidRDefault="00962E92">
      <w:pPr>
        <w:pStyle w:val="CommentText"/>
        <w:spacing w:line="300" w:lineRule="exact"/>
        <w:jc w:val="both"/>
        <w:rPr>
          <w:rFonts w:ascii="Times New Roman" w:hAnsi="Times New Roman" w:cs="Times New Roman"/>
          <w:color w:val="000000" w:themeColor="text1"/>
          <w:sz w:val="24"/>
          <w:szCs w:val="24"/>
          <w:lang w:val="sq-AL"/>
        </w:rPr>
      </w:pPr>
    </w:p>
    <w:p w14:paraId="4C0DF0D8" w14:textId="77777777" w:rsidR="00962E92" w:rsidRDefault="00962E92">
      <w:pPr>
        <w:pStyle w:val="CommentText"/>
        <w:spacing w:line="300" w:lineRule="exact"/>
        <w:jc w:val="both"/>
        <w:rPr>
          <w:rFonts w:ascii="Times New Roman" w:hAnsi="Times New Roman" w:cs="Times New Roman"/>
          <w:color w:val="000000" w:themeColor="text1"/>
          <w:sz w:val="24"/>
          <w:szCs w:val="24"/>
          <w:lang w:val="sq-AL"/>
        </w:rPr>
      </w:pPr>
    </w:p>
    <w:p w14:paraId="411CFA33" w14:textId="77777777" w:rsidR="00962E92" w:rsidRDefault="00962E92">
      <w:pPr>
        <w:pStyle w:val="CommentText"/>
        <w:spacing w:line="300" w:lineRule="exact"/>
        <w:jc w:val="both"/>
        <w:rPr>
          <w:rFonts w:ascii="Times New Roman" w:hAnsi="Times New Roman" w:cs="Times New Roman"/>
          <w:color w:val="000000" w:themeColor="text1"/>
          <w:sz w:val="24"/>
          <w:szCs w:val="24"/>
          <w:lang w:val="sq-AL"/>
        </w:rPr>
      </w:pPr>
    </w:p>
    <w:p w14:paraId="07732DBD" w14:textId="77777777" w:rsidR="00962E92" w:rsidRDefault="00962E92">
      <w:pPr>
        <w:pStyle w:val="CommentText"/>
        <w:spacing w:line="300" w:lineRule="exact"/>
        <w:jc w:val="both"/>
        <w:rPr>
          <w:rFonts w:ascii="Times New Roman" w:hAnsi="Times New Roman" w:cs="Times New Roman"/>
          <w:color w:val="000000" w:themeColor="text1"/>
          <w:sz w:val="24"/>
          <w:szCs w:val="24"/>
          <w:lang w:val="sq-AL"/>
        </w:rPr>
      </w:pPr>
    </w:p>
    <w:p w14:paraId="0245AD42" w14:textId="77777777" w:rsidR="00962E92" w:rsidRDefault="00962E92">
      <w:pPr>
        <w:pStyle w:val="CommentText"/>
        <w:spacing w:line="300" w:lineRule="exact"/>
        <w:jc w:val="both"/>
        <w:rPr>
          <w:rFonts w:ascii="Times New Roman" w:hAnsi="Times New Roman" w:cs="Times New Roman"/>
          <w:color w:val="000000" w:themeColor="text1"/>
          <w:sz w:val="24"/>
          <w:szCs w:val="24"/>
          <w:lang w:val="sq-AL"/>
        </w:rPr>
      </w:pPr>
    </w:p>
    <w:p w14:paraId="1622C6BC" w14:textId="77777777" w:rsidR="00962E92" w:rsidRDefault="00962E92">
      <w:pPr>
        <w:pStyle w:val="CommentText"/>
        <w:spacing w:line="300" w:lineRule="exact"/>
        <w:jc w:val="both"/>
        <w:rPr>
          <w:rFonts w:ascii="Times New Roman" w:hAnsi="Times New Roman" w:cs="Times New Roman"/>
          <w:color w:val="000000" w:themeColor="text1"/>
          <w:sz w:val="24"/>
          <w:szCs w:val="24"/>
          <w:lang w:val="sq-AL"/>
        </w:rPr>
      </w:pPr>
    </w:p>
    <w:p w14:paraId="54FFEF6A" w14:textId="77777777" w:rsidR="00962E92" w:rsidRDefault="00962E92">
      <w:pPr>
        <w:pStyle w:val="CommentText"/>
        <w:spacing w:line="300" w:lineRule="exact"/>
        <w:jc w:val="both"/>
        <w:rPr>
          <w:rFonts w:ascii="Times New Roman" w:hAnsi="Times New Roman" w:cs="Times New Roman"/>
          <w:color w:val="000000" w:themeColor="text1"/>
          <w:sz w:val="24"/>
          <w:szCs w:val="24"/>
          <w:lang w:val="sq-AL"/>
        </w:rPr>
      </w:pPr>
    </w:p>
    <w:p w14:paraId="3C5EDDE8" w14:textId="77777777" w:rsidR="00962E92" w:rsidRDefault="00962E92">
      <w:pPr>
        <w:pStyle w:val="CommentText"/>
        <w:spacing w:line="300" w:lineRule="exact"/>
        <w:jc w:val="both"/>
        <w:rPr>
          <w:rFonts w:ascii="Times New Roman" w:hAnsi="Times New Roman" w:cs="Times New Roman"/>
          <w:color w:val="000000" w:themeColor="text1"/>
          <w:sz w:val="24"/>
          <w:szCs w:val="24"/>
          <w:lang w:val="sq-AL"/>
        </w:rPr>
      </w:pPr>
    </w:p>
    <w:p w14:paraId="5E6DEDD4" w14:textId="77777777" w:rsidR="00962E92" w:rsidRDefault="00962E92">
      <w:pPr>
        <w:pStyle w:val="CommentText"/>
        <w:spacing w:line="300" w:lineRule="exact"/>
        <w:jc w:val="both"/>
        <w:rPr>
          <w:rFonts w:ascii="Times New Roman" w:hAnsi="Times New Roman" w:cs="Times New Roman"/>
          <w:color w:val="000000" w:themeColor="text1"/>
          <w:sz w:val="24"/>
          <w:szCs w:val="24"/>
          <w:lang w:val="sq-AL"/>
        </w:rPr>
      </w:pPr>
    </w:p>
    <w:p w14:paraId="3E21248D" w14:textId="77777777" w:rsidR="00962E92" w:rsidRDefault="00962E92">
      <w:pPr>
        <w:pStyle w:val="CommentText"/>
        <w:spacing w:line="300" w:lineRule="exact"/>
        <w:jc w:val="both"/>
        <w:rPr>
          <w:rFonts w:ascii="Times New Roman" w:hAnsi="Times New Roman" w:cs="Times New Roman"/>
          <w:color w:val="000000" w:themeColor="text1"/>
          <w:sz w:val="24"/>
          <w:szCs w:val="24"/>
          <w:lang w:val="sq-AL"/>
        </w:rPr>
      </w:pPr>
    </w:p>
    <w:p w14:paraId="39753E8C" w14:textId="77777777" w:rsidR="009D7A19" w:rsidRDefault="009D7A19">
      <w:pPr>
        <w:pStyle w:val="CommentText"/>
        <w:spacing w:line="300" w:lineRule="exact"/>
        <w:jc w:val="both"/>
        <w:rPr>
          <w:rFonts w:ascii="Times New Roman" w:hAnsi="Times New Roman" w:cs="Times New Roman"/>
          <w:color w:val="000000" w:themeColor="text1"/>
          <w:sz w:val="24"/>
          <w:szCs w:val="24"/>
          <w:lang w:val="sq-AL"/>
        </w:rPr>
      </w:pPr>
    </w:p>
    <w:p w14:paraId="1DB5A550" w14:textId="77777777" w:rsidR="00962E92" w:rsidRDefault="00962E92">
      <w:pPr>
        <w:pStyle w:val="CommentText"/>
        <w:spacing w:line="300" w:lineRule="exact"/>
        <w:jc w:val="both"/>
        <w:rPr>
          <w:rFonts w:ascii="Times New Roman" w:hAnsi="Times New Roman" w:cs="Times New Roman"/>
          <w:color w:val="000000" w:themeColor="text1"/>
          <w:sz w:val="24"/>
          <w:szCs w:val="24"/>
          <w:lang w:val="sq-AL"/>
        </w:rPr>
      </w:pPr>
    </w:p>
    <w:p w14:paraId="59DAB9BF" w14:textId="77777777" w:rsidR="005F2AC9" w:rsidRDefault="005F2AC9">
      <w:pPr>
        <w:pStyle w:val="CommentText"/>
        <w:spacing w:line="300" w:lineRule="exact"/>
        <w:jc w:val="both"/>
        <w:rPr>
          <w:rFonts w:ascii="Times New Roman" w:hAnsi="Times New Roman" w:cs="Times New Roman"/>
          <w:color w:val="000000" w:themeColor="text1"/>
          <w:sz w:val="24"/>
          <w:szCs w:val="24"/>
          <w:lang w:val="sq-AL"/>
        </w:rPr>
      </w:pPr>
    </w:p>
    <w:p w14:paraId="2EEE3E6F" w14:textId="1A282689" w:rsidR="005F2AC9" w:rsidRPr="00561AD4" w:rsidRDefault="00B56839" w:rsidP="00561AD4">
      <w:pPr>
        <w:pStyle w:val="Heading1"/>
        <w:rPr>
          <w:color w:val="000000" w:themeColor="text1"/>
        </w:rPr>
      </w:pPr>
      <w:bookmarkStart w:id="27" w:name="_Toc119598205"/>
      <w:bookmarkStart w:id="28" w:name="_Toc156593605"/>
      <w:bookmarkStart w:id="29" w:name="_Toc150809630"/>
      <w:r>
        <w:rPr>
          <w:color w:val="000000" w:themeColor="text1"/>
        </w:rPr>
        <w:t xml:space="preserve">Qëllimi i politikës B: </w:t>
      </w:r>
      <w:bookmarkEnd w:id="27"/>
      <w:r>
        <w:rPr>
          <w:color w:val="000000" w:themeColor="text1"/>
        </w:rPr>
        <w:t>Zgjerimi i shërbimeve sociale të integruara, të aksesueshme e cilësore dhe të përgjegjshme gjinore si dhe avancimi i deinstitucionalizimit të kujdesit rezidencial, në partneritet me pushtetin vendor dhe aktorët e tjerë.</w:t>
      </w:r>
      <w:bookmarkEnd w:id="28"/>
      <w:bookmarkEnd w:id="29"/>
    </w:p>
    <w:p w14:paraId="04DDF73A" w14:textId="77777777" w:rsidR="005F2AC9" w:rsidRDefault="00B56839">
      <w:pPr>
        <w:spacing w:after="0"/>
        <w:jc w:val="both"/>
        <w:rPr>
          <w:rFonts w:ascii="Times New Roman" w:hAnsi="Times New Roman"/>
          <w:i/>
          <w:iCs/>
          <w:color w:val="000000" w:themeColor="text1"/>
          <w:sz w:val="24"/>
          <w:szCs w:val="24"/>
          <w:lang w:val="sq-AL"/>
        </w:rPr>
      </w:pPr>
      <w:bookmarkStart w:id="30" w:name="_Toc156593606"/>
      <w:r>
        <w:rPr>
          <w:rFonts w:ascii="Times New Roman" w:hAnsi="Times New Roman"/>
          <w:i/>
          <w:iCs/>
          <w:color w:val="000000" w:themeColor="text1"/>
          <w:sz w:val="24"/>
          <w:szCs w:val="24"/>
          <w:u w:val="single"/>
          <w:lang w:val="sq-AL"/>
        </w:rPr>
        <w:t>Objektivi specifik/strategjik B.1</w:t>
      </w:r>
      <w:r>
        <w:rPr>
          <w:rFonts w:ascii="Times New Roman" w:hAnsi="Times New Roman"/>
          <w:i/>
          <w:iCs/>
          <w:color w:val="000000" w:themeColor="text1"/>
          <w:sz w:val="24"/>
          <w:szCs w:val="24"/>
          <w:lang w:val="sq-AL"/>
        </w:rPr>
        <w:t>: Konsolidimi i proçesit të decentralizmit të shërbimeve të kujdesit social për financim të qëndrueshëm dhe të përgjegjshëm gjinor, mbulim gjeografik, aksesueshmëri dhe që i përgjigjen krizave dhe emergjencave.</w:t>
      </w:r>
      <w:bookmarkEnd w:id="30"/>
      <w:r>
        <w:rPr>
          <w:rFonts w:ascii="Times New Roman" w:hAnsi="Times New Roman"/>
          <w:i/>
          <w:iCs/>
          <w:color w:val="000000" w:themeColor="text1"/>
          <w:sz w:val="24"/>
          <w:szCs w:val="24"/>
          <w:lang w:val="sq-AL"/>
        </w:rPr>
        <w:t xml:space="preserve"> </w:t>
      </w:r>
    </w:p>
    <w:p w14:paraId="526229CF" w14:textId="77777777" w:rsidR="005F2AC9" w:rsidRDefault="00B56839">
      <w:pPr>
        <w:spacing w:after="0"/>
        <w:jc w:val="both"/>
        <w:rPr>
          <w:rFonts w:ascii="Times New Roman" w:hAnsi="Times New Roman"/>
          <w:i/>
          <w:iCs/>
          <w:color w:val="000000" w:themeColor="text1"/>
          <w:sz w:val="24"/>
          <w:szCs w:val="24"/>
          <w:lang w:val="sq-AL"/>
        </w:rPr>
      </w:pPr>
      <w:bookmarkStart w:id="31" w:name="_Toc156593607"/>
      <w:r>
        <w:rPr>
          <w:rFonts w:ascii="Times New Roman" w:hAnsi="Times New Roman"/>
          <w:i/>
          <w:iCs/>
          <w:color w:val="000000" w:themeColor="text1"/>
          <w:sz w:val="24"/>
          <w:szCs w:val="24"/>
          <w:u w:val="single"/>
          <w:lang w:val="sq-AL"/>
        </w:rPr>
        <w:t>Objektivi specifik/strategjik B.2</w:t>
      </w:r>
      <w:r>
        <w:rPr>
          <w:rFonts w:ascii="Times New Roman" w:hAnsi="Times New Roman"/>
          <w:i/>
          <w:iCs/>
          <w:color w:val="000000" w:themeColor="text1"/>
          <w:sz w:val="24"/>
          <w:szCs w:val="24"/>
          <w:lang w:val="sq-AL"/>
        </w:rPr>
        <w:t>: Zbatimi i standardeve dhe forcimi i kapaciteteve njerëzore të personelit të shërbimeve të kujdesit social për shërbime, cilësore dhe të përgjegjshme gjinore.</w:t>
      </w:r>
      <w:bookmarkEnd w:id="31"/>
      <w:r>
        <w:rPr>
          <w:rFonts w:ascii="Times New Roman" w:hAnsi="Times New Roman"/>
          <w:i/>
          <w:iCs/>
          <w:color w:val="000000" w:themeColor="text1"/>
          <w:sz w:val="24"/>
          <w:szCs w:val="24"/>
          <w:lang w:val="sq-AL"/>
        </w:rPr>
        <w:t xml:space="preserve"> </w:t>
      </w:r>
    </w:p>
    <w:p w14:paraId="1AEADDD1" w14:textId="77777777" w:rsidR="005F2AC9" w:rsidRDefault="00B56839">
      <w:pPr>
        <w:spacing w:after="0"/>
        <w:jc w:val="both"/>
        <w:rPr>
          <w:rFonts w:ascii="Times New Roman" w:hAnsi="Times New Roman"/>
          <w:i/>
          <w:iCs/>
          <w:color w:val="000000" w:themeColor="text1"/>
          <w:sz w:val="24"/>
          <w:szCs w:val="24"/>
          <w:lang w:val="sq-AL"/>
        </w:rPr>
      </w:pPr>
      <w:bookmarkStart w:id="32" w:name="_Toc156593608"/>
      <w:r>
        <w:rPr>
          <w:rFonts w:ascii="Times New Roman" w:hAnsi="Times New Roman"/>
          <w:i/>
          <w:iCs/>
          <w:color w:val="000000" w:themeColor="text1"/>
          <w:sz w:val="24"/>
          <w:szCs w:val="24"/>
          <w:u w:val="single"/>
          <w:lang w:val="sq-AL"/>
        </w:rPr>
        <w:t>Objektivi specifik/strategjik B.3</w:t>
      </w:r>
      <w:r>
        <w:rPr>
          <w:rFonts w:ascii="Times New Roman" w:hAnsi="Times New Roman"/>
          <w:i/>
          <w:iCs/>
          <w:color w:val="000000" w:themeColor="text1"/>
          <w:sz w:val="24"/>
          <w:szCs w:val="24"/>
          <w:lang w:val="sq-AL"/>
        </w:rPr>
        <w:t>: Deinstitucionalizmi i shërbimeve të kujdesit rezidencial dhe transformimi drejt shërbimeve në familje, komunitare dhe ditore duke respektuar parimin e të drejtave të njeriut dhe këndvështrimet gjinore.</w:t>
      </w:r>
      <w:bookmarkEnd w:id="32"/>
      <w:r>
        <w:rPr>
          <w:rFonts w:ascii="Times New Roman" w:hAnsi="Times New Roman"/>
          <w:i/>
          <w:iCs/>
          <w:color w:val="000000" w:themeColor="text1"/>
          <w:sz w:val="24"/>
          <w:szCs w:val="24"/>
          <w:lang w:val="sq-AL"/>
        </w:rPr>
        <w:t xml:space="preserve"> </w:t>
      </w:r>
    </w:p>
    <w:p w14:paraId="3F4C58D1" w14:textId="77777777" w:rsidR="005F2AC9" w:rsidRDefault="005F2AC9">
      <w:pPr>
        <w:spacing w:after="0"/>
        <w:jc w:val="both"/>
        <w:rPr>
          <w:rFonts w:ascii="Times New Roman" w:hAnsi="Times New Roman"/>
          <w:color w:val="000000" w:themeColor="text1"/>
          <w:sz w:val="24"/>
          <w:szCs w:val="24"/>
          <w:lang w:val="pt-BR"/>
        </w:rPr>
      </w:pPr>
    </w:p>
    <w:p w14:paraId="6EF8251C" w14:textId="77777777" w:rsidR="005F2AC9" w:rsidRDefault="00B56839">
      <w:pPr>
        <w:pStyle w:val="Caption"/>
        <w:keepNext/>
        <w:jc w:val="both"/>
        <w:rPr>
          <w:color w:val="000000" w:themeColor="text1"/>
          <w:sz w:val="24"/>
          <w:szCs w:val="24"/>
          <w:lang w:val="it-IT"/>
        </w:rPr>
      </w:pPr>
      <w:bookmarkStart w:id="33" w:name="_Toc76823063"/>
      <w:r>
        <w:rPr>
          <w:rFonts w:ascii="Times New Roman" w:hAnsi="Times New Roman" w:cs="Times New Roman"/>
          <w:bCs w:val="0"/>
          <w:color w:val="000000" w:themeColor="text1"/>
          <w:sz w:val="24"/>
          <w:szCs w:val="24"/>
          <w:lang w:val="sq-AL"/>
        </w:rPr>
        <w:t xml:space="preserve">Statusi i Realizimit të Indikatorëve (në nr. dhe %) për </w:t>
      </w:r>
      <w:bookmarkEnd w:id="33"/>
      <w:r>
        <w:rPr>
          <w:rFonts w:ascii="Times New Roman" w:hAnsi="Times New Roman" w:cs="Times New Roman"/>
          <w:bCs w:val="0"/>
          <w:color w:val="000000" w:themeColor="text1"/>
          <w:sz w:val="24"/>
          <w:szCs w:val="24"/>
          <w:lang w:val="sq-AL"/>
        </w:rPr>
        <w:t>Politikën B</w:t>
      </w:r>
    </w:p>
    <w:tbl>
      <w:tblPr>
        <w:tblW w:w="9464" w:type="dxa"/>
        <w:tblLayout w:type="fixed"/>
        <w:tblLook w:val="0000" w:firstRow="0" w:lastRow="0" w:firstColumn="0" w:lastColumn="0" w:noHBand="0" w:noVBand="0"/>
      </w:tblPr>
      <w:tblGrid>
        <w:gridCol w:w="2943"/>
        <w:gridCol w:w="1508"/>
        <w:gridCol w:w="1510"/>
        <w:gridCol w:w="1508"/>
        <w:gridCol w:w="1995"/>
      </w:tblGrid>
      <w:tr w:rsidR="005F2AC9" w14:paraId="7DC77583" w14:textId="77777777">
        <w:tc>
          <w:tcPr>
            <w:tcW w:w="2943" w:type="dxa"/>
            <w:tcBorders>
              <w:top w:val="single" w:sz="8" w:space="0" w:color="000000"/>
              <w:left w:val="single" w:sz="8" w:space="0" w:color="000000"/>
              <w:bottom w:val="single" w:sz="4" w:space="0" w:color="000000"/>
              <w:right w:val="single" w:sz="8" w:space="0" w:color="000000"/>
            </w:tcBorders>
            <w:shd w:val="clear" w:color="auto" w:fill="F7CAAC"/>
          </w:tcPr>
          <w:p w14:paraId="40B4A58C" w14:textId="77777777" w:rsidR="005F2AC9" w:rsidRDefault="00B56839">
            <w:pPr>
              <w:ind w:hanging="2"/>
              <w:jc w:val="both"/>
              <w:rPr>
                <w:color w:val="000000" w:themeColor="text1"/>
                <w:sz w:val="24"/>
              </w:rPr>
            </w:pPr>
            <w:r>
              <w:rPr>
                <w:b/>
                <w:color w:val="000000" w:themeColor="text1"/>
                <w:sz w:val="24"/>
              </w:rPr>
              <w:t xml:space="preserve">Gjithsej Indikatorë të parashikuar </w:t>
            </w:r>
          </w:p>
        </w:tc>
        <w:tc>
          <w:tcPr>
            <w:tcW w:w="3018" w:type="dxa"/>
            <w:gridSpan w:val="2"/>
            <w:tcBorders>
              <w:top w:val="single" w:sz="8" w:space="0" w:color="000000"/>
              <w:left w:val="single" w:sz="8" w:space="0" w:color="000000"/>
              <w:bottom w:val="single" w:sz="4" w:space="0" w:color="000000"/>
              <w:right w:val="single" w:sz="8" w:space="0" w:color="000000"/>
            </w:tcBorders>
            <w:shd w:val="clear" w:color="auto" w:fill="C5E0B3"/>
          </w:tcPr>
          <w:p w14:paraId="6D3FC7CB" w14:textId="77777777" w:rsidR="005F2AC9" w:rsidRDefault="00B56839">
            <w:pPr>
              <w:ind w:hanging="2"/>
              <w:jc w:val="both"/>
              <w:rPr>
                <w:color w:val="000000" w:themeColor="text1"/>
                <w:sz w:val="24"/>
              </w:rPr>
            </w:pPr>
            <w:r>
              <w:rPr>
                <w:b/>
                <w:color w:val="000000" w:themeColor="text1"/>
                <w:sz w:val="24"/>
              </w:rPr>
              <w:t>Indikatorë të raportuar</w:t>
            </w:r>
          </w:p>
          <w:p w14:paraId="42E0B214" w14:textId="77777777" w:rsidR="005F2AC9" w:rsidRDefault="005F2AC9">
            <w:pPr>
              <w:ind w:hanging="2"/>
              <w:jc w:val="both"/>
              <w:rPr>
                <w:color w:val="000000" w:themeColor="text1"/>
                <w:sz w:val="24"/>
              </w:rPr>
            </w:pPr>
          </w:p>
        </w:tc>
        <w:tc>
          <w:tcPr>
            <w:tcW w:w="3503" w:type="dxa"/>
            <w:gridSpan w:val="2"/>
            <w:tcBorders>
              <w:top w:val="single" w:sz="8" w:space="0" w:color="000000"/>
              <w:left w:val="single" w:sz="8" w:space="0" w:color="000000"/>
              <w:bottom w:val="single" w:sz="4" w:space="0" w:color="000000"/>
              <w:right w:val="single" w:sz="8" w:space="0" w:color="000000"/>
            </w:tcBorders>
            <w:shd w:val="clear" w:color="auto" w:fill="C5E0B3"/>
          </w:tcPr>
          <w:p w14:paraId="411C8281" w14:textId="77777777" w:rsidR="005F2AC9" w:rsidRDefault="00B56839">
            <w:pPr>
              <w:ind w:hanging="2"/>
              <w:jc w:val="both"/>
              <w:rPr>
                <w:color w:val="000000" w:themeColor="text1"/>
                <w:sz w:val="24"/>
              </w:rPr>
            </w:pPr>
            <w:r>
              <w:rPr>
                <w:b/>
                <w:color w:val="000000" w:themeColor="text1"/>
                <w:sz w:val="24"/>
              </w:rPr>
              <w:t>Indikatorë të realizuar</w:t>
            </w:r>
          </w:p>
        </w:tc>
      </w:tr>
      <w:tr w:rsidR="005F2AC9" w14:paraId="0C5FB39C" w14:textId="77777777">
        <w:tc>
          <w:tcPr>
            <w:tcW w:w="2943" w:type="dxa"/>
            <w:tcBorders>
              <w:top w:val="single" w:sz="4" w:space="0" w:color="000000"/>
              <w:left w:val="single" w:sz="8" w:space="0" w:color="000000"/>
              <w:bottom w:val="single" w:sz="8" w:space="0" w:color="000000"/>
              <w:right w:val="single" w:sz="8" w:space="0" w:color="000000"/>
            </w:tcBorders>
            <w:shd w:val="clear" w:color="auto" w:fill="F7CAAC"/>
          </w:tcPr>
          <w:p w14:paraId="67F41CF2" w14:textId="77777777" w:rsidR="005F2AC9" w:rsidRDefault="00B56839">
            <w:pPr>
              <w:ind w:hanging="2"/>
              <w:jc w:val="both"/>
              <w:rPr>
                <w:color w:val="000000" w:themeColor="text1"/>
                <w:sz w:val="24"/>
              </w:rPr>
            </w:pPr>
            <w:r>
              <w:rPr>
                <w:color w:val="000000" w:themeColor="text1"/>
                <w:sz w:val="24"/>
              </w:rPr>
              <w:t>23</w:t>
            </w:r>
          </w:p>
        </w:tc>
        <w:tc>
          <w:tcPr>
            <w:tcW w:w="1508" w:type="dxa"/>
            <w:tcBorders>
              <w:top w:val="single" w:sz="4" w:space="0" w:color="000000"/>
              <w:left w:val="single" w:sz="8" w:space="0" w:color="000000"/>
              <w:bottom w:val="single" w:sz="8" w:space="0" w:color="000000"/>
              <w:right w:val="single" w:sz="8" w:space="0" w:color="000000"/>
            </w:tcBorders>
            <w:shd w:val="clear" w:color="auto" w:fill="C5E0B3"/>
          </w:tcPr>
          <w:p w14:paraId="1B076195" w14:textId="77777777" w:rsidR="005F2AC9" w:rsidRDefault="00B56839">
            <w:pPr>
              <w:ind w:hanging="2"/>
              <w:jc w:val="both"/>
              <w:rPr>
                <w:color w:val="000000" w:themeColor="text1"/>
                <w:sz w:val="24"/>
              </w:rPr>
            </w:pPr>
            <w:r>
              <w:rPr>
                <w:color w:val="000000" w:themeColor="text1"/>
                <w:sz w:val="24"/>
              </w:rPr>
              <w:t>21</w:t>
            </w:r>
          </w:p>
        </w:tc>
        <w:tc>
          <w:tcPr>
            <w:tcW w:w="1510" w:type="dxa"/>
            <w:tcBorders>
              <w:top w:val="single" w:sz="4" w:space="0" w:color="000000"/>
              <w:left w:val="single" w:sz="8" w:space="0" w:color="000000"/>
              <w:bottom w:val="single" w:sz="8" w:space="0" w:color="000000"/>
              <w:right w:val="single" w:sz="8" w:space="0" w:color="000000"/>
            </w:tcBorders>
            <w:shd w:val="clear" w:color="auto" w:fill="C5E0B3"/>
          </w:tcPr>
          <w:p w14:paraId="053759AA" w14:textId="77777777" w:rsidR="005F2AC9" w:rsidRDefault="00B56839">
            <w:pPr>
              <w:ind w:hanging="2"/>
              <w:jc w:val="both"/>
              <w:rPr>
                <w:color w:val="000000" w:themeColor="text1"/>
                <w:sz w:val="24"/>
              </w:rPr>
            </w:pPr>
            <w:r>
              <w:rPr>
                <w:color w:val="000000" w:themeColor="text1"/>
                <w:sz w:val="24"/>
              </w:rPr>
              <w:t>91%</w:t>
            </w:r>
          </w:p>
        </w:tc>
        <w:tc>
          <w:tcPr>
            <w:tcW w:w="1508" w:type="dxa"/>
            <w:tcBorders>
              <w:top w:val="single" w:sz="4" w:space="0" w:color="000000"/>
              <w:left w:val="single" w:sz="8" w:space="0" w:color="000000"/>
              <w:bottom w:val="single" w:sz="8" w:space="0" w:color="000000"/>
              <w:right w:val="single" w:sz="8" w:space="0" w:color="000000"/>
            </w:tcBorders>
            <w:shd w:val="clear" w:color="auto" w:fill="C5E0B3"/>
          </w:tcPr>
          <w:p w14:paraId="37777BA4" w14:textId="77777777" w:rsidR="005F2AC9" w:rsidRDefault="00B56839">
            <w:pPr>
              <w:ind w:hanging="2"/>
              <w:jc w:val="both"/>
              <w:rPr>
                <w:color w:val="000000" w:themeColor="text1"/>
                <w:sz w:val="24"/>
              </w:rPr>
            </w:pPr>
            <w:r>
              <w:rPr>
                <w:color w:val="000000" w:themeColor="text1"/>
                <w:sz w:val="24"/>
              </w:rPr>
              <w:t>21</w:t>
            </w:r>
          </w:p>
        </w:tc>
        <w:tc>
          <w:tcPr>
            <w:tcW w:w="1995" w:type="dxa"/>
            <w:tcBorders>
              <w:top w:val="single" w:sz="4" w:space="0" w:color="000000"/>
              <w:left w:val="single" w:sz="8" w:space="0" w:color="000000"/>
              <w:bottom w:val="single" w:sz="8" w:space="0" w:color="000000"/>
              <w:right w:val="single" w:sz="8" w:space="0" w:color="000000"/>
            </w:tcBorders>
            <w:shd w:val="clear" w:color="auto" w:fill="C5E0B3"/>
          </w:tcPr>
          <w:p w14:paraId="7DCF14D9" w14:textId="77777777" w:rsidR="005F2AC9" w:rsidRDefault="00B56839">
            <w:pPr>
              <w:tabs>
                <w:tab w:val="left" w:pos="435"/>
                <w:tab w:val="center" w:pos="748"/>
              </w:tabs>
              <w:ind w:hanging="2"/>
              <w:jc w:val="both"/>
              <w:rPr>
                <w:color w:val="000000" w:themeColor="text1"/>
                <w:sz w:val="24"/>
              </w:rPr>
            </w:pPr>
            <w:r>
              <w:rPr>
                <w:color w:val="000000" w:themeColor="text1"/>
                <w:sz w:val="24"/>
              </w:rPr>
              <w:t>100%</w:t>
            </w:r>
          </w:p>
        </w:tc>
      </w:tr>
    </w:tbl>
    <w:p w14:paraId="4E7A1501" w14:textId="77777777" w:rsidR="005F2AC9" w:rsidRDefault="005F2AC9">
      <w:pPr>
        <w:spacing w:after="0"/>
        <w:jc w:val="both"/>
        <w:rPr>
          <w:rFonts w:ascii="Times New Roman" w:hAnsi="Times New Roman"/>
          <w:b/>
          <w:bCs/>
          <w:color w:val="000000" w:themeColor="text1"/>
          <w:sz w:val="24"/>
          <w:szCs w:val="24"/>
          <w:lang w:val="sq-AL"/>
        </w:rPr>
      </w:pPr>
    </w:p>
    <w:p w14:paraId="3C849D15" w14:textId="77777777" w:rsidR="005F2AC9" w:rsidRDefault="00B56839">
      <w:pPr>
        <w:spacing w:after="0"/>
        <w:jc w:val="both"/>
        <w:rPr>
          <w:rFonts w:ascii="Times New Roman" w:hAnsi="Times New Roman"/>
          <w:bCs/>
          <w:color w:val="000000" w:themeColor="text1"/>
          <w:sz w:val="24"/>
          <w:szCs w:val="24"/>
          <w:lang w:val="sq-AL"/>
        </w:rPr>
      </w:pPr>
      <w:r>
        <w:rPr>
          <w:rFonts w:ascii="Times New Roman" w:hAnsi="Times New Roman"/>
          <w:bCs/>
          <w:color w:val="000000" w:themeColor="text1"/>
          <w:sz w:val="24"/>
          <w:szCs w:val="24"/>
          <w:lang w:val="sq-AL"/>
        </w:rPr>
        <w:t>Gjatë vitit 2025, zbatimi i Strategjisë Kombëtare të Mbrojtjes Sociale 2024–2030 në fushën e shërbimeve të kujdesit shoqëror u karakterizua nga zhvillime të rëndësishme në drejtim të forcimit të kuadrit ligjor, konsolidimit të mekanizmave institucionalë dhe rritjes së mbështetjes financiare për shërbimet me bazë komunitare, në përputhje me prioritetet e Shtyllës B të Strategjisë.</w:t>
      </w:r>
    </w:p>
    <w:p w14:paraId="468B00AD" w14:textId="77777777" w:rsidR="005F2AC9" w:rsidRDefault="00B56839">
      <w:pPr>
        <w:spacing w:after="0"/>
        <w:jc w:val="both"/>
        <w:rPr>
          <w:rFonts w:ascii="Times New Roman" w:hAnsi="Times New Roman"/>
          <w:bCs/>
          <w:color w:val="000000" w:themeColor="text1"/>
          <w:sz w:val="24"/>
          <w:szCs w:val="24"/>
          <w:lang w:val="sq-AL"/>
        </w:rPr>
      </w:pPr>
      <w:r>
        <w:rPr>
          <w:rFonts w:ascii="Times New Roman" w:hAnsi="Times New Roman"/>
          <w:bCs/>
          <w:color w:val="000000" w:themeColor="text1"/>
          <w:sz w:val="24"/>
          <w:szCs w:val="24"/>
          <w:lang w:val="sq-AL"/>
        </w:rPr>
        <w:t>Një komponent kyç i progresit gjatë kësaj periudhe lidhet me avancimin e procesit të deinstitucionalizimit. Gjatë vitit 2025 u miratua Plani i Transformimit për shtatë institucionet publike rezidenciale të mbetura për fëmijë, duke përcaktuar drejtimin e kalimit gradual nga kujdesi institucional drejt modeleve me bazë familjare dhe komunitare. Transformimi strukturor i kujdesit rezidencial vijon në këtë kuadër, ndërkohë që moratoriumi për vendosjen e fëmijëve 0–2 vjeç në institucione në Durrës dhe Shkodër mbetet në fuqi. Paralelisht, ka vijuar zhvillimi i strukturave shumëfunksionale të tipit “Shërbime për Fuqizimin e Fëmijës dhe Familjes”, si modele alternative që synojnë parandalimin e ndarjes së fëmijëve nga familja dhe mbështetjen e hershme në komunitet.</w:t>
      </w:r>
    </w:p>
    <w:p w14:paraId="5DA5C2B7" w14:textId="77777777" w:rsidR="005F2AC9" w:rsidRDefault="005F2AC9">
      <w:pPr>
        <w:spacing w:after="0"/>
        <w:jc w:val="both"/>
        <w:rPr>
          <w:rFonts w:ascii="Times New Roman" w:hAnsi="Times New Roman"/>
          <w:bCs/>
          <w:color w:val="000000" w:themeColor="text1"/>
          <w:sz w:val="24"/>
          <w:szCs w:val="24"/>
          <w:lang w:val="sq-AL"/>
        </w:rPr>
      </w:pPr>
    </w:p>
    <w:p w14:paraId="3B2BC677" w14:textId="77777777" w:rsidR="005F2AC9" w:rsidRDefault="00B56839">
      <w:pPr>
        <w:spacing w:after="0"/>
        <w:jc w:val="both"/>
        <w:rPr>
          <w:rFonts w:ascii="Times New Roman" w:hAnsi="Times New Roman"/>
          <w:bCs/>
          <w:color w:val="000000" w:themeColor="text1"/>
          <w:sz w:val="24"/>
          <w:szCs w:val="24"/>
          <w:lang w:val="sq-AL"/>
        </w:rPr>
      </w:pPr>
      <w:r>
        <w:rPr>
          <w:rFonts w:ascii="Times New Roman" w:hAnsi="Times New Roman"/>
          <w:bCs/>
          <w:color w:val="000000" w:themeColor="text1"/>
          <w:sz w:val="24"/>
          <w:szCs w:val="24"/>
          <w:lang w:val="sq-AL"/>
        </w:rPr>
        <w:t>Në planin normativ, një zhvillim me rëndësi të veçantë ishte miratimi i Ligjit për Kujdesin Alternativ nr. 92, datë 18 dhjetor 2025, i cili forcon bazën ligjore për organizimin, rregullimin dhe mbikëqyrjen e formave të kujdesit jashtë familjes biologjike. Ky ligj, në ndërthurje me Planin e Transformimit të kostuar për institucionet rezidenciale publike, krijon një kornizë më të qartë ligjore dhe financiare për zhvillimin e një sistemi kujdesi të orientuar drejt familjes dhe komunitetit, në përputhje me standardet ndërkombëtare.</w:t>
      </w:r>
    </w:p>
    <w:p w14:paraId="196990DC" w14:textId="77777777" w:rsidR="005F2AC9" w:rsidRDefault="00B56839">
      <w:pPr>
        <w:spacing w:after="0"/>
        <w:jc w:val="both"/>
        <w:rPr>
          <w:rFonts w:ascii="Times New Roman" w:hAnsi="Times New Roman"/>
          <w:bCs/>
          <w:color w:val="000000" w:themeColor="text1"/>
          <w:sz w:val="24"/>
          <w:szCs w:val="24"/>
          <w:lang w:val="sq-AL"/>
        </w:rPr>
      </w:pPr>
      <w:r>
        <w:rPr>
          <w:rFonts w:ascii="Times New Roman" w:hAnsi="Times New Roman"/>
          <w:bCs/>
          <w:color w:val="000000" w:themeColor="text1"/>
          <w:sz w:val="24"/>
          <w:szCs w:val="24"/>
          <w:lang w:val="sq-AL"/>
        </w:rPr>
        <w:t>Reformat institucionale kanë ecur paralelisht me zhvillimet ligjore, me theks në forcimin e mekanizmave të vlerësimit të nevojave, menaxhimit të rasteve dhe referimit. Gjatë vitit 2025 vijoi konsolidimi gradual i Njësive të Vlerësimit të Nevojave dhe Referimit (NARU). Përpjekjet janë fokusuar në riorientimin e praktikave të menaxhimit të rasteve nga një qasje e drejtuar kryesisht nga institucionalizimi drejt ndërhyrjes së hershme dhe mbështetjes me bazë familjare për fëmijët dhe familjet në rrezik ndarjeje. Me mbështetje teknike nga UNICEF, gjatë kësaj periudhe janë ngritur struktura funksionale për vlerësim dhe referim në një numër bashkish, është zhvilluar një metodologji e unifikuar për menaxhimin e rasteve dhe janë realizuar aktivitete informuese dhe trajnuese në shkallë kombëtare për forcimin e kapaciteteve vendore.</w:t>
      </w:r>
    </w:p>
    <w:p w14:paraId="01E7024C" w14:textId="77777777" w:rsidR="005F2AC9" w:rsidRDefault="00B56839">
      <w:pPr>
        <w:spacing w:after="0"/>
        <w:jc w:val="both"/>
        <w:rPr>
          <w:rFonts w:ascii="Times New Roman" w:hAnsi="Times New Roman"/>
          <w:bCs/>
          <w:color w:val="000000" w:themeColor="text1"/>
          <w:sz w:val="24"/>
          <w:szCs w:val="24"/>
          <w:lang w:val="sq-AL"/>
        </w:rPr>
      </w:pPr>
      <w:r>
        <w:rPr>
          <w:rFonts w:ascii="Times New Roman" w:hAnsi="Times New Roman"/>
          <w:bCs/>
          <w:color w:val="000000" w:themeColor="text1"/>
          <w:sz w:val="24"/>
          <w:szCs w:val="24"/>
          <w:lang w:val="sq-AL"/>
        </w:rPr>
        <w:t>Në aspektin e financimit, viti 2025 shënoi një rritje të konsiderueshme të mbështetjes për shërbimet sociale përmes Fondit Social. Në vijim të miratimit të Ligjit nr. 115/2024 “Për Buxhetin e vitit 2025”, alokimi për Fondin Social arriti në 369.4 milionë lekë, duke përfaqësuar një rritje prej 15% krahasuar me vitin paraardhës. Ky fond mbështeti 65 shërbime në nivel bashkie dhe 19 shërbime të specializuara në nivel rajonal, duke reflektuar prioritetin e dhënë shërbimeve me bazë komunitare dhe ofrimit të decentralizuar të kujdesit shoqëror. Rritja e fondit është orientuar, ndër të tjera, edhe nga rekomandimet e Komisionit Evropian për forcimin e mbulimit territorial, përmirësimin e aksesit për grupet vulnerabël dhe garantimin e qëndrueshmërisë së reformës në nivel vendor.</w:t>
      </w:r>
    </w:p>
    <w:p w14:paraId="164FBDD5" w14:textId="77777777" w:rsidR="005F2AC9" w:rsidRDefault="00B56839">
      <w:pPr>
        <w:spacing w:after="0"/>
        <w:jc w:val="both"/>
        <w:rPr>
          <w:rFonts w:ascii="Times New Roman" w:hAnsi="Times New Roman"/>
          <w:bCs/>
          <w:color w:val="000000" w:themeColor="text1"/>
          <w:sz w:val="24"/>
          <w:szCs w:val="24"/>
          <w:lang w:val="sq-AL"/>
        </w:rPr>
      </w:pPr>
      <w:r>
        <w:rPr>
          <w:rFonts w:ascii="Times New Roman" w:hAnsi="Times New Roman"/>
          <w:bCs/>
          <w:color w:val="000000" w:themeColor="text1"/>
          <w:sz w:val="24"/>
          <w:szCs w:val="24"/>
          <w:lang w:val="sq-AL"/>
        </w:rPr>
        <w:t>Për të mbështetur zbatimin e njëtrajtshëm të këtij mekanizmi në të gjitha bashkitë, gjatë vitit 2025 u hartua udhëzuesi për Fondin Social Vendor, i cili synon të standardizojë procedurat e planifikimit, aplikimit, financimit dhe monitorimit të shërbimeve sociale në nivel lokal. Monitorimi i kryer nga Shërbimi Social Shtetëror dhe Inspektorati i Shërbimeve Shoqërore konfirmon respektimin e standardeve minimale të shërbimit dhe ofron një bazë të qëndrueshme evidencash për vlerësimin e cilësisë dhe vijueshmërisë së financimit të shërbimeve.</w:t>
      </w:r>
    </w:p>
    <w:p w14:paraId="0C324BE8" w14:textId="77777777" w:rsidR="005F2AC9" w:rsidRDefault="00B56839">
      <w:pPr>
        <w:spacing w:after="0"/>
        <w:jc w:val="both"/>
        <w:rPr>
          <w:rFonts w:ascii="Times New Roman" w:hAnsi="Times New Roman"/>
          <w:bCs/>
          <w:color w:val="000000" w:themeColor="text1"/>
          <w:sz w:val="24"/>
          <w:szCs w:val="24"/>
          <w:lang w:val="it-IT"/>
        </w:rPr>
      </w:pPr>
      <w:r>
        <w:rPr>
          <w:rFonts w:ascii="Times New Roman" w:hAnsi="Times New Roman"/>
          <w:bCs/>
          <w:color w:val="000000" w:themeColor="text1"/>
          <w:sz w:val="24"/>
          <w:szCs w:val="24"/>
          <w:lang w:val="sq-AL"/>
        </w:rPr>
        <w:t>Në tërësi, zhvillimet e vitit 2025 në fushën e shërbimeve të kujdesit shoqëror tregojnë një fazë të rëndësishme të forcimit të kuadrit ligjor, institucional dhe financiar, duke e orientuar sistemin në mënyrë më të qartë drejt parandalimit të institucionalizimit dhe zhvillimit të shërbimeve me bazë familjare dhe komunitare.</w:t>
      </w:r>
    </w:p>
    <w:p w14:paraId="0096BE41" w14:textId="77777777" w:rsidR="005F2AC9" w:rsidRDefault="00B56839">
      <w:pPr>
        <w:spacing w:after="0"/>
        <w:jc w:val="both"/>
        <w:rPr>
          <w:rFonts w:ascii="Times New Roman" w:hAnsi="Times New Roman"/>
          <w:color w:val="000000" w:themeColor="text1"/>
          <w:sz w:val="24"/>
          <w:szCs w:val="24"/>
          <w:lang w:val="it-IT"/>
        </w:rPr>
      </w:pPr>
      <w:r>
        <w:rPr>
          <w:rFonts w:ascii="Times New Roman" w:hAnsi="Times New Roman"/>
          <w:color w:val="000000" w:themeColor="text1"/>
          <w:sz w:val="24"/>
          <w:szCs w:val="24"/>
          <w:lang w:val="it-IT"/>
        </w:rPr>
        <w:t xml:space="preserve">Zhvillimet e fundit ligjore pasqyrojnë më tej angazhimin e Shqipërisë për konsolidimin dhe modernizimin e sistemit të kujdesit shoqëror. Aktualisht po vijon puna për rishikimin dhe forcimin e mëtejshëm të kuadrit ligjor që rregullon shërbimet e kujdesit shoqëror, përfshirë Ligjin nr. 121/2016, me qëllim qartësimin e roleve dhe përgjegjësive në nivele të ndryshme të </w:t>
      </w:r>
      <w:r>
        <w:rPr>
          <w:rFonts w:ascii="Times New Roman" w:hAnsi="Times New Roman"/>
          <w:color w:val="000000" w:themeColor="text1"/>
          <w:sz w:val="24"/>
          <w:szCs w:val="24"/>
          <w:lang w:val="it-IT"/>
        </w:rPr>
        <w:lastRenderedPageBreak/>
        <w:t>qeverisjes, përmirësimin e integrimit të shërbimeve dhe adresimin më efektiv të nevojave demografike dhe sociale në zhvillim.</w:t>
      </w:r>
    </w:p>
    <w:p w14:paraId="320D7538" w14:textId="77777777" w:rsidR="005F2AC9" w:rsidRDefault="00B56839">
      <w:pPr>
        <w:spacing w:after="0"/>
        <w:jc w:val="both"/>
        <w:rPr>
          <w:rFonts w:ascii="Times New Roman" w:hAnsi="Times New Roman"/>
          <w:color w:val="000000" w:themeColor="text1"/>
          <w:sz w:val="24"/>
          <w:szCs w:val="24"/>
          <w:lang w:val="it-IT"/>
        </w:rPr>
      </w:pPr>
      <w:r>
        <w:rPr>
          <w:rFonts w:ascii="Times New Roman" w:hAnsi="Times New Roman"/>
          <w:color w:val="000000" w:themeColor="text1"/>
          <w:sz w:val="24"/>
          <w:szCs w:val="24"/>
          <w:lang w:val="it-IT"/>
        </w:rPr>
        <w:t xml:space="preserve">Reforma është mbështetur edhe nga partnerët ndërkombëtarë. Programi “BE për Kujdesin Shoqëror”, i nisur në vitin 2024, ka vënë në dispozicion 3.1 milionë euro për të mbështetur 14 bashki në zgjerimin e shërbimeve për grupet vulnerabël, me objektiv mbulimin e 6,000 familjeve dhe trajnimin e rreth 350 profesionistëve të kujdesit shoqëror. Po ashtu, UNDP ka mbështetur gjashtë bashki për ngritjen e fondeve sociale vendore, ngritjen e Njësive të Vlerësimit dhe Referimit të Rasteve dhe modelimin e shërbimeve të integruara shëndetësore dhe sociale. </w:t>
      </w:r>
    </w:p>
    <w:p w14:paraId="4956A243" w14:textId="77777777" w:rsidR="005F2AC9" w:rsidRDefault="005F2AC9">
      <w:pPr>
        <w:spacing w:after="0"/>
        <w:jc w:val="both"/>
        <w:rPr>
          <w:rFonts w:ascii="Times New Roman" w:hAnsi="Times New Roman"/>
          <w:bCs/>
          <w:color w:val="000000" w:themeColor="text1"/>
          <w:sz w:val="24"/>
          <w:szCs w:val="24"/>
          <w:lang w:val="it-IT"/>
        </w:rPr>
      </w:pPr>
    </w:p>
    <w:p w14:paraId="1B9BBD2B" w14:textId="77777777" w:rsidR="005F2AC9" w:rsidRPr="00A50E95" w:rsidRDefault="00B56839">
      <w:pPr>
        <w:pStyle w:val="Heading3"/>
        <w:rPr>
          <w:rFonts w:ascii="Times New Roman" w:hAnsi="Times New Roman" w:cs="Times New Roman"/>
          <w:color w:val="000000" w:themeColor="text1"/>
          <w:sz w:val="24"/>
          <w:szCs w:val="24"/>
        </w:rPr>
      </w:pPr>
      <w:r w:rsidRPr="00A50E95">
        <w:rPr>
          <w:rFonts w:ascii="Times New Roman" w:hAnsi="Times New Roman" w:cs="Times New Roman"/>
          <w:color w:val="000000" w:themeColor="text1"/>
          <w:sz w:val="24"/>
          <w:szCs w:val="24"/>
        </w:rPr>
        <w:t>Sfidat kryesore dhe fokuset strategjike për konsolidim të mëtejshëm</w:t>
      </w:r>
    </w:p>
    <w:p w14:paraId="40B4EE17" w14:textId="77777777" w:rsidR="005F2AC9" w:rsidRDefault="00B56839">
      <w:pPr>
        <w:pStyle w:val="NormalWeb"/>
        <w:spacing w:before="280" w:after="280" w:line="276" w:lineRule="auto"/>
        <w:jc w:val="both"/>
        <w:rPr>
          <w:color w:val="000000" w:themeColor="text1"/>
        </w:rPr>
      </w:pPr>
      <w:r>
        <w:rPr>
          <w:color w:val="000000" w:themeColor="text1"/>
        </w:rPr>
        <w:t>Përparimi i arritur gjatë vitit 2025 në kuadër të zgjerimit dhe transformimit të sistemit të shërbimeve shoqërore ka krijuar një bazë të rëndësishme për konsolidimin e mëtejshëm të reformës. Në këtë fazë të avancimit të procesit të deinstitucionalizimit (DEI), përfshirë transformimin gradual të shërbimeve rezidenciale dhe zgjerimin e alternativave me bazë komunitare, fokusi është zhvendosur drejt forcimit të kapaciteteve njerëzore në nivel vendor, në përputhje me rolin e zgjeruar të bashkive në ofrimin e shërbimeve sociale.</w:t>
      </w:r>
    </w:p>
    <w:p w14:paraId="781ECF87" w14:textId="77777777" w:rsidR="005F2AC9" w:rsidRDefault="00B56839">
      <w:pPr>
        <w:pStyle w:val="NormalWeb"/>
        <w:spacing w:before="280" w:after="280" w:line="276" w:lineRule="auto"/>
        <w:jc w:val="both"/>
        <w:rPr>
          <w:color w:val="000000" w:themeColor="text1"/>
        </w:rPr>
      </w:pPr>
      <w:r>
        <w:rPr>
          <w:color w:val="000000" w:themeColor="text1"/>
        </w:rPr>
        <w:t>Në këtë drejtim, ngritja dhe funksionalizimi progresiv i Njësive Vendore për Nevojat dhe Referimin (NJVNR), po kontribuon në rritjen e kapaciteteve të sistemit për të menaxhuar në mënyrë më efektive rastetreferuese, për të garantuar standardet e shërbimit dhe për të siguruar ndjekjen e qëndrueshme të planeve të kujdesit dhe riintegrimit të individit.</w:t>
      </w:r>
    </w:p>
    <w:p w14:paraId="510C72D1" w14:textId="12F011CD" w:rsidR="005F2AC9" w:rsidRDefault="00B56839">
      <w:pPr>
        <w:pStyle w:val="NormalWeb"/>
        <w:spacing w:before="280" w:after="280" w:line="276" w:lineRule="auto"/>
        <w:jc w:val="both"/>
        <w:rPr>
          <w:color w:val="000000" w:themeColor="text1"/>
        </w:rPr>
      </w:pPr>
      <w:r>
        <w:rPr>
          <w:color w:val="000000" w:themeColor="text1"/>
        </w:rPr>
        <w:t>Fondi Social, si një instrument i konsoliduar bashkëfinancimi ndërmjet pushtetit qendror dhe atij vendor, ka vijuar të mbështesë zgjerimin e shërbimeve sociale në nivel lokal. Shk</w:t>
      </w:r>
      <w:r w:rsidR="006159C1">
        <w:rPr>
          <w:color w:val="000000" w:themeColor="text1"/>
        </w:rPr>
        <w:t>alla e përthithjes prej rreth 95</w:t>
      </w:r>
      <w:r>
        <w:rPr>
          <w:color w:val="000000" w:themeColor="text1"/>
        </w:rPr>
        <w:t>% gjatë vitit 2025 reflekton përmirësimin e kapaciteteve institucionale dhe efektivitetin e mekanizmave mbështetës, ndërkohë që përpjekjet aktuale janë të orientuara drejt forcimit të mëtejshëm të kapaciteteve teknike të bashkive, përmes trajnimeve të dedikuara, asistencës teknike dhe zbatimit të metodologjisë së standardizuar për planifikimin dhe menaxhimin e Fondit Social Vendor.</w:t>
      </w:r>
    </w:p>
    <w:p w14:paraId="659D90AB" w14:textId="77777777" w:rsidR="005F2AC9" w:rsidRDefault="00B56839">
      <w:pPr>
        <w:pStyle w:val="NormalWeb"/>
        <w:spacing w:before="280" w:after="280" w:line="276" w:lineRule="auto"/>
        <w:jc w:val="both"/>
        <w:rPr>
          <w:color w:val="000000" w:themeColor="text1"/>
        </w:rPr>
      </w:pPr>
      <w:r>
        <w:rPr>
          <w:color w:val="000000" w:themeColor="text1"/>
        </w:rPr>
        <w:t>Në këtë kontekst, fokuset strategjike për periudhën në vijim janë orientuar drejt konsolidimit të arritjeve dhe rritjes së qëndrueshmërisë së sistemit, përmes:</w:t>
      </w:r>
    </w:p>
    <w:p w14:paraId="68C3DAAB" w14:textId="77777777" w:rsidR="005F2AC9" w:rsidRDefault="00B56839">
      <w:pPr>
        <w:pStyle w:val="NormalWeb"/>
        <w:spacing w:before="280" w:after="280" w:line="276" w:lineRule="auto"/>
        <w:jc w:val="both"/>
        <w:rPr>
          <w:color w:val="000000" w:themeColor="text1"/>
        </w:rPr>
      </w:pPr>
      <w:r>
        <w:rPr>
          <w:color w:val="000000" w:themeColor="text1"/>
        </w:rPr>
        <w:t xml:space="preserve">• </w:t>
      </w:r>
      <w:proofErr w:type="gramStart"/>
      <w:r>
        <w:rPr>
          <w:color w:val="000000" w:themeColor="text1"/>
        </w:rPr>
        <w:t>forcimit</w:t>
      </w:r>
      <w:proofErr w:type="gramEnd"/>
      <w:r>
        <w:rPr>
          <w:color w:val="000000" w:themeColor="text1"/>
        </w:rPr>
        <w:t xml:space="preserve"> të mëtejshëm të kapaciteteve të qeverisjes vendore, përmes funksionalizimit të plotë të NJVNR-ve dhe vijimit të programeve të trajnimit dhe asistencës teknike në të gjitha bashkitë;</w:t>
      </w:r>
    </w:p>
    <w:p w14:paraId="3CA8B733" w14:textId="77777777" w:rsidR="005F2AC9" w:rsidRDefault="00B56839">
      <w:pPr>
        <w:pStyle w:val="NormalWeb"/>
        <w:spacing w:before="280" w:after="280" w:line="276" w:lineRule="auto"/>
        <w:jc w:val="both"/>
        <w:rPr>
          <w:color w:val="000000" w:themeColor="text1"/>
        </w:rPr>
      </w:pPr>
      <w:r>
        <w:rPr>
          <w:color w:val="000000" w:themeColor="text1"/>
        </w:rPr>
        <w:lastRenderedPageBreak/>
        <w:t xml:space="preserve">• </w:t>
      </w:r>
      <w:proofErr w:type="gramStart"/>
      <w:r>
        <w:rPr>
          <w:color w:val="000000" w:themeColor="text1"/>
        </w:rPr>
        <w:t>përmirësimit</w:t>
      </w:r>
      <w:proofErr w:type="gramEnd"/>
      <w:r>
        <w:rPr>
          <w:color w:val="000000" w:themeColor="text1"/>
        </w:rPr>
        <w:t xml:space="preserve"> të planifikimit dhe menaxhimit financiar të shërbimeve sociale, në përputhje me metodologjitë e reja dhe instrumentet financiare në zhvillim, Fondin Social Vendor;</w:t>
      </w:r>
    </w:p>
    <w:p w14:paraId="35043A9F" w14:textId="6E42A9C0" w:rsidR="005F2AC9" w:rsidRDefault="00B56839">
      <w:pPr>
        <w:pStyle w:val="NormalWeb"/>
        <w:spacing w:before="280" w:after="280" w:line="276" w:lineRule="auto"/>
        <w:jc w:val="both"/>
        <w:rPr>
          <w:color w:val="000000" w:themeColor="text1"/>
        </w:rPr>
      </w:pPr>
      <w:r>
        <w:rPr>
          <w:color w:val="000000" w:themeColor="text1"/>
        </w:rPr>
        <w:t>• rritjes graduale të qëndrueshmërisë së shërbimeve, përmes forcimit të bashkëfinancimit vendor-qëndror dhe përdorimit më efikas të instrumenteve ekzistuese financiare.</w:t>
      </w:r>
    </w:p>
    <w:p w14:paraId="7E49C5D1" w14:textId="77777777" w:rsidR="005F2AC9" w:rsidRDefault="00B56839">
      <w:pPr>
        <w:pStyle w:val="NormalWeb"/>
        <w:spacing w:before="280" w:after="280" w:line="276" w:lineRule="auto"/>
        <w:jc w:val="both"/>
        <w:rPr>
          <w:rFonts w:eastAsia="Times New Roman" w:cs="Times New Roman"/>
          <w:b/>
          <w:bCs/>
          <w:color w:val="000000" w:themeColor="text1"/>
          <w:lang w:val="pt-BR"/>
        </w:rPr>
      </w:pPr>
      <w:r>
        <w:rPr>
          <w:rFonts w:eastAsia="Times New Roman" w:cs="Times New Roman"/>
          <w:b/>
          <w:bCs/>
          <w:color w:val="000000" w:themeColor="text1"/>
        </w:rPr>
        <w:t>Tabela:</w:t>
      </w:r>
      <w:r>
        <w:rPr>
          <w:rFonts w:ascii="Garamond" w:eastAsia="Garamond" w:hAnsi="Garamond" w:cs="Garamond"/>
          <w:b/>
          <w:bCs/>
          <w:color w:val="000000" w:themeColor="text1"/>
          <w:sz w:val="20"/>
          <w:szCs w:val="20"/>
        </w:rPr>
        <w:t xml:space="preserve"> </w:t>
      </w:r>
      <w:r>
        <w:rPr>
          <w:rFonts w:eastAsia="Times New Roman" w:cs="Times New Roman"/>
          <w:b/>
          <w:bCs/>
          <w:color w:val="000000" w:themeColor="text1"/>
          <w:lang w:val="pt-BR"/>
        </w:rPr>
        <w:t>Indikatorët e Pasaportës për Shtyllën B</w:t>
      </w:r>
    </w:p>
    <w:p w14:paraId="6F36DDE1" w14:textId="77777777" w:rsidR="005F2AC9" w:rsidRDefault="005F2AC9">
      <w:pPr>
        <w:spacing w:after="0"/>
        <w:jc w:val="both"/>
        <w:rPr>
          <w:rFonts w:ascii="Times New Roman" w:hAnsi="Times New Roman"/>
          <w:b/>
          <w:bCs/>
          <w:color w:val="000000" w:themeColor="text1"/>
          <w:sz w:val="24"/>
          <w:szCs w:val="24"/>
          <w:lang w:val="sq-AL"/>
        </w:rPr>
      </w:pPr>
    </w:p>
    <w:tbl>
      <w:tblPr>
        <w:tblStyle w:val="TableGrid"/>
        <w:tblW w:w="9250" w:type="dxa"/>
        <w:tblLayout w:type="fixed"/>
        <w:tblLook w:val="04A0" w:firstRow="1" w:lastRow="0" w:firstColumn="1" w:lastColumn="0" w:noHBand="0" w:noVBand="1"/>
      </w:tblPr>
      <w:tblGrid>
        <w:gridCol w:w="885"/>
        <w:gridCol w:w="1659"/>
        <w:gridCol w:w="1662"/>
        <w:gridCol w:w="987"/>
        <w:gridCol w:w="886"/>
        <w:gridCol w:w="963"/>
        <w:gridCol w:w="1175"/>
        <w:gridCol w:w="1033"/>
      </w:tblGrid>
      <w:tr w:rsidR="005F2AC9" w14:paraId="0A85309B" w14:textId="77777777">
        <w:trPr>
          <w:trHeight w:val="300"/>
        </w:trPr>
        <w:tc>
          <w:tcPr>
            <w:tcW w:w="884" w:type="dxa"/>
            <w:tcBorders>
              <w:top w:val="single" w:sz="8" w:space="0" w:color="000000"/>
              <w:left w:val="single" w:sz="8" w:space="0" w:color="000000"/>
              <w:bottom w:val="single" w:sz="8" w:space="0" w:color="000000"/>
              <w:right w:val="single" w:sz="8" w:space="0" w:color="000000"/>
            </w:tcBorders>
            <w:shd w:val="clear" w:color="auto" w:fill="D9E2F3"/>
          </w:tcPr>
          <w:p w14:paraId="26EB03CA" w14:textId="77777777" w:rsidR="005F2AC9" w:rsidRDefault="005F2AC9">
            <w:pPr>
              <w:spacing w:before="0" w:after="0" w:line="240" w:lineRule="auto"/>
              <w:rPr>
                <w:rFonts w:ascii="Times New Roman" w:eastAsia="Times New Roman" w:hAnsi="Times New Roman" w:cs="Times New Roman"/>
                <w:color w:val="000000" w:themeColor="text1"/>
                <w:sz w:val="16"/>
                <w:szCs w:val="16"/>
                <w:lang w:val="it-IT"/>
              </w:rPr>
            </w:pPr>
          </w:p>
        </w:tc>
        <w:tc>
          <w:tcPr>
            <w:tcW w:w="1659" w:type="dxa"/>
            <w:tcBorders>
              <w:top w:val="single" w:sz="8" w:space="0" w:color="000000"/>
              <w:left w:val="single" w:sz="8" w:space="0" w:color="000000"/>
              <w:bottom w:val="single" w:sz="8" w:space="0" w:color="000000"/>
              <w:right w:val="single" w:sz="8" w:space="0" w:color="000000"/>
            </w:tcBorders>
            <w:shd w:val="clear" w:color="auto" w:fill="D9E2F3"/>
          </w:tcPr>
          <w:p w14:paraId="20FD2A63" w14:textId="77777777" w:rsidR="005F2AC9" w:rsidRDefault="00B56839">
            <w:pPr>
              <w:tabs>
                <w:tab w:val="center" w:pos="1394"/>
              </w:tabs>
              <w:spacing w:before="0" w:after="0" w:line="240" w:lineRule="auto"/>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Objektivat</w:t>
            </w:r>
          </w:p>
        </w:tc>
        <w:tc>
          <w:tcPr>
            <w:tcW w:w="1662" w:type="dxa"/>
            <w:tcBorders>
              <w:top w:val="single" w:sz="8" w:space="0" w:color="000000"/>
              <w:left w:val="single" w:sz="8" w:space="0" w:color="000000"/>
              <w:bottom w:val="single" w:sz="8" w:space="0" w:color="000000"/>
              <w:right w:val="single" w:sz="8" w:space="0" w:color="000000"/>
            </w:tcBorders>
            <w:shd w:val="clear" w:color="auto" w:fill="D9E2F3"/>
          </w:tcPr>
          <w:p w14:paraId="2B4FCED0" w14:textId="77777777" w:rsidR="005F2AC9" w:rsidRDefault="00B56839">
            <w:pPr>
              <w:spacing w:before="0" w:after="0" w:line="240" w:lineRule="auto"/>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Treguesi</w:t>
            </w:r>
          </w:p>
        </w:tc>
        <w:tc>
          <w:tcPr>
            <w:tcW w:w="987" w:type="dxa"/>
            <w:tcBorders>
              <w:top w:val="single" w:sz="8" w:space="0" w:color="000000"/>
              <w:left w:val="single" w:sz="8" w:space="0" w:color="000000"/>
              <w:bottom w:val="single" w:sz="8" w:space="0" w:color="000000"/>
              <w:right w:val="single" w:sz="8" w:space="0" w:color="000000"/>
            </w:tcBorders>
            <w:shd w:val="clear" w:color="auto" w:fill="D9E2F3"/>
          </w:tcPr>
          <w:p w14:paraId="2FBDD9E7" w14:textId="77777777" w:rsidR="005F2AC9" w:rsidRDefault="00B56839">
            <w:pPr>
              <w:spacing w:before="0" w:after="0" w:line="240" w:lineRule="auto"/>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Vlera bazë</w:t>
            </w:r>
          </w:p>
        </w:tc>
        <w:tc>
          <w:tcPr>
            <w:tcW w:w="886" w:type="dxa"/>
            <w:tcBorders>
              <w:top w:val="single" w:sz="8" w:space="0" w:color="000000"/>
              <w:left w:val="single" w:sz="8" w:space="0" w:color="000000"/>
              <w:bottom w:val="single" w:sz="8" w:space="0" w:color="000000"/>
              <w:right w:val="single" w:sz="8" w:space="0" w:color="000000"/>
            </w:tcBorders>
            <w:shd w:val="clear" w:color="auto" w:fill="D9E2F3"/>
          </w:tcPr>
          <w:p w14:paraId="215D52AE" w14:textId="77777777" w:rsidR="005F2AC9" w:rsidRDefault="00B56839">
            <w:pPr>
              <w:spacing w:before="0" w:after="0" w:line="240" w:lineRule="auto"/>
              <w:jc w:val="center"/>
              <w:rPr>
                <w:rFonts w:ascii="Times New Roman" w:eastAsia="Times New Roman" w:hAnsi="Times New Roman" w:cs="Times New Roman"/>
                <w:b/>
                <w:bCs/>
                <w:color w:val="000000" w:themeColor="text1"/>
                <w:sz w:val="16"/>
                <w:szCs w:val="16"/>
                <w:lang w:val="sq-AL"/>
              </w:rPr>
            </w:pPr>
            <w:r>
              <w:rPr>
                <w:rFonts w:ascii="Times New Roman" w:eastAsia="Times New Roman" w:hAnsi="Times New Roman" w:cs="Times New Roman"/>
                <w:b/>
                <w:bCs/>
                <w:color w:val="000000" w:themeColor="text1"/>
                <w:sz w:val="16"/>
                <w:szCs w:val="16"/>
                <w:lang w:val="sq-AL"/>
              </w:rPr>
              <w:t>2025</w:t>
            </w:r>
          </w:p>
          <w:p w14:paraId="143995EF"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tc>
        <w:tc>
          <w:tcPr>
            <w:tcW w:w="963" w:type="dxa"/>
            <w:tcBorders>
              <w:top w:val="single" w:sz="8" w:space="0" w:color="000000"/>
              <w:left w:val="single" w:sz="8" w:space="0" w:color="000000"/>
              <w:bottom w:val="single" w:sz="8" w:space="0" w:color="000000"/>
              <w:right w:val="single" w:sz="8" w:space="0" w:color="000000"/>
            </w:tcBorders>
            <w:shd w:val="clear" w:color="auto" w:fill="D9E2F3"/>
          </w:tcPr>
          <w:p w14:paraId="0039B890" w14:textId="77777777" w:rsidR="005F2AC9" w:rsidRDefault="00B56839">
            <w:pPr>
              <w:spacing w:before="0" w:after="0" w:line="240" w:lineRule="auto"/>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Synimi 2030</w:t>
            </w:r>
          </w:p>
        </w:tc>
        <w:tc>
          <w:tcPr>
            <w:tcW w:w="1175" w:type="dxa"/>
            <w:tcBorders>
              <w:top w:val="single" w:sz="8" w:space="0" w:color="000000"/>
              <w:left w:val="single" w:sz="8" w:space="0" w:color="000000"/>
              <w:bottom w:val="single" w:sz="8" w:space="0" w:color="000000"/>
              <w:right w:val="single" w:sz="8" w:space="0" w:color="000000"/>
            </w:tcBorders>
            <w:shd w:val="clear" w:color="auto" w:fill="D9E2F3"/>
          </w:tcPr>
          <w:p w14:paraId="416A0B68" w14:textId="77777777" w:rsidR="005F2AC9" w:rsidRDefault="00B56839">
            <w:pPr>
              <w:spacing w:before="0" w:after="0" w:line="240" w:lineRule="auto"/>
              <w:rPr>
                <w:rFonts w:ascii="Times New Roman" w:eastAsia="Times New Roman" w:hAnsi="Times New Roman" w:cs="Times New Roman"/>
                <w:b/>
                <w:bCs/>
                <w:color w:val="000000" w:themeColor="text1"/>
                <w:sz w:val="16"/>
                <w:szCs w:val="16"/>
                <w:lang w:val="it-IT"/>
              </w:rPr>
            </w:pPr>
            <w:r>
              <w:rPr>
                <w:rFonts w:ascii="Times New Roman" w:eastAsia="Times New Roman" w:hAnsi="Times New Roman" w:cs="Times New Roman"/>
                <w:b/>
                <w:bCs/>
                <w:color w:val="000000" w:themeColor="text1"/>
                <w:sz w:val="16"/>
                <w:szCs w:val="16"/>
                <w:lang w:val="it-IT"/>
              </w:rPr>
              <w:t>Burimet dhe mjetet e verifikimit</w:t>
            </w:r>
          </w:p>
        </w:tc>
        <w:tc>
          <w:tcPr>
            <w:tcW w:w="1033" w:type="dxa"/>
            <w:tcBorders>
              <w:top w:val="single" w:sz="8" w:space="0" w:color="000000"/>
              <w:left w:val="single" w:sz="8" w:space="0" w:color="000000"/>
              <w:bottom w:val="single" w:sz="8" w:space="0" w:color="000000"/>
              <w:right w:val="single" w:sz="8" w:space="0" w:color="000000"/>
            </w:tcBorders>
            <w:shd w:val="clear" w:color="auto" w:fill="D9E2F3"/>
          </w:tcPr>
          <w:p w14:paraId="1C447D3C" w14:textId="77777777" w:rsidR="005F2AC9" w:rsidRDefault="00B56839">
            <w:pPr>
              <w:spacing w:before="0" w:after="0" w:line="240" w:lineRule="auto"/>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Referenca në dok. të tjera</w:t>
            </w:r>
          </w:p>
        </w:tc>
      </w:tr>
      <w:tr w:rsidR="005F2AC9" w14:paraId="6697E9C9" w14:textId="77777777">
        <w:trPr>
          <w:trHeight w:val="1545"/>
        </w:trPr>
        <w:tc>
          <w:tcPr>
            <w:tcW w:w="884"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32A65A90" w14:textId="77777777" w:rsidR="005F2AC9" w:rsidRDefault="00B56839">
            <w:pPr>
              <w:spacing w:before="0" w:after="0" w:line="240" w:lineRule="auto"/>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Qëllimi i politikës (Ndikimi)</w:t>
            </w:r>
          </w:p>
        </w:tc>
        <w:tc>
          <w:tcPr>
            <w:tcW w:w="1659" w:type="dxa"/>
            <w:tcBorders>
              <w:top w:val="single" w:sz="8" w:space="0" w:color="000000"/>
              <w:left w:val="single" w:sz="8" w:space="0" w:color="000000"/>
              <w:bottom w:val="single" w:sz="8" w:space="0" w:color="000000"/>
              <w:right w:val="single" w:sz="8" w:space="0" w:color="000000"/>
            </w:tcBorders>
            <w:shd w:val="clear" w:color="auto" w:fill="E2EFD9"/>
          </w:tcPr>
          <w:p w14:paraId="32ED1F41"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Qëllimi i politikës B: Zgjerimi i shërbimeve sociale të integruara, të aksesueshme, cilësore dhe të përgjegjshme gjinore, si dhe avancimi i deinstitucionalizimit, në partneritet me pushtetin vendor dhe aktorët e tjerë. </w:t>
            </w:r>
          </w:p>
        </w:tc>
        <w:tc>
          <w:tcPr>
            <w:tcW w:w="1662" w:type="dxa"/>
            <w:tcBorders>
              <w:top w:val="single" w:sz="8" w:space="0" w:color="000000"/>
              <w:left w:val="single" w:sz="8" w:space="0" w:color="000000"/>
              <w:bottom w:val="single" w:sz="8" w:space="0" w:color="000000"/>
              <w:right w:val="single" w:sz="8" w:space="0" w:color="000000"/>
            </w:tcBorders>
            <w:shd w:val="clear" w:color="auto" w:fill="E2EFD9"/>
          </w:tcPr>
          <w:p w14:paraId="4DD4CB64"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Përqindja e individëve në nevojë që </w:t>
            </w:r>
            <w:proofErr w:type="gramStart"/>
            <w:r>
              <w:rPr>
                <w:rFonts w:ascii="Times New Roman" w:eastAsia="Times New Roman" w:hAnsi="Times New Roman" w:cs="Times New Roman"/>
                <w:color w:val="000000" w:themeColor="text1"/>
                <w:sz w:val="16"/>
                <w:szCs w:val="16"/>
              </w:rPr>
              <w:t>përfitojnë  nga</w:t>
            </w:r>
            <w:proofErr w:type="gramEnd"/>
            <w:r>
              <w:rPr>
                <w:rFonts w:ascii="Times New Roman" w:eastAsia="Times New Roman" w:hAnsi="Times New Roman" w:cs="Times New Roman"/>
                <w:color w:val="000000" w:themeColor="text1"/>
                <w:sz w:val="16"/>
                <w:szCs w:val="16"/>
              </w:rPr>
              <w:t xml:space="preserve"> shërbimet e kujdesit social lokal dhe qëndror (sipas gjinisë, minoritetit, aftësisë së kufizuar dhe moshës);</w:t>
            </w:r>
          </w:p>
          <w:p w14:paraId="778B9FCE"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427E91EE"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Numri i bashkive që sigurojnë shërbime sociale komunitare për të paktën tri kategori (PAK, gra në nevojë, fëmijë/ të rinj vulnerabël dhe të moshuar);</w:t>
            </w:r>
          </w:p>
          <w:p w14:paraId="0CB1271D"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03363A3D"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5264DA33"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0213BE89"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Norma e fëmijëve 0-17 vjec në qendra me shërbim rezidencial në fund të vitit, sipas gjinisë)</w:t>
            </w:r>
          </w:p>
          <w:p w14:paraId="4A813661"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tc>
        <w:tc>
          <w:tcPr>
            <w:tcW w:w="987" w:type="dxa"/>
            <w:tcBorders>
              <w:top w:val="single" w:sz="8" w:space="0" w:color="000000"/>
              <w:left w:val="single" w:sz="8" w:space="0" w:color="000000"/>
              <w:bottom w:val="single" w:sz="8" w:space="0" w:color="000000"/>
              <w:right w:val="single" w:sz="8" w:space="0" w:color="000000"/>
            </w:tcBorders>
            <w:shd w:val="clear" w:color="auto" w:fill="E2EFD9"/>
          </w:tcPr>
          <w:p w14:paraId="5A101250"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15% </w:t>
            </w:r>
          </w:p>
          <w:p w14:paraId="359B6732"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25D2C4BA"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21D1EC10"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0D59E926"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4D520748" w14:textId="77777777" w:rsidR="005F2AC9" w:rsidRDefault="005F2AC9">
            <w:pPr>
              <w:spacing w:before="0" w:after="0" w:line="240" w:lineRule="auto"/>
              <w:rPr>
                <w:rFonts w:ascii="Times New Roman" w:eastAsia="Times New Roman" w:hAnsi="Times New Roman" w:cs="Times New Roman"/>
                <w:color w:val="000000" w:themeColor="text1"/>
                <w:sz w:val="16"/>
                <w:szCs w:val="16"/>
                <w:lang w:val="it-IT"/>
              </w:rPr>
            </w:pPr>
          </w:p>
          <w:p w14:paraId="5EEE4300" w14:textId="77777777" w:rsidR="005F2AC9" w:rsidRDefault="005F2AC9">
            <w:pPr>
              <w:spacing w:before="0" w:after="0" w:line="240" w:lineRule="auto"/>
              <w:rPr>
                <w:rFonts w:ascii="Times New Roman" w:eastAsia="Times New Roman" w:hAnsi="Times New Roman" w:cs="Times New Roman"/>
                <w:color w:val="000000" w:themeColor="text1"/>
                <w:sz w:val="16"/>
                <w:szCs w:val="16"/>
                <w:lang w:val="it-IT"/>
              </w:rPr>
            </w:pPr>
          </w:p>
          <w:p w14:paraId="758D3BC7" w14:textId="77777777" w:rsidR="005F2AC9" w:rsidRDefault="005F2AC9">
            <w:pPr>
              <w:spacing w:before="0" w:after="0" w:line="240" w:lineRule="auto"/>
              <w:rPr>
                <w:rFonts w:ascii="Times New Roman" w:eastAsia="Times New Roman" w:hAnsi="Times New Roman" w:cs="Times New Roman"/>
                <w:color w:val="000000" w:themeColor="text1"/>
                <w:sz w:val="16"/>
                <w:szCs w:val="16"/>
                <w:lang w:val="it-IT"/>
              </w:rPr>
            </w:pPr>
          </w:p>
          <w:p w14:paraId="463B26E5"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665004B8"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20 (viti 2023) </w:t>
            </w:r>
          </w:p>
          <w:p w14:paraId="26D1E568"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5D5A8319"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74643863"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43D413CB"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3A0826E4"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65C8D1FE"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642CDCF4"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0E771D05" w14:textId="77777777" w:rsidR="00561AD4" w:rsidRDefault="00561AD4">
            <w:pPr>
              <w:spacing w:before="0" w:after="0" w:line="240" w:lineRule="auto"/>
              <w:rPr>
                <w:rFonts w:ascii="Times New Roman" w:eastAsia="Times New Roman" w:hAnsi="Times New Roman" w:cs="Times New Roman"/>
                <w:color w:val="000000" w:themeColor="text1"/>
                <w:sz w:val="16"/>
                <w:szCs w:val="16"/>
              </w:rPr>
            </w:pPr>
          </w:p>
          <w:p w14:paraId="0AA0FC72" w14:textId="77777777" w:rsidR="00561AD4" w:rsidRDefault="00561AD4">
            <w:pPr>
              <w:spacing w:before="0" w:after="0" w:line="240" w:lineRule="auto"/>
              <w:rPr>
                <w:rFonts w:ascii="Times New Roman" w:eastAsia="Times New Roman" w:hAnsi="Times New Roman" w:cs="Times New Roman"/>
                <w:color w:val="000000" w:themeColor="text1"/>
                <w:sz w:val="16"/>
                <w:szCs w:val="16"/>
              </w:rPr>
            </w:pPr>
          </w:p>
          <w:p w14:paraId="28257B1F"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90,43 (2021) </w:t>
            </w:r>
          </w:p>
          <w:p w14:paraId="40F11F1E"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92,9 (meshkuj)</w:t>
            </w:r>
          </w:p>
          <w:p w14:paraId="7D4386FB"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87,87 (femra) </w:t>
            </w:r>
          </w:p>
        </w:tc>
        <w:tc>
          <w:tcPr>
            <w:tcW w:w="886" w:type="dxa"/>
            <w:tcBorders>
              <w:top w:val="single" w:sz="8" w:space="0" w:color="000000"/>
              <w:left w:val="single" w:sz="8" w:space="0" w:color="000000"/>
              <w:bottom w:val="single" w:sz="8" w:space="0" w:color="000000"/>
              <w:right w:val="single" w:sz="8" w:space="0" w:color="000000"/>
            </w:tcBorders>
            <w:shd w:val="clear" w:color="auto" w:fill="E2EFD9"/>
          </w:tcPr>
          <w:p w14:paraId="229E3728" w14:textId="754FB611" w:rsidR="005F2AC9" w:rsidRDefault="002B2960">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17.6</w:t>
            </w:r>
            <w:r w:rsidR="00B56839">
              <w:rPr>
                <w:rFonts w:ascii="Times New Roman" w:eastAsia="Times New Roman" w:hAnsi="Times New Roman" w:cs="Times New Roman"/>
                <w:color w:val="000000" w:themeColor="text1"/>
                <w:sz w:val="16"/>
                <w:szCs w:val="16"/>
                <w:lang w:val="it-IT"/>
              </w:rPr>
              <w:t>%</w:t>
            </w:r>
          </w:p>
          <w:p w14:paraId="2AB6C9A2"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416205FF"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688CDFAD"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7F6DDA18"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3454BA4A" w14:textId="77777777" w:rsidR="005F2AC9" w:rsidRDefault="005F2AC9">
            <w:pPr>
              <w:spacing w:before="0" w:after="0" w:line="240" w:lineRule="auto"/>
              <w:rPr>
                <w:rFonts w:ascii="Times New Roman" w:eastAsia="Times New Roman" w:hAnsi="Times New Roman" w:cs="Times New Roman"/>
                <w:color w:val="000000" w:themeColor="text1"/>
                <w:sz w:val="16"/>
                <w:szCs w:val="16"/>
                <w:lang w:val="it-IT"/>
              </w:rPr>
            </w:pPr>
          </w:p>
          <w:p w14:paraId="317B6E31" w14:textId="77777777" w:rsidR="005F2AC9" w:rsidRDefault="005F2AC9">
            <w:pPr>
              <w:spacing w:before="0" w:after="0" w:line="240" w:lineRule="auto"/>
              <w:rPr>
                <w:rFonts w:ascii="Times New Roman" w:eastAsia="Times New Roman" w:hAnsi="Times New Roman" w:cs="Times New Roman"/>
                <w:color w:val="000000" w:themeColor="text1"/>
                <w:sz w:val="16"/>
                <w:szCs w:val="16"/>
                <w:lang w:val="it-IT"/>
              </w:rPr>
            </w:pPr>
          </w:p>
          <w:p w14:paraId="673F2850" w14:textId="77777777" w:rsidR="005F2AC9" w:rsidRDefault="005F2AC9">
            <w:pPr>
              <w:spacing w:before="0" w:after="0" w:line="240" w:lineRule="auto"/>
              <w:rPr>
                <w:rFonts w:ascii="Times New Roman" w:eastAsia="Times New Roman" w:hAnsi="Times New Roman" w:cs="Times New Roman"/>
                <w:color w:val="000000" w:themeColor="text1"/>
                <w:sz w:val="16"/>
                <w:szCs w:val="16"/>
                <w:lang w:val="it-IT"/>
              </w:rPr>
            </w:pPr>
          </w:p>
          <w:p w14:paraId="7CFA6F15"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2E8479A8"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45</w:t>
            </w:r>
          </w:p>
          <w:p w14:paraId="2B3BF3C8"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3603F9A7"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518D45C5"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33BA890F"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1628CCE8"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3649AC8F"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436DC057" w14:textId="77777777" w:rsidR="005F2AC9" w:rsidRDefault="005F2AC9">
            <w:pPr>
              <w:spacing w:before="0" w:after="0" w:line="240" w:lineRule="auto"/>
              <w:rPr>
                <w:rFonts w:ascii="Times New Roman" w:eastAsia="Times New Roman" w:hAnsi="Times New Roman" w:cs="Times New Roman"/>
                <w:color w:val="000000" w:themeColor="text1"/>
                <w:sz w:val="16"/>
                <w:szCs w:val="16"/>
                <w:lang w:val="it-IT"/>
              </w:rPr>
            </w:pPr>
          </w:p>
          <w:p w14:paraId="6478B400"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5D015AA8" w14:textId="77777777" w:rsidR="00561AD4" w:rsidRDefault="00561AD4">
            <w:pPr>
              <w:spacing w:before="0" w:after="0" w:line="240" w:lineRule="auto"/>
              <w:rPr>
                <w:rFonts w:ascii="Times New Roman" w:eastAsia="Times New Roman" w:hAnsi="Times New Roman" w:cs="Times New Roman"/>
                <w:color w:val="000000" w:themeColor="text1"/>
                <w:sz w:val="16"/>
                <w:szCs w:val="16"/>
                <w:lang w:val="it-IT"/>
              </w:rPr>
            </w:pPr>
          </w:p>
          <w:p w14:paraId="17FFD68B" w14:textId="77777777" w:rsidR="00561AD4" w:rsidRDefault="00561AD4">
            <w:pPr>
              <w:spacing w:before="0" w:after="0" w:line="240" w:lineRule="auto"/>
              <w:rPr>
                <w:rFonts w:ascii="Times New Roman" w:eastAsia="Times New Roman" w:hAnsi="Times New Roman" w:cs="Times New Roman"/>
                <w:color w:val="000000" w:themeColor="text1"/>
                <w:sz w:val="16"/>
                <w:szCs w:val="16"/>
                <w:lang w:val="it-IT"/>
              </w:rPr>
            </w:pPr>
          </w:p>
          <w:p w14:paraId="059E6182"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168 </w:t>
            </w:r>
          </w:p>
          <w:p w14:paraId="280F7538"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101 (meshkuj)</w:t>
            </w:r>
          </w:p>
          <w:p w14:paraId="7410B9A3"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67 (femra)</w:t>
            </w:r>
          </w:p>
        </w:tc>
        <w:tc>
          <w:tcPr>
            <w:tcW w:w="963" w:type="dxa"/>
            <w:tcBorders>
              <w:top w:val="single" w:sz="8" w:space="0" w:color="000000"/>
              <w:left w:val="single" w:sz="8" w:space="0" w:color="000000"/>
              <w:bottom w:val="single" w:sz="8" w:space="0" w:color="000000"/>
              <w:right w:val="single" w:sz="8" w:space="0" w:color="000000"/>
            </w:tcBorders>
            <w:shd w:val="clear" w:color="auto" w:fill="E2EFD9"/>
          </w:tcPr>
          <w:p w14:paraId="40AE8951"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25%</w:t>
            </w:r>
          </w:p>
          <w:p w14:paraId="02D6BFDF"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038B8084"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19CE0BC5"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10A63770"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53A974BA"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26EFEC22" w14:textId="77777777" w:rsidR="005F2AC9" w:rsidRDefault="005F2AC9">
            <w:pPr>
              <w:spacing w:before="0" w:after="0" w:line="240" w:lineRule="auto"/>
              <w:rPr>
                <w:rFonts w:ascii="Times New Roman" w:eastAsia="Times New Roman" w:hAnsi="Times New Roman" w:cs="Times New Roman"/>
                <w:color w:val="000000" w:themeColor="text1"/>
                <w:sz w:val="16"/>
                <w:szCs w:val="16"/>
                <w:lang w:val="it-IT"/>
              </w:rPr>
            </w:pPr>
          </w:p>
          <w:p w14:paraId="5D42AD5D" w14:textId="77777777" w:rsidR="005F2AC9" w:rsidRDefault="005F2AC9">
            <w:pPr>
              <w:spacing w:before="0" w:after="0" w:line="240" w:lineRule="auto"/>
              <w:rPr>
                <w:rFonts w:ascii="Times New Roman" w:eastAsia="Times New Roman" w:hAnsi="Times New Roman" w:cs="Times New Roman"/>
                <w:color w:val="000000" w:themeColor="text1"/>
                <w:sz w:val="16"/>
                <w:szCs w:val="16"/>
                <w:lang w:val="it-IT"/>
              </w:rPr>
            </w:pPr>
          </w:p>
          <w:p w14:paraId="6201C0E5" w14:textId="77777777" w:rsidR="005F2AC9" w:rsidRDefault="005F2AC9">
            <w:pPr>
              <w:spacing w:before="0" w:after="0" w:line="240" w:lineRule="auto"/>
              <w:rPr>
                <w:rFonts w:ascii="Times New Roman" w:eastAsia="Times New Roman" w:hAnsi="Times New Roman" w:cs="Times New Roman"/>
                <w:color w:val="000000" w:themeColor="text1"/>
                <w:sz w:val="16"/>
                <w:szCs w:val="16"/>
                <w:lang w:val="it-IT"/>
              </w:rPr>
            </w:pPr>
          </w:p>
          <w:p w14:paraId="7851F18C"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40</w:t>
            </w:r>
          </w:p>
          <w:p w14:paraId="7AAC7853"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4590FAB8"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65EF3457"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24B7E318"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3D8FE25D"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53EBF109"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1D8ACBA6"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4CD66178" w14:textId="77777777" w:rsidR="00561AD4" w:rsidRDefault="00561AD4">
            <w:pPr>
              <w:spacing w:before="0" w:after="0" w:line="240" w:lineRule="auto"/>
              <w:rPr>
                <w:rFonts w:ascii="Times New Roman" w:eastAsia="Times New Roman" w:hAnsi="Times New Roman" w:cs="Times New Roman"/>
                <w:color w:val="000000" w:themeColor="text1"/>
                <w:sz w:val="16"/>
                <w:szCs w:val="16"/>
                <w:lang w:val="it-IT"/>
              </w:rPr>
            </w:pPr>
          </w:p>
          <w:p w14:paraId="576623AA" w14:textId="77777777" w:rsidR="00561AD4" w:rsidRDefault="00561AD4">
            <w:pPr>
              <w:spacing w:before="0" w:after="0" w:line="240" w:lineRule="auto"/>
              <w:rPr>
                <w:rFonts w:ascii="Times New Roman" w:eastAsia="Times New Roman" w:hAnsi="Times New Roman" w:cs="Times New Roman"/>
                <w:color w:val="000000" w:themeColor="text1"/>
                <w:sz w:val="16"/>
                <w:szCs w:val="16"/>
                <w:lang w:val="it-IT"/>
              </w:rPr>
            </w:pPr>
          </w:p>
          <w:p w14:paraId="70B36FED" w14:textId="77777777" w:rsidR="005F2AC9" w:rsidRDefault="005F2AC9">
            <w:pPr>
              <w:spacing w:before="0" w:after="0" w:line="240" w:lineRule="auto"/>
              <w:rPr>
                <w:rFonts w:ascii="Times New Roman" w:eastAsia="Times New Roman" w:hAnsi="Times New Roman" w:cs="Times New Roman"/>
                <w:color w:val="000000" w:themeColor="text1"/>
                <w:sz w:val="16"/>
                <w:szCs w:val="16"/>
                <w:lang w:val="it-IT"/>
              </w:rPr>
            </w:pPr>
          </w:p>
          <w:p w14:paraId="2ED9C206"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87,11</w:t>
            </w:r>
          </w:p>
          <w:p w14:paraId="72F51B72"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113,09 (meshkuj)</w:t>
            </w:r>
          </w:p>
          <w:p w14:paraId="402AD841"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59,75 (femra)</w:t>
            </w:r>
          </w:p>
          <w:p w14:paraId="46B7088F"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76D032B5"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2C364503"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39025649"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29B51253"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tc>
        <w:tc>
          <w:tcPr>
            <w:tcW w:w="1175" w:type="dxa"/>
            <w:tcBorders>
              <w:top w:val="single" w:sz="8" w:space="0" w:color="000000"/>
              <w:left w:val="single" w:sz="8" w:space="0" w:color="000000"/>
              <w:bottom w:val="single" w:sz="8" w:space="0" w:color="000000"/>
              <w:right w:val="single" w:sz="8" w:space="0" w:color="000000"/>
            </w:tcBorders>
            <w:shd w:val="clear" w:color="auto" w:fill="E2EFD9"/>
          </w:tcPr>
          <w:p w14:paraId="228CD1E5"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CH"/>
              </w:rPr>
            </w:pPr>
            <w:r>
              <w:rPr>
                <w:rFonts w:ascii="Times New Roman" w:eastAsia="Times New Roman" w:hAnsi="Times New Roman" w:cs="Times New Roman"/>
                <w:color w:val="000000" w:themeColor="text1"/>
                <w:sz w:val="16"/>
                <w:szCs w:val="16"/>
                <w:lang w:val="it-CH"/>
              </w:rPr>
              <w:t>SHSSH/ të dhëna administrative/ raporti i monitorimit te strategjise se MS</w:t>
            </w:r>
          </w:p>
          <w:p w14:paraId="0F5D0C92"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CH"/>
              </w:rPr>
            </w:pPr>
            <w:r>
              <w:rPr>
                <w:rFonts w:ascii="Times New Roman" w:eastAsia="Times New Roman" w:hAnsi="Times New Roman" w:cs="Times New Roman"/>
                <w:color w:val="000000" w:themeColor="text1"/>
                <w:sz w:val="16"/>
                <w:szCs w:val="16"/>
                <w:lang w:val="it-CH"/>
              </w:rPr>
              <w:t xml:space="preserve"> </w:t>
            </w:r>
          </w:p>
          <w:p w14:paraId="7FB7F05D"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CH"/>
              </w:rPr>
            </w:pPr>
            <w:r>
              <w:rPr>
                <w:rFonts w:ascii="Times New Roman" w:eastAsia="Times New Roman" w:hAnsi="Times New Roman" w:cs="Times New Roman"/>
                <w:color w:val="000000" w:themeColor="text1"/>
                <w:sz w:val="16"/>
                <w:szCs w:val="16"/>
                <w:lang w:val="it-CH"/>
              </w:rPr>
              <w:t>SHSSH/ të dhëna administrative/ raporti i monitorimit te strategjise se MS</w:t>
            </w:r>
          </w:p>
          <w:p w14:paraId="4E8D09E2"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CH"/>
              </w:rPr>
            </w:pPr>
            <w:r>
              <w:rPr>
                <w:rFonts w:ascii="Times New Roman" w:eastAsia="Times New Roman" w:hAnsi="Times New Roman" w:cs="Times New Roman"/>
                <w:color w:val="000000" w:themeColor="text1"/>
                <w:sz w:val="16"/>
                <w:szCs w:val="16"/>
                <w:lang w:val="it-CH"/>
              </w:rPr>
              <w:t xml:space="preserve"> </w:t>
            </w:r>
          </w:p>
          <w:p w14:paraId="13C104BC"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CH"/>
              </w:rPr>
            </w:pPr>
            <w:r>
              <w:rPr>
                <w:rFonts w:ascii="Times New Roman" w:eastAsia="Times New Roman" w:hAnsi="Times New Roman" w:cs="Times New Roman"/>
                <w:color w:val="000000" w:themeColor="text1"/>
                <w:sz w:val="16"/>
                <w:szCs w:val="16"/>
                <w:lang w:val="it-CH"/>
              </w:rPr>
              <w:t xml:space="preserve"> </w:t>
            </w:r>
          </w:p>
          <w:p w14:paraId="04732041" w14:textId="77777777" w:rsidR="00561AD4" w:rsidRDefault="00561AD4">
            <w:pPr>
              <w:spacing w:before="0" w:after="0" w:line="240" w:lineRule="auto"/>
              <w:rPr>
                <w:rFonts w:ascii="Times New Roman" w:eastAsia="Times New Roman" w:hAnsi="Times New Roman" w:cs="Times New Roman"/>
                <w:color w:val="000000" w:themeColor="text1"/>
                <w:sz w:val="16"/>
                <w:szCs w:val="16"/>
                <w:lang w:val="it-CH"/>
              </w:rPr>
            </w:pPr>
          </w:p>
          <w:p w14:paraId="4FA91BE1" w14:textId="77777777" w:rsidR="00561AD4" w:rsidRDefault="00561AD4">
            <w:pPr>
              <w:spacing w:before="0" w:after="0" w:line="240" w:lineRule="auto"/>
              <w:rPr>
                <w:rFonts w:ascii="Times New Roman" w:eastAsia="Times New Roman" w:hAnsi="Times New Roman" w:cs="Times New Roman"/>
                <w:color w:val="000000" w:themeColor="text1"/>
                <w:sz w:val="16"/>
                <w:szCs w:val="16"/>
                <w:lang w:val="it-CH"/>
              </w:rPr>
            </w:pPr>
          </w:p>
          <w:p w14:paraId="6EDF6DC5"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CH"/>
              </w:rPr>
            </w:pPr>
            <w:r>
              <w:rPr>
                <w:rFonts w:ascii="Times New Roman" w:eastAsia="Times New Roman" w:hAnsi="Times New Roman" w:cs="Times New Roman"/>
                <w:color w:val="000000" w:themeColor="text1"/>
                <w:sz w:val="16"/>
                <w:szCs w:val="16"/>
                <w:lang w:val="it-CH"/>
              </w:rPr>
              <w:t xml:space="preserve"> </w:t>
            </w:r>
          </w:p>
          <w:p w14:paraId="0C8317BB"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INSTAT / SHSSH </w:t>
            </w:r>
          </w:p>
          <w:p w14:paraId="1C320979"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tc>
        <w:tc>
          <w:tcPr>
            <w:tcW w:w="1033" w:type="dxa"/>
            <w:tcBorders>
              <w:top w:val="single" w:sz="8" w:space="0" w:color="000000"/>
              <w:left w:val="single" w:sz="8" w:space="0" w:color="000000"/>
              <w:bottom w:val="single" w:sz="8" w:space="0" w:color="000000"/>
              <w:right w:val="single" w:sz="8" w:space="0" w:color="000000"/>
            </w:tcBorders>
            <w:shd w:val="clear" w:color="auto" w:fill="E2EFD9"/>
          </w:tcPr>
          <w:p w14:paraId="46A224B3"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Dokumenti i programit të BE-së EU për Përfshirjen Sociale </w:t>
            </w:r>
          </w:p>
          <w:p w14:paraId="5566B447"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601EEC0C"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1D52638D"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Dokumenti i programit të BE-së EU për Përfshirjen Sociale </w:t>
            </w:r>
          </w:p>
          <w:p w14:paraId="7CC1CDDE"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3203BFF3"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54E7A252"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259F5E68" w14:textId="77777777" w:rsidR="00561AD4" w:rsidRDefault="00561AD4">
            <w:pPr>
              <w:spacing w:before="0" w:after="0" w:line="240" w:lineRule="auto"/>
              <w:rPr>
                <w:rFonts w:ascii="Times New Roman" w:eastAsia="Times New Roman" w:hAnsi="Times New Roman" w:cs="Times New Roman"/>
                <w:color w:val="000000" w:themeColor="text1"/>
                <w:sz w:val="16"/>
                <w:szCs w:val="16"/>
                <w:lang w:val="it-IT"/>
              </w:rPr>
            </w:pPr>
          </w:p>
          <w:p w14:paraId="6DF5832F" w14:textId="77777777" w:rsidR="00561AD4" w:rsidRDefault="00561AD4">
            <w:pPr>
              <w:spacing w:before="0" w:after="0" w:line="240" w:lineRule="auto"/>
              <w:rPr>
                <w:rFonts w:ascii="Times New Roman" w:eastAsia="Times New Roman" w:hAnsi="Times New Roman" w:cs="Times New Roman"/>
                <w:color w:val="000000" w:themeColor="text1"/>
                <w:sz w:val="16"/>
                <w:szCs w:val="16"/>
                <w:lang w:val="it-IT"/>
              </w:rPr>
            </w:pPr>
          </w:p>
          <w:p w14:paraId="554B03D9"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39DF706D"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OzhQ- 10.4, 10.2</w:t>
            </w:r>
          </w:p>
          <w:p w14:paraId="4BE8E235"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403AF893"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OZhQ  10.2</w:t>
            </w:r>
          </w:p>
          <w:p w14:paraId="315EF9C4"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1.3.1; 5.4.1</w:t>
            </w:r>
          </w:p>
          <w:p w14:paraId="23A0B04B"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tc>
      </w:tr>
      <w:tr w:rsidR="005F2AC9" w14:paraId="41F5B9DF" w14:textId="77777777">
        <w:trPr>
          <w:trHeight w:val="300"/>
        </w:trPr>
        <w:tc>
          <w:tcPr>
            <w:tcW w:w="884" w:type="dxa"/>
            <w:vMerge w:val="restart"/>
            <w:tcBorders>
              <w:top w:val="single" w:sz="8" w:space="0" w:color="000000"/>
              <w:left w:val="single" w:sz="8" w:space="0" w:color="000000"/>
              <w:bottom w:val="single" w:sz="6" w:space="0" w:color="000000"/>
              <w:right w:val="single" w:sz="8" w:space="0" w:color="000000"/>
            </w:tcBorders>
            <w:shd w:val="clear" w:color="auto" w:fill="FFF2CC"/>
            <w:vAlign w:val="center"/>
          </w:tcPr>
          <w:p w14:paraId="6CF0BB3A" w14:textId="77777777" w:rsidR="005F2AC9" w:rsidRDefault="00B56839">
            <w:pPr>
              <w:spacing w:before="0" w:after="0" w:line="240" w:lineRule="auto"/>
              <w:rPr>
                <w:rFonts w:ascii="Times New Roman" w:eastAsia="Times New Roman" w:hAnsi="Times New Roman" w:cs="Times New Roman"/>
                <w:b/>
                <w:bCs/>
                <w:color w:val="000000" w:themeColor="text1"/>
                <w:sz w:val="16"/>
                <w:szCs w:val="16"/>
                <w:u w:val="single"/>
                <w:lang w:val="sq-AL"/>
              </w:rPr>
            </w:pPr>
            <w:r>
              <w:rPr>
                <w:rFonts w:ascii="Times New Roman" w:eastAsia="Times New Roman" w:hAnsi="Times New Roman" w:cs="Times New Roman"/>
                <w:b/>
                <w:bCs/>
                <w:color w:val="000000" w:themeColor="text1"/>
                <w:sz w:val="16"/>
                <w:szCs w:val="16"/>
                <w:u w:val="single"/>
                <w:lang w:val="sq-AL"/>
              </w:rPr>
              <w:t>Objektivi specifik/ strategjik</w:t>
            </w:r>
          </w:p>
        </w:tc>
        <w:tc>
          <w:tcPr>
            <w:tcW w:w="1659" w:type="dxa"/>
            <w:tcBorders>
              <w:top w:val="single" w:sz="8" w:space="0" w:color="000000"/>
              <w:left w:val="single" w:sz="8" w:space="0" w:color="000000"/>
              <w:bottom w:val="single" w:sz="8" w:space="0" w:color="000000"/>
              <w:right w:val="single" w:sz="8" w:space="0" w:color="000000"/>
            </w:tcBorders>
            <w:shd w:val="clear" w:color="auto" w:fill="FFF2CC"/>
          </w:tcPr>
          <w:p w14:paraId="6A4B9FE5"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sq-AL"/>
              </w:rPr>
            </w:pPr>
            <w:r>
              <w:rPr>
                <w:rFonts w:ascii="Times New Roman" w:eastAsia="Times New Roman" w:hAnsi="Times New Roman" w:cs="Times New Roman"/>
                <w:color w:val="000000" w:themeColor="text1"/>
                <w:sz w:val="16"/>
                <w:szCs w:val="16"/>
              </w:rPr>
              <w:t xml:space="preserve">B1. </w:t>
            </w:r>
            <w:r>
              <w:rPr>
                <w:rFonts w:ascii="Times New Roman" w:eastAsia="Times New Roman" w:hAnsi="Times New Roman" w:cs="Times New Roman"/>
                <w:color w:val="000000" w:themeColor="text1"/>
                <w:sz w:val="16"/>
                <w:szCs w:val="16"/>
                <w:lang w:val="sq-AL"/>
              </w:rPr>
              <w:t>Konsolidimi i proçesit të decentralizmit të shërbimeve të kujdesit social për financim të qëndrueshëm dhe të përgjegjshëm gjinor, mbulim gjeografik, aksesueshmëri dhe që i përgjigjen krizave dhe emergjencave</w:t>
            </w:r>
          </w:p>
        </w:tc>
        <w:tc>
          <w:tcPr>
            <w:tcW w:w="1662" w:type="dxa"/>
            <w:tcBorders>
              <w:top w:val="single" w:sz="8" w:space="0" w:color="000000"/>
              <w:left w:val="single" w:sz="8" w:space="0" w:color="000000"/>
              <w:bottom w:val="single" w:sz="8" w:space="0" w:color="000000"/>
              <w:right w:val="single" w:sz="8" w:space="0" w:color="000000"/>
            </w:tcBorders>
            <w:shd w:val="clear" w:color="auto" w:fill="FFF2CC"/>
          </w:tcPr>
          <w:p w14:paraId="72420FE5"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Numri </w:t>
            </w:r>
            <w:proofErr w:type="gramStart"/>
            <w:r>
              <w:rPr>
                <w:rFonts w:ascii="Times New Roman" w:eastAsia="Times New Roman" w:hAnsi="Times New Roman" w:cs="Times New Roman"/>
                <w:color w:val="000000" w:themeColor="text1"/>
                <w:sz w:val="16"/>
                <w:szCs w:val="16"/>
              </w:rPr>
              <w:t>i  shërbimeve</w:t>
            </w:r>
            <w:proofErr w:type="gramEnd"/>
            <w:r>
              <w:rPr>
                <w:rFonts w:ascii="Times New Roman" w:eastAsia="Times New Roman" w:hAnsi="Times New Roman" w:cs="Times New Roman"/>
                <w:color w:val="000000" w:themeColor="text1"/>
                <w:sz w:val="16"/>
                <w:szCs w:val="16"/>
              </w:rPr>
              <w:t xml:space="preserve"> të reja të kujdesit social të ofruara në nivel lokal dhe rajonal (sipas tipologjis</w:t>
            </w:r>
            <w:r>
              <w:rPr>
                <w:rFonts w:ascii="Times New Roman" w:eastAsia="Times New Roman" w:hAnsi="Times New Roman" w:cs="Times New Roman"/>
                <w:color w:val="000000" w:themeColor="text1"/>
                <w:sz w:val="16"/>
                <w:szCs w:val="16"/>
                <w:lang w:val="en-GB"/>
              </w:rPr>
              <w:t>ë</w:t>
            </w:r>
            <w:r>
              <w:rPr>
                <w:rFonts w:ascii="Times New Roman" w:eastAsia="Times New Roman" w:hAnsi="Times New Roman" w:cs="Times New Roman"/>
                <w:color w:val="000000" w:themeColor="text1"/>
                <w:sz w:val="16"/>
                <w:szCs w:val="16"/>
              </w:rPr>
              <w:t xml:space="preserve">) npm Fondit Social </w:t>
            </w:r>
          </w:p>
          <w:p w14:paraId="6B68C01F"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2C9F4FE3"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76C87D38"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0478D1AC" w14:textId="2AB4371D"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Fondi social si pjesë e buxhetit vjetor të Ministrisë së Shëndetësisë dhe </w:t>
            </w:r>
            <w:r w:rsidR="00BA4B59" w:rsidRPr="00BA4B59">
              <w:rPr>
                <w:rFonts w:ascii="Times New Roman" w:eastAsia="Times New Roman" w:hAnsi="Times New Roman" w:cs="Times New Roman"/>
                <w:color w:val="000000" w:themeColor="text1"/>
                <w:sz w:val="16"/>
                <w:szCs w:val="16"/>
              </w:rPr>
              <w:t>Mirëqenies</w:t>
            </w:r>
            <w:r>
              <w:rPr>
                <w:rFonts w:ascii="Times New Roman" w:eastAsia="Times New Roman" w:hAnsi="Times New Roman" w:cs="Times New Roman"/>
                <w:color w:val="000000" w:themeColor="text1"/>
                <w:sz w:val="16"/>
                <w:szCs w:val="16"/>
              </w:rPr>
              <w:t xml:space="preserve"> Sociale </w:t>
            </w:r>
          </w:p>
          <w:p w14:paraId="2A105E92"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5108CB86"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tc>
        <w:tc>
          <w:tcPr>
            <w:tcW w:w="987" w:type="dxa"/>
            <w:tcBorders>
              <w:top w:val="single" w:sz="8" w:space="0" w:color="000000"/>
              <w:left w:val="single" w:sz="8" w:space="0" w:color="000000"/>
              <w:bottom w:val="single" w:sz="8" w:space="0" w:color="000000"/>
              <w:right w:val="single" w:sz="8" w:space="0" w:color="000000"/>
            </w:tcBorders>
            <w:shd w:val="clear" w:color="auto" w:fill="FFF2CC"/>
          </w:tcPr>
          <w:p w14:paraId="5974AE44"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15 sherbime të reja (viti 2022)</w:t>
            </w:r>
          </w:p>
          <w:p w14:paraId="6C4E57B1"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14871E36"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1E9EA94E"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47D1C4D7"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55794C16" w14:textId="77777777" w:rsidR="005F2AC9" w:rsidRDefault="005F2AC9">
            <w:pPr>
              <w:spacing w:before="0" w:after="0" w:line="240" w:lineRule="auto"/>
              <w:rPr>
                <w:rFonts w:ascii="Times New Roman" w:eastAsia="Times New Roman" w:hAnsi="Times New Roman" w:cs="Times New Roman"/>
                <w:color w:val="000000" w:themeColor="text1"/>
                <w:sz w:val="16"/>
                <w:szCs w:val="16"/>
              </w:rPr>
            </w:pPr>
          </w:p>
          <w:p w14:paraId="2968DBFC"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36CC0CEB"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200 mln Lek</w:t>
            </w:r>
          </w:p>
          <w:p w14:paraId="4D1859F4"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3A3FC387"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3B3CDC5F"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28DF098C"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0F7DFBF5"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6F378D0A"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tc>
        <w:tc>
          <w:tcPr>
            <w:tcW w:w="886" w:type="dxa"/>
            <w:tcBorders>
              <w:top w:val="single" w:sz="8" w:space="0" w:color="000000"/>
              <w:left w:val="single" w:sz="8" w:space="0" w:color="000000"/>
              <w:bottom w:val="single" w:sz="8" w:space="0" w:color="000000"/>
              <w:right w:val="single" w:sz="8" w:space="0" w:color="000000"/>
            </w:tcBorders>
            <w:shd w:val="clear" w:color="auto" w:fill="FFF2CC"/>
          </w:tcPr>
          <w:p w14:paraId="412AAAD3" w14:textId="77777777" w:rsidR="005F2AC9" w:rsidRDefault="00B56839">
            <w:pPr>
              <w:spacing w:before="0" w:after="0" w:line="257"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38 shërbime të reja</w:t>
            </w:r>
          </w:p>
          <w:p w14:paraId="1CE8339A" w14:textId="77777777" w:rsidR="005F2AC9" w:rsidRDefault="00B56839">
            <w:pPr>
              <w:spacing w:before="0" w:after="0" w:line="257"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13105159" w14:textId="77777777" w:rsidR="005F2AC9" w:rsidRDefault="00B56839">
            <w:pPr>
              <w:spacing w:before="0" w:after="0" w:line="257"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740D71DC" w14:textId="77777777" w:rsidR="005F2AC9" w:rsidRDefault="00B56839">
            <w:pPr>
              <w:spacing w:before="0" w:after="0" w:line="257"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42D5FD68" w14:textId="77777777" w:rsidR="005F2AC9" w:rsidRDefault="00B56839">
            <w:pPr>
              <w:spacing w:before="0" w:after="0" w:line="257"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26675B9F" w14:textId="77777777" w:rsidR="005F2AC9" w:rsidRDefault="005F2AC9">
            <w:pPr>
              <w:spacing w:before="0" w:after="0" w:line="257" w:lineRule="auto"/>
              <w:rPr>
                <w:rFonts w:ascii="Times New Roman" w:eastAsia="Times New Roman" w:hAnsi="Times New Roman" w:cs="Times New Roman"/>
                <w:color w:val="000000" w:themeColor="text1"/>
                <w:sz w:val="16"/>
                <w:szCs w:val="16"/>
              </w:rPr>
            </w:pPr>
          </w:p>
          <w:p w14:paraId="66329842" w14:textId="77777777" w:rsidR="005F2AC9" w:rsidRDefault="00B56839">
            <w:pPr>
              <w:spacing w:before="0" w:after="0" w:line="257"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38DDCC7E" w14:textId="180E485F" w:rsidR="00A44C0A" w:rsidRDefault="00A44C0A">
            <w:pPr>
              <w:spacing w:before="0" w:after="0" w:line="257"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700 mln Lekë </w:t>
            </w:r>
          </w:p>
          <w:p w14:paraId="3E081057" w14:textId="54FAF183" w:rsidR="005F2AC9" w:rsidRDefault="00A44C0A">
            <w:pPr>
              <w:spacing w:before="0" w:after="0" w:line="257"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(2024+ </w:t>
            </w:r>
            <w:r w:rsidR="00B56839">
              <w:rPr>
                <w:rFonts w:ascii="Times New Roman" w:eastAsia="Times New Roman" w:hAnsi="Times New Roman" w:cs="Times New Roman"/>
                <w:color w:val="000000" w:themeColor="text1"/>
                <w:sz w:val="16"/>
                <w:szCs w:val="16"/>
              </w:rPr>
              <w:t>2025)</w:t>
            </w:r>
          </w:p>
        </w:tc>
        <w:tc>
          <w:tcPr>
            <w:tcW w:w="963" w:type="dxa"/>
            <w:tcBorders>
              <w:top w:val="single" w:sz="8" w:space="0" w:color="000000"/>
              <w:left w:val="single" w:sz="8" w:space="0" w:color="000000"/>
              <w:bottom w:val="single" w:sz="8" w:space="0" w:color="000000"/>
              <w:right w:val="single" w:sz="8" w:space="0" w:color="000000"/>
            </w:tcBorders>
            <w:shd w:val="clear" w:color="auto" w:fill="FFF2CC"/>
          </w:tcPr>
          <w:p w14:paraId="5667B6D1" w14:textId="77777777" w:rsidR="005F2AC9" w:rsidRDefault="00B56839">
            <w:pPr>
              <w:spacing w:before="0" w:after="0" w:line="257"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40 sherbime të reja</w:t>
            </w:r>
          </w:p>
          <w:p w14:paraId="63DD4844" w14:textId="77777777" w:rsidR="005F2AC9" w:rsidRDefault="00B56839">
            <w:pPr>
              <w:spacing w:before="0" w:after="0" w:line="257"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3B2A3876" w14:textId="77777777" w:rsidR="005F2AC9" w:rsidRDefault="00B56839">
            <w:pPr>
              <w:spacing w:before="0" w:after="0" w:line="257"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5DC4E5F3" w14:textId="77777777" w:rsidR="005F2AC9" w:rsidRDefault="00B56839">
            <w:pPr>
              <w:spacing w:before="0" w:after="0" w:line="257"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65B6885F" w14:textId="77777777" w:rsidR="005F2AC9" w:rsidRDefault="00B56839">
            <w:pPr>
              <w:spacing w:before="0" w:after="0" w:line="257"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269A9056" w14:textId="77777777" w:rsidR="005F2AC9" w:rsidRDefault="00B56839">
            <w:pPr>
              <w:spacing w:before="0" w:after="0" w:line="257"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129FF555" w14:textId="77777777" w:rsidR="005F2AC9" w:rsidRDefault="005F2AC9">
            <w:pPr>
              <w:spacing w:before="0" w:after="0" w:line="257" w:lineRule="auto"/>
              <w:rPr>
                <w:rFonts w:ascii="Times New Roman" w:eastAsia="Times New Roman" w:hAnsi="Times New Roman" w:cs="Times New Roman"/>
                <w:color w:val="000000" w:themeColor="text1"/>
                <w:sz w:val="16"/>
                <w:szCs w:val="16"/>
              </w:rPr>
            </w:pPr>
          </w:p>
          <w:p w14:paraId="1D93794D"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500 mln Lek</w:t>
            </w:r>
          </w:p>
        </w:tc>
        <w:tc>
          <w:tcPr>
            <w:tcW w:w="1175" w:type="dxa"/>
            <w:tcBorders>
              <w:top w:val="single" w:sz="8" w:space="0" w:color="000000"/>
              <w:left w:val="single" w:sz="8" w:space="0" w:color="000000"/>
              <w:bottom w:val="single" w:sz="8" w:space="0" w:color="000000"/>
              <w:right w:val="single" w:sz="8" w:space="0" w:color="000000"/>
            </w:tcBorders>
            <w:shd w:val="clear" w:color="auto" w:fill="FFF2CC"/>
          </w:tcPr>
          <w:p w14:paraId="3DA13406"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CH"/>
              </w:rPr>
            </w:pPr>
            <w:r>
              <w:rPr>
                <w:rFonts w:ascii="Times New Roman" w:eastAsia="Times New Roman" w:hAnsi="Times New Roman" w:cs="Times New Roman"/>
                <w:color w:val="000000" w:themeColor="text1"/>
                <w:sz w:val="16"/>
                <w:szCs w:val="16"/>
                <w:lang w:val="it-CH"/>
              </w:rPr>
              <w:t>SHSSH/ të dhëna administrative</w:t>
            </w:r>
          </w:p>
          <w:p w14:paraId="6C5594BB"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CH"/>
              </w:rPr>
            </w:pPr>
            <w:r>
              <w:rPr>
                <w:rFonts w:ascii="Times New Roman" w:eastAsia="Times New Roman" w:hAnsi="Times New Roman" w:cs="Times New Roman"/>
                <w:color w:val="000000" w:themeColor="text1"/>
                <w:sz w:val="16"/>
                <w:szCs w:val="16"/>
                <w:lang w:val="it-CH"/>
              </w:rPr>
              <w:t xml:space="preserve"> </w:t>
            </w:r>
          </w:p>
          <w:p w14:paraId="2A37BFDF"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CH"/>
              </w:rPr>
            </w:pPr>
            <w:r>
              <w:rPr>
                <w:rFonts w:ascii="Times New Roman" w:eastAsia="Times New Roman" w:hAnsi="Times New Roman" w:cs="Times New Roman"/>
                <w:color w:val="000000" w:themeColor="text1"/>
                <w:sz w:val="16"/>
                <w:szCs w:val="16"/>
                <w:lang w:val="it-CH"/>
              </w:rPr>
              <w:t xml:space="preserve"> </w:t>
            </w:r>
          </w:p>
          <w:p w14:paraId="37C8A441"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CH"/>
              </w:rPr>
            </w:pPr>
            <w:r>
              <w:rPr>
                <w:rFonts w:ascii="Times New Roman" w:eastAsia="Times New Roman" w:hAnsi="Times New Roman" w:cs="Times New Roman"/>
                <w:color w:val="000000" w:themeColor="text1"/>
                <w:sz w:val="16"/>
                <w:szCs w:val="16"/>
                <w:lang w:val="it-CH"/>
              </w:rPr>
              <w:t xml:space="preserve"> </w:t>
            </w:r>
          </w:p>
          <w:p w14:paraId="27522E14"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CH"/>
              </w:rPr>
            </w:pPr>
            <w:r>
              <w:rPr>
                <w:rFonts w:ascii="Times New Roman" w:eastAsia="Times New Roman" w:hAnsi="Times New Roman" w:cs="Times New Roman"/>
                <w:color w:val="000000" w:themeColor="text1"/>
                <w:sz w:val="16"/>
                <w:szCs w:val="16"/>
                <w:lang w:val="it-CH"/>
              </w:rPr>
              <w:t xml:space="preserve"> </w:t>
            </w:r>
          </w:p>
          <w:p w14:paraId="16BE6E4A"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CH"/>
              </w:rPr>
            </w:pPr>
            <w:r>
              <w:rPr>
                <w:rFonts w:ascii="Times New Roman" w:eastAsia="Times New Roman" w:hAnsi="Times New Roman" w:cs="Times New Roman"/>
                <w:color w:val="000000" w:themeColor="text1"/>
                <w:sz w:val="16"/>
                <w:szCs w:val="16"/>
                <w:lang w:val="it-CH"/>
              </w:rPr>
              <w:t xml:space="preserve"> </w:t>
            </w:r>
          </w:p>
          <w:p w14:paraId="2299C921"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CH"/>
              </w:rPr>
            </w:pPr>
            <w:r>
              <w:rPr>
                <w:rFonts w:ascii="Times New Roman" w:eastAsia="Times New Roman" w:hAnsi="Times New Roman" w:cs="Times New Roman"/>
                <w:color w:val="000000" w:themeColor="text1"/>
                <w:sz w:val="16"/>
                <w:szCs w:val="16"/>
                <w:lang w:val="it-CH"/>
              </w:rPr>
              <w:t>SHSSH/ të dhëna administrative/ raporti i monitorimit te strategjise se MS</w:t>
            </w:r>
          </w:p>
        </w:tc>
        <w:tc>
          <w:tcPr>
            <w:tcW w:w="1033" w:type="dxa"/>
            <w:tcBorders>
              <w:top w:val="single" w:sz="8" w:space="0" w:color="000000"/>
              <w:left w:val="single" w:sz="8" w:space="0" w:color="000000"/>
              <w:bottom w:val="single" w:sz="8" w:space="0" w:color="000000"/>
              <w:right w:val="single" w:sz="8" w:space="0" w:color="000000"/>
            </w:tcBorders>
            <w:shd w:val="clear" w:color="auto" w:fill="FFF2CC"/>
          </w:tcPr>
          <w:p w14:paraId="00C5ABF7"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Dokumenti i programit të BE-së EU për Përfshirjen Sociale </w:t>
            </w:r>
          </w:p>
          <w:p w14:paraId="3A62E651"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7F2A851E"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1D41D772"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01F2FA86"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SKZHI / Objektvi i  Kohezioni sociale/ Mbrojtjes Sociale </w:t>
            </w:r>
          </w:p>
          <w:p w14:paraId="61818C71"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tc>
      </w:tr>
      <w:tr w:rsidR="005F2AC9" w14:paraId="49AF5B30" w14:textId="77777777">
        <w:trPr>
          <w:trHeight w:val="300"/>
        </w:trPr>
        <w:tc>
          <w:tcPr>
            <w:tcW w:w="884" w:type="dxa"/>
            <w:vMerge/>
            <w:tcBorders>
              <w:left w:val="single" w:sz="6" w:space="0" w:color="000000"/>
              <w:right w:val="single" w:sz="6" w:space="0" w:color="000000"/>
            </w:tcBorders>
            <w:vAlign w:val="center"/>
          </w:tcPr>
          <w:p w14:paraId="0AE8834C" w14:textId="77777777" w:rsidR="005F2AC9" w:rsidRDefault="005F2AC9">
            <w:pPr>
              <w:spacing w:before="0" w:after="0" w:line="240" w:lineRule="auto"/>
              <w:rPr>
                <w:color w:val="000000" w:themeColor="text1"/>
              </w:rPr>
            </w:pPr>
          </w:p>
        </w:tc>
        <w:tc>
          <w:tcPr>
            <w:tcW w:w="1659" w:type="dxa"/>
            <w:tcBorders>
              <w:top w:val="single" w:sz="8" w:space="0" w:color="000000"/>
              <w:left w:val="nil"/>
              <w:bottom w:val="single" w:sz="8" w:space="0" w:color="000000"/>
              <w:right w:val="single" w:sz="8" w:space="0" w:color="000000"/>
            </w:tcBorders>
            <w:shd w:val="clear" w:color="auto" w:fill="FFF2CC"/>
          </w:tcPr>
          <w:p w14:paraId="1501A193"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B2: Zbatimi i standardeve dhe forcimi i kapaciteteve </w:t>
            </w:r>
            <w:r>
              <w:rPr>
                <w:rFonts w:ascii="Times New Roman" w:eastAsia="Times New Roman" w:hAnsi="Times New Roman" w:cs="Times New Roman"/>
                <w:color w:val="000000" w:themeColor="text1"/>
                <w:sz w:val="16"/>
                <w:szCs w:val="16"/>
                <w:lang w:val="it-IT"/>
              </w:rPr>
              <w:lastRenderedPageBreak/>
              <w:t>njerëzore të personelit të shërbimeve të kujdesit social për shërbime cilësoredhe të përgjegjshme gjinore.</w:t>
            </w:r>
          </w:p>
          <w:p w14:paraId="7AA04942"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tc>
        <w:tc>
          <w:tcPr>
            <w:tcW w:w="1662" w:type="dxa"/>
            <w:tcBorders>
              <w:top w:val="single" w:sz="8" w:space="0" w:color="000000"/>
              <w:left w:val="single" w:sz="8" w:space="0" w:color="000000"/>
              <w:bottom w:val="single" w:sz="8" w:space="0" w:color="000000"/>
              <w:right w:val="single" w:sz="8" w:space="0" w:color="000000"/>
            </w:tcBorders>
            <w:shd w:val="clear" w:color="auto" w:fill="FFF2CC"/>
          </w:tcPr>
          <w:p w14:paraId="72276667" w14:textId="77777777" w:rsidR="005F2AC9" w:rsidRDefault="00B56839">
            <w:pPr>
              <w:spacing w:before="0" w:after="0" w:line="240" w:lineRule="auto"/>
              <w:jc w:val="both"/>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lastRenderedPageBreak/>
              <w:t xml:space="preserve">Numri i shërbimeve sociale publike dhe jopublike të </w:t>
            </w:r>
            <w:r>
              <w:rPr>
                <w:rFonts w:ascii="Times New Roman" w:eastAsia="Times New Roman" w:hAnsi="Times New Roman" w:cs="Times New Roman"/>
                <w:color w:val="000000" w:themeColor="text1"/>
                <w:sz w:val="16"/>
                <w:szCs w:val="16"/>
                <w:lang w:val="it-IT"/>
              </w:rPr>
              <w:lastRenderedPageBreak/>
              <w:t>akredituara (sipas tipologjisë)</w:t>
            </w:r>
          </w:p>
          <w:p w14:paraId="6C908051" w14:textId="77777777" w:rsidR="005F2AC9" w:rsidRDefault="00B56839">
            <w:pPr>
              <w:spacing w:before="0" w:after="0" w:line="240" w:lineRule="auto"/>
              <w:jc w:val="both"/>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7E9789D9" w14:textId="77777777" w:rsidR="005F2AC9" w:rsidRDefault="00B56839">
            <w:pPr>
              <w:spacing w:before="0" w:after="0" w:line="240" w:lineRule="auto"/>
              <w:jc w:val="both"/>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169055BA" w14:textId="77777777" w:rsidR="005F2AC9" w:rsidRDefault="00B56839">
            <w:pPr>
              <w:spacing w:before="0" w:after="0" w:line="240" w:lineRule="auto"/>
              <w:jc w:val="both"/>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3A3578D8" w14:textId="77777777" w:rsidR="005F2AC9" w:rsidRDefault="00B56839">
            <w:pPr>
              <w:spacing w:before="0" w:after="0" w:line="240" w:lineRule="auto"/>
              <w:jc w:val="both"/>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3069B9C1" w14:textId="77777777" w:rsidR="005F2AC9" w:rsidRDefault="00B56839">
            <w:pPr>
              <w:spacing w:before="0" w:after="0" w:line="240" w:lineRule="auto"/>
              <w:jc w:val="both"/>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6307FF4C" w14:textId="77777777" w:rsidR="005F2AC9" w:rsidRDefault="00B56839">
            <w:pPr>
              <w:spacing w:before="0" w:after="0" w:line="240" w:lineRule="auto"/>
              <w:jc w:val="both"/>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 xml:space="preserve"> </w:t>
            </w:r>
          </w:p>
          <w:p w14:paraId="44D9ECD0" w14:textId="77777777" w:rsidR="005F2AC9" w:rsidRDefault="00B56839">
            <w:pPr>
              <w:spacing w:before="0" w:after="0" w:line="240" w:lineRule="auto"/>
              <w:jc w:val="both"/>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Numri i personelit të shërbimeve të kujdesit social i trajnuar për zbatimin e standarteve të shërbimeve (sipas gjinisë dhe tipologjisë së shërbimeve)</w:t>
            </w:r>
          </w:p>
        </w:tc>
        <w:tc>
          <w:tcPr>
            <w:tcW w:w="987" w:type="dxa"/>
            <w:tcBorders>
              <w:top w:val="single" w:sz="8" w:space="0" w:color="000000"/>
              <w:left w:val="single" w:sz="8" w:space="0" w:color="000000"/>
              <w:bottom w:val="single" w:sz="8" w:space="0" w:color="000000"/>
              <w:right w:val="single" w:sz="8" w:space="0" w:color="000000"/>
            </w:tcBorders>
            <w:shd w:val="clear" w:color="auto" w:fill="FFF2CC"/>
          </w:tcPr>
          <w:p w14:paraId="775EB81B"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lastRenderedPageBreak/>
              <w:t>N/a</w:t>
            </w:r>
          </w:p>
          <w:p w14:paraId="07C9EE21"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68C12773"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55136136"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lastRenderedPageBreak/>
              <w:t xml:space="preserve"> </w:t>
            </w:r>
          </w:p>
          <w:p w14:paraId="638526D0"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062EDD5F"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4EEF36E4"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4A199734"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52CA7F94" w14:textId="77777777" w:rsidR="005F2AC9" w:rsidRDefault="005F2AC9">
            <w:pPr>
              <w:spacing w:before="0" w:after="0" w:line="240" w:lineRule="auto"/>
              <w:rPr>
                <w:rFonts w:ascii="Times New Roman" w:eastAsia="Times New Roman" w:hAnsi="Times New Roman" w:cs="Times New Roman"/>
                <w:color w:val="000000" w:themeColor="text1"/>
                <w:sz w:val="16"/>
                <w:szCs w:val="16"/>
              </w:rPr>
            </w:pPr>
          </w:p>
          <w:p w14:paraId="7EB6A63F" w14:textId="77777777" w:rsidR="00561AD4" w:rsidRDefault="00561AD4">
            <w:pPr>
              <w:spacing w:before="0" w:after="0" w:line="240" w:lineRule="auto"/>
              <w:rPr>
                <w:rFonts w:ascii="Times New Roman" w:eastAsia="Times New Roman" w:hAnsi="Times New Roman" w:cs="Times New Roman"/>
                <w:color w:val="000000" w:themeColor="text1"/>
                <w:sz w:val="16"/>
                <w:szCs w:val="16"/>
              </w:rPr>
            </w:pPr>
          </w:p>
          <w:p w14:paraId="3D8D3ADD"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6E1811EA"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81 (viti 2023)</w:t>
            </w:r>
          </w:p>
        </w:tc>
        <w:tc>
          <w:tcPr>
            <w:tcW w:w="886" w:type="dxa"/>
            <w:tcBorders>
              <w:top w:val="single" w:sz="8" w:space="0" w:color="000000"/>
              <w:left w:val="single" w:sz="8" w:space="0" w:color="000000"/>
              <w:bottom w:val="single" w:sz="8" w:space="0" w:color="000000"/>
              <w:right w:val="single" w:sz="8" w:space="0" w:color="000000"/>
            </w:tcBorders>
            <w:shd w:val="clear" w:color="auto" w:fill="FFF2CC"/>
          </w:tcPr>
          <w:p w14:paraId="2C7431D9" w14:textId="77777777" w:rsidR="005F2AC9" w:rsidRDefault="00B56839">
            <w:pPr>
              <w:spacing w:before="0" w:after="0" w:line="257"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lastRenderedPageBreak/>
              <w:t>N/A</w:t>
            </w:r>
          </w:p>
          <w:p w14:paraId="00A924C8" w14:textId="77777777" w:rsidR="005F2AC9" w:rsidRDefault="00B56839">
            <w:pPr>
              <w:spacing w:before="0" w:after="0" w:line="257"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73F4C30D" w14:textId="77777777" w:rsidR="005F2AC9" w:rsidRDefault="00B56839">
            <w:pPr>
              <w:spacing w:before="0" w:after="0" w:line="257"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0FEBC4FC" w14:textId="77777777" w:rsidR="005F2AC9" w:rsidRDefault="00B56839">
            <w:pPr>
              <w:spacing w:before="0" w:after="0" w:line="257"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lastRenderedPageBreak/>
              <w:t xml:space="preserve"> </w:t>
            </w:r>
          </w:p>
          <w:p w14:paraId="62F0AEEB" w14:textId="77777777" w:rsidR="005F2AC9" w:rsidRDefault="00B56839">
            <w:pPr>
              <w:spacing w:before="0" w:after="0" w:line="257"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46735020" w14:textId="77777777" w:rsidR="005F2AC9" w:rsidRDefault="00B56839">
            <w:pPr>
              <w:spacing w:before="0" w:after="0" w:line="257"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50D5C4E6" w14:textId="77777777" w:rsidR="005F2AC9" w:rsidRDefault="00B56839">
            <w:pPr>
              <w:spacing w:before="0" w:after="0" w:line="257"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33EF8D43" w14:textId="77777777" w:rsidR="005F2AC9" w:rsidRDefault="005F2AC9">
            <w:pPr>
              <w:spacing w:before="0" w:after="0" w:line="257" w:lineRule="auto"/>
              <w:rPr>
                <w:rFonts w:ascii="Times New Roman" w:eastAsia="Times New Roman" w:hAnsi="Times New Roman" w:cs="Times New Roman"/>
                <w:color w:val="000000" w:themeColor="text1"/>
                <w:sz w:val="16"/>
                <w:szCs w:val="16"/>
              </w:rPr>
            </w:pPr>
          </w:p>
          <w:p w14:paraId="080B17CA" w14:textId="77777777" w:rsidR="005F2AC9" w:rsidRDefault="005F2AC9">
            <w:pPr>
              <w:spacing w:before="0" w:after="0" w:line="257" w:lineRule="auto"/>
              <w:rPr>
                <w:rFonts w:ascii="Times New Roman" w:eastAsia="Times New Roman" w:hAnsi="Times New Roman" w:cs="Times New Roman"/>
                <w:color w:val="000000" w:themeColor="text1"/>
                <w:sz w:val="16"/>
                <w:szCs w:val="16"/>
              </w:rPr>
            </w:pPr>
          </w:p>
          <w:p w14:paraId="2C9C48B2" w14:textId="77777777" w:rsidR="005F2AC9" w:rsidRDefault="00B56839">
            <w:pPr>
              <w:spacing w:before="0" w:after="0" w:line="257"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41DA599B" w14:textId="77777777" w:rsidR="00561AD4" w:rsidRDefault="00561AD4">
            <w:pPr>
              <w:spacing w:before="0" w:after="0" w:line="257" w:lineRule="auto"/>
              <w:rPr>
                <w:rFonts w:ascii="Times New Roman" w:eastAsia="Times New Roman" w:hAnsi="Times New Roman" w:cs="Times New Roman"/>
                <w:color w:val="000000" w:themeColor="text1"/>
                <w:sz w:val="16"/>
                <w:szCs w:val="16"/>
              </w:rPr>
            </w:pPr>
          </w:p>
          <w:p w14:paraId="029DA3DE" w14:textId="77777777" w:rsidR="005F2AC9" w:rsidRDefault="00B56839">
            <w:pPr>
              <w:spacing w:before="0" w:after="0" w:line="257" w:lineRule="auto"/>
              <w:rPr>
                <w:rFonts w:ascii="Times New Roman" w:eastAsia="Times New Roman" w:hAnsi="Times New Roman" w:cs="Times New Roman"/>
                <w:color w:val="000000" w:themeColor="text1"/>
                <w:sz w:val="16"/>
                <w:szCs w:val="16"/>
                <w:highlight w:val="yellow"/>
              </w:rPr>
            </w:pPr>
            <w:r>
              <w:rPr>
                <w:rFonts w:ascii="Times New Roman" w:eastAsia="Times New Roman" w:hAnsi="Times New Roman" w:cs="Times New Roman"/>
                <w:color w:val="000000" w:themeColor="text1"/>
                <w:sz w:val="16"/>
                <w:szCs w:val="16"/>
              </w:rPr>
              <w:t>262</w:t>
            </w:r>
          </w:p>
        </w:tc>
        <w:tc>
          <w:tcPr>
            <w:tcW w:w="963" w:type="dxa"/>
            <w:tcBorders>
              <w:top w:val="single" w:sz="8" w:space="0" w:color="000000"/>
              <w:left w:val="single" w:sz="8" w:space="0" w:color="000000"/>
              <w:bottom w:val="single" w:sz="8" w:space="0" w:color="000000"/>
              <w:right w:val="single" w:sz="8" w:space="0" w:color="000000"/>
            </w:tcBorders>
            <w:shd w:val="clear" w:color="auto" w:fill="FFF2CC"/>
          </w:tcPr>
          <w:p w14:paraId="74A42EE6"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lastRenderedPageBreak/>
              <w:t xml:space="preserve">20 institucione publike </w:t>
            </w:r>
            <w:r>
              <w:rPr>
                <w:rFonts w:ascii="Times New Roman" w:eastAsia="Times New Roman" w:hAnsi="Times New Roman" w:cs="Times New Roman"/>
                <w:color w:val="000000" w:themeColor="text1"/>
                <w:sz w:val="16"/>
                <w:szCs w:val="16"/>
              </w:rPr>
              <w:lastRenderedPageBreak/>
              <w:t>përkujdesi</w:t>
            </w:r>
          </w:p>
          <w:p w14:paraId="59A810B0"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1F950655"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3320AEEA"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07E31E27"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2F087B29"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73954DE6" w14:textId="77777777" w:rsidR="00561AD4" w:rsidRDefault="00561AD4">
            <w:pPr>
              <w:spacing w:before="0" w:after="0" w:line="240" w:lineRule="auto"/>
              <w:rPr>
                <w:rFonts w:ascii="Times New Roman" w:eastAsia="Times New Roman" w:hAnsi="Times New Roman" w:cs="Times New Roman"/>
                <w:color w:val="000000" w:themeColor="text1"/>
                <w:sz w:val="16"/>
                <w:szCs w:val="16"/>
              </w:rPr>
            </w:pPr>
          </w:p>
          <w:p w14:paraId="7369A830"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3766208A"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290</w:t>
            </w:r>
          </w:p>
          <w:p w14:paraId="63FB2592"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34DD5145"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298387E1"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360084FA"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4CFA342D"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tc>
        <w:tc>
          <w:tcPr>
            <w:tcW w:w="1175" w:type="dxa"/>
            <w:tcBorders>
              <w:top w:val="single" w:sz="8" w:space="0" w:color="000000"/>
              <w:left w:val="single" w:sz="8" w:space="0" w:color="000000"/>
              <w:bottom w:val="single" w:sz="8" w:space="0" w:color="000000"/>
              <w:right w:val="single" w:sz="8" w:space="0" w:color="000000"/>
            </w:tcBorders>
            <w:shd w:val="clear" w:color="auto" w:fill="FFF2CC"/>
          </w:tcPr>
          <w:p w14:paraId="35B07585"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CH"/>
              </w:rPr>
            </w:pPr>
            <w:r>
              <w:rPr>
                <w:rFonts w:ascii="Times New Roman" w:eastAsia="Times New Roman" w:hAnsi="Times New Roman" w:cs="Times New Roman"/>
                <w:color w:val="000000" w:themeColor="text1"/>
                <w:sz w:val="16"/>
                <w:szCs w:val="16"/>
                <w:lang w:val="it-CH"/>
              </w:rPr>
              <w:lastRenderedPageBreak/>
              <w:t xml:space="preserve">Agjencia e Akreditimit dhe Trajnimit </w:t>
            </w:r>
            <w:r>
              <w:rPr>
                <w:rFonts w:ascii="Times New Roman" w:eastAsia="Times New Roman" w:hAnsi="Times New Roman" w:cs="Times New Roman"/>
                <w:color w:val="000000" w:themeColor="text1"/>
                <w:sz w:val="16"/>
                <w:szCs w:val="16"/>
                <w:lang w:val="it-CH"/>
              </w:rPr>
              <w:lastRenderedPageBreak/>
              <w:t>në Vazhdimësi/ të dhëna administrative</w:t>
            </w:r>
          </w:p>
          <w:p w14:paraId="4D993A9E"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CH"/>
              </w:rPr>
            </w:pPr>
            <w:r>
              <w:rPr>
                <w:rFonts w:ascii="Times New Roman" w:eastAsia="Times New Roman" w:hAnsi="Times New Roman" w:cs="Times New Roman"/>
                <w:color w:val="000000" w:themeColor="text1"/>
                <w:sz w:val="16"/>
                <w:szCs w:val="16"/>
                <w:lang w:val="it-CH"/>
              </w:rPr>
              <w:t xml:space="preserve"> </w:t>
            </w:r>
          </w:p>
          <w:p w14:paraId="0A6AAE4C"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CH"/>
              </w:rPr>
            </w:pPr>
            <w:r>
              <w:rPr>
                <w:rFonts w:ascii="Times New Roman" w:eastAsia="Times New Roman" w:hAnsi="Times New Roman" w:cs="Times New Roman"/>
                <w:color w:val="000000" w:themeColor="text1"/>
                <w:sz w:val="16"/>
                <w:szCs w:val="16"/>
                <w:lang w:val="it-CH"/>
              </w:rPr>
              <w:t xml:space="preserve"> </w:t>
            </w:r>
          </w:p>
          <w:p w14:paraId="70AC5C42" w14:textId="77777777" w:rsidR="00561AD4" w:rsidRDefault="00561AD4">
            <w:pPr>
              <w:spacing w:before="0" w:after="0" w:line="240" w:lineRule="auto"/>
              <w:rPr>
                <w:rFonts w:ascii="Times New Roman" w:eastAsia="Times New Roman" w:hAnsi="Times New Roman" w:cs="Times New Roman"/>
                <w:color w:val="000000" w:themeColor="text1"/>
                <w:sz w:val="16"/>
                <w:szCs w:val="16"/>
                <w:lang w:val="it-CH"/>
              </w:rPr>
            </w:pPr>
          </w:p>
          <w:p w14:paraId="1F5C3EB9" w14:textId="77777777" w:rsidR="00561AD4" w:rsidRDefault="00561AD4">
            <w:pPr>
              <w:spacing w:before="0" w:after="0" w:line="240" w:lineRule="auto"/>
              <w:rPr>
                <w:rFonts w:ascii="Times New Roman" w:eastAsia="Times New Roman" w:hAnsi="Times New Roman" w:cs="Times New Roman"/>
                <w:color w:val="000000" w:themeColor="text1"/>
                <w:sz w:val="16"/>
                <w:szCs w:val="16"/>
                <w:lang w:val="it-CH"/>
              </w:rPr>
            </w:pPr>
          </w:p>
          <w:p w14:paraId="39AD467E"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CH"/>
              </w:rPr>
            </w:pPr>
            <w:r>
              <w:rPr>
                <w:rFonts w:ascii="Times New Roman" w:eastAsia="Times New Roman" w:hAnsi="Times New Roman" w:cs="Times New Roman"/>
                <w:color w:val="000000" w:themeColor="text1"/>
                <w:sz w:val="16"/>
                <w:szCs w:val="16"/>
                <w:lang w:val="it-CH"/>
              </w:rPr>
              <w:t>SHSSH/ Agjencia e Akreditimit dhe Trajnimit në Vazhdimësi/ të dhëna administrative/</w:t>
            </w:r>
          </w:p>
        </w:tc>
        <w:tc>
          <w:tcPr>
            <w:tcW w:w="1033" w:type="dxa"/>
            <w:tcBorders>
              <w:top w:val="single" w:sz="8" w:space="0" w:color="000000"/>
              <w:left w:val="single" w:sz="8" w:space="0" w:color="000000"/>
              <w:bottom w:val="single" w:sz="8" w:space="0" w:color="000000"/>
              <w:right w:val="single" w:sz="8" w:space="0" w:color="000000"/>
            </w:tcBorders>
            <w:shd w:val="clear" w:color="auto" w:fill="FFF2CC"/>
          </w:tcPr>
          <w:p w14:paraId="4776220B"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lastRenderedPageBreak/>
              <w:t>OZhQ 1.3, 10.2</w:t>
            </w:r>
          </w:p>
          <w:p w14:paraId="1A04EAC6"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5.4.1, 5.C1</w:t>
            </w:r>
          </w:p>
        </w:tc>
      </w:tr>
      <w:tr w:rsidR="005F2AC9" w14:paraId="0FAF85C2" w14:textId="77777777">
        <w:trPr>
          <w:trHeight w:val="1545"/>
        </w:trPr>
        <w:tc>
          <w:tcPr>
            <w:tcW w:w="884" w:type="dxa"/>
            <w:vMerge/>
            <w:tcBorders>
              <w:top w:val="single" w:sz="6" w:space="0" w:color="000000"/>
              <w:left w:val="single" w:sz="6" w:space="0" w:color="000000"/>
              <w:bottom w:val="single" w:sz="6" w:space="0" w:color="000000"/>
              <w:right w:val="single" w:sz="6" w:space="0" w:color="000000"/>
            </w:tcBorders>
            <w:vAlign w:val="center"/>
          </w:tcPr>
          <w:p w14:paraId="674A0F2F" w14:textId="77777777" w:rsidR="005F2AC9" w:rsidRDefault="005F2AC9">
            <w:pPr>
              <w:spacing w:before="0" w:after="0" w:line="240" w:lineRule="auto"/>
              <w:rPr>
                <w:color w:val="000000" w:themeColor="text1"/>
              </w:rPr>
            </w:pPr>
          </w:p>
        </w:tc>
        <w:tc>
          <w:tcPr>
            <w:tcW w:w="1659" w:type="dxa"/>
            <w:tcBorders>
              <w:top w:val="single" w:sz="8" w:space="0" w:color="000000"/>
              <w:left w:val="nil"/>
              <w:bottom w:val="single" w:sz="8" w:space="0" w:color="000000"/>
              <w:right w:val="single" w:sz="8" w:space="0" w:color="000000"/>
            </w:tcBorders>
            <w:shd w:val="clear" w:color="auto" w:fill="FFF2CC"/>
          </w:tcPr>
          <w:p w14:paraId="1F357A9B"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sq-AL"/>
              </w:rPr>
            </w:pPr>
            <w:r>
              <w:rPr>
                <w:rFonts w:ascii="Times New Roman" w:eastAsia="Times New Roman" w:hAnsi="Times New Roman" w:cs="Times New Roman"/>
                <w:color w:val="000000" w:themeColor="text1"/>
                <w:sz w:val="16"/>
                <w:szCs w:val="16"/>
                <w:lang w:val="sq-AL"/>
              </w:rPr>
              <w:t>B3: Deinstitucionalizmi i shërbimeve të kujdesit rezidencial dhe transformimi drejt shërbimeve në familje, komunitare dhe ditore duke respektuar parimin e të drejtave dhe lentet gjinore.</w:t>
            </w:r>
          </w:p>
        </w:tc>
        <w:tc>
          <w:tcPr>
            <w:tcW w:w="1662" w:type="dxa"/>
            <w:tcBorders>
              <w:top w:val="single" w:sz="8" w:space="0" w:color="000000"/>
              <w:left w:val="single" w:sz="8" w:space="0" w:color="000000"/>
              <w:bottom w:val="single" w:sz="8" w:space="0" w:color="000000"/>
              <w:right w:val="single" w:sz="8" w:space="0" w:color="000000"/>
            </w:tcBorders>
            <w:shd w:val="clear" w:color="auto" w:fill="FFF2CC"/>
          </w:tcPr>
          <w:p w14:paraId="61AD61CD"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CH"/>
              </w:rPr>
            </w:pPr>
            <w:r>
              <w:rPr>
                <w:rFonts w:ascii="Times New Roman" w:eastAsia="Times New Roman" w:hAnsi="Times New Roman" w:cs="Times New Roman"/>
                <w:color w:val="000000" w:themeColor="text1"/>
                <w:sz w:val="16"/>
                <w:szCs w:val="16"/>
                <w:lang w:val="it-CH"/>
              </w:rPr>
              <w:t>Norma e fëmijëve 0-17 vjeç në familje kujdestare (për 100.000)</w:t>
            </w:r>
          </w:p>
          <w:p w14:paraId="538DD8FA" w14:textId="77777777" w:rsidR="005F2AC9" w:rsidRDefault="00B56839">
            <w:pPr>
              <w:spacing w:before="0" w:after="0" w:line="240" w:lineRule="auto"/>
              <w:rPr>
                <w:rFonts w:ascii="Times New Roman" w:eastAsia="Times New Roman" w:hAnsi="Times New Roman" w:cs="Times New Roman"/>
                <w:color w:val="000000" w:themeColor="text1"/>
                <w:sz w:val="16"/>
                <w:szCs w:val="16"/>
                <w:highlight w:val="yellow"/>
                <w:lang w:val="it-CH"/>
              </w:rPr>
            </w:pPr>
            <w:r>
              <w:rPr>
                <w:rFonts w:ascii="Times New Roman" w:eastAsia="Times New Roman" w:hAnsi="Times New Roman" w:cs="Times New Roman"/>
                <w:color w:val="000000" w:themeColor="text1"/>
                <w:sz w:val="16"/>
                <w:szCs w:val="16"/>
                <w:highlight w:val="yellow"/>
                <w:lang w:val="it-CH"/>
              </w:rPr>
              <w:t xml:space="preserve"> </w:t>
            </w:r>
          </w:p>
          <w:p w14:paraId="03C9D10E" w14:textId="77777777" w:rsidR="005F2AC9" w:rsidRDefault="00B56839">
            <w:pPr>
              <w:spacing w:before="0" w:after="0" w:line="240" w:lineRule="auto"/>
              <w:rPr>
                <w:rFonts w:ascii="Times New Roman" w:eastAsia="Times New Roman" w:hAnsi="Times New Roman" w:cs="Times New Roman"/>
                <w:color w:val="000000" w:themeColor="text1"/>
                <w:sz w:val="16"/>
                <w:szCs w:val="16"/>
                <w:highlight w:val="yellow"/>
                <w:lang w:val="it-CH"/>
              </w:rPr>
            </w:pPr>
            <w:r>
              <w:rPr>
                <w:rFonts w:ascii="Times New Roman" w:eastAsia="Times New Roman" w:hAnsi="Times New Roman" w:cs="Times New Roman"/>
                <w:color w:val="000000" w:themeColor="text1"/>
                <w:sz w:val="16"/>
                <w:szCs w:val="16"/>
                <w:highlight w:val="yellow"/>
                <w:lang w:val="it-CH"/>
              </w:rPr>
              <w:t xml:space="preserve"> </w:t>
            </w:r>
          </w:p>
          <w:p w14:paraId="7065BE94" w14:textId="77777777" w:rsidR="005F2AC9" w:rsidRDefault="00B56839">
            <w:pPr>
              <w:spacing w:before="0" w:after="0" w:line="240" w:lineRule="auto"/>
              <w:rPr>
                <w:rFonts w:ascii="Times New Roman" w:eastAsia="Times New Roman" w:hAnsi="Times New Roman" w:cs="Times New Roman"/>
                <w:color w:val="000000" w:themeColor="text1"/>
                <w:sz w:val="16"/>
                <w:szCs w:val="16"/>
                <w:highlight w:val="yellow"/>
                <w:lang w:val="it-CH"/>
              </w:rPr>
            </w:pPr>
            <w:r>
              <w:rPr>
                <w:rFonts w:ascii="Times New Roman" w:eastAsia="Times New Roman" w:hAnsi="Times New Roman" w:cs="Times New Roman"/>
                <w:color w:val="000000" w:themeColor="text1"/>
                <w:sz w:val="16"/>
                <w:szCs w:val="16"/>
                <w:highlight w:val="yellow"/>
                <w:lang w:val="it-CH"/>
              </w:rPr>
              <w:t xml:space="preserve"> </w:t>
            </w:r>
          </w:p>
          <w:p w14:paraId="0A4D3253" w14:textId="77777777" w:rsidR="005F2AC9" w:rsidRDefault="00B56839">
            <w:pPr>
              <w:spacing w:before="0" w:after="0" w:line="240" w:lineRule="auto"/>
              <w:rPr>
                <w:rFonts w:ascii="Times New Roman" w:eastAsia="Times New Roman" w:hAnsi="Times New Roman" w:cs="Times New Roman"/>
                <w:color w:val="000000" w:themeColor="text1"/>
                <w:sz w:val="16"/>
                <w:szCs w:val="16"/>
                <w:highlight w:val="yellow"/>
                <w:lang w:val="it-CH"/>
              </w:rPr>
            </w:pPr>
            <w:r>
              <w:rPr>
                <w:rFonts w:ascii="Times New Roman" w:eastAsia="Times New Roman" w:hAnsi="Times New Roman" w:cs="Times New Roman"/>
                <w:color w:val="000000" w:themeColor="text1"/>
                <w:sz w:val="16"/>
                <w:szCs w:val="16"/>
                <w:highlight w:val="yellow"/>
                <w:lang w:val="it-CH"/>
              </w:rPr>
              <w:t xml:space="preserve"> </w:t>
            </w:r>
          </w:p>
          <w:p w14:paraId="4E9045AF"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CH"/>
              </w:rPr>
            </w:pPr>
            <w:r>
              <w:rPr>
                <w:rFonts w:ascii="Times New Roman" w:eastAsia="Times New Roman" w:hAnsi="Times New Roman" w:cs="Times New Roman"/>
                <w:color w:val="000000" w:themeColor="text1"/>
                <w:sz w:val="16"/>
                <w:szCs w:val="16"/>
                <w:lang w:val="it-CH"/>
              </w:rPr>
              <w:t xml:space="preserve">Raporti i fëmijëve me afësi të kufizuara ndaj totalit të fëmijëve në qendra me shërbim rezidencial, në fund të vitit (përqindje) </w:t>
            </w:r>
          </w:p>
          <w:p w14:paraId="0FCE38DF" w14:textId="77777777" w:rsidR="005F2AC9" w:rsidRDefault="00B56839">
            <w:pPr>
              <w:spacing w:before="0" w:after="0" w:line="240" w:lineRule="auto"/>
              <w:rPr>
                <w:rFonts w:ascii="Times New Roman" w:eastAsia="Times New Roman" w:hAnsi="Times New Roman" w:cs="Times New Roman"/>
                <w:color w:val="000000" w:themeColor="text1"/>
                <w:sz w:val="16"/>
                <w:szCs w:val="16"/>
                <w:highlight w:val="yellow"/>
                <w:lang w:val="it-CH"/>
              </w:rPr>
            </w:pPr>
            <w:r>
              <w:rPr>
                <w:rFonts w:ascii="Times New Roman" w:eastAsia="Times New Roman" w:hAnsi="Times New Roman" w:cs="Times New Roman"/>
                <w:color w:val="000000" w:themeColor="text1"/>
                <w:sz w:val="16"/>
                <w:szCs w:val="16"/>
                <w:highlight w:val="yellow"/>
                <w:lang w:val="it-CH"/>
              </w:rPr>
              <w:t xml:space="preserve"> </w:t>
            </w:r>
          </w:p>
          <w:p w14:paraId="756884DF" w14:textId="77777777" w:rsidR="005F2AC9" w:rsidRDefault="00B56839">
            <w:pPr>
              <w:spacing w:before="0" w:after="0" w:line="240" w:lineRule="auto"/>
              <w:rPr>
                <w:rFonts w:ascii="Times New Roman" w:eastAsia="Times New Roman" w:hAnsi="Times New Roman" w:cs="Times New Roman"/>
                <w:color w:val="000000" w:themeColor="text1"/>
                <w:sz w:val="16"/>
                <w:szCs w:val="16"/>
                <w:highlight w:val="yellow"/>
                <w:lang w:val="it-CH"/>
              </w:rPr>
            </w:pPr>
            <w:r>
              <w:rPr>
                <w:rFonts w:ascii="Times New Roman" w:eastAsia="Times New Roman" w:hAnsi="Times New Roman" w:cs="Times New Roman"/>
                <w:color w:val="000000" w:themeColor="text1"/>
                <w:sz w:val="16"/>
                <w:szCs w:val="16"/>
                <w:highlight w:val="yellow"/>
                <w:lang w:val="it-CH"/>
              </w:rPr>
              <w:t xml:space="preserve"> </w:t>
            </w:r>
          </w:p>
          <w:p w14:paraId="45BE5240"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Norma e fëmijëve 0-17 vjeç në përkujdes alternativ (për 100.000)</w:t>
            </w:r>
          </w:p>
        </w:tc>
        <w:tc>
          <w:tcPr>
            <w:tcW w:w="987" w:type="dxa"/>
            <w:tcBorders>
              <w:top w:val="single" w:sz="8" w:space="0" w:color="000000"/>
              <w:left w:val="single" w:sz="8" w:space="0" w:color="000000"/>
              <w:bottom w:val="single" w:sz="8" w:space="0" w:color="000000"/>
              <w:right w:val="single" w:sz="8" w:space="0" w:color="000000"/>
            </w:tcBorders>
            <w:shd w:val="clear" w:color="auto" w:fill="FFF2CC"/>
          </w:tcPr>
          <w:p w14:paraId="3166492D"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65,9 </w:t>
            </w:r>
            <w:proofErr w:type="gramStart"/>
            <w:r>
              <w:rPr>
                <w:rFonts w:ascii="Times New Roman" w:eastAsia="Times New Roman" w:hAnsi="Times New Roman" w:cs="Times New Roman"/>
                <w:color w:val="000000" w:themeColor="text1"/>
                <w:sz w:val="16"/>
                <w:szCs w:val="16"/>
              </w:rPr>
              <w:t>( 2021</w:t>
            </w:r>
            <w:proofErr w:type="gramEnd"/>
            <w:r>
              <w:rPr>
                <w:rFonts w:ascii="Times New Roman" w:eastAsia="Times New Roman" w:hAnsi="Times New Roman" w:cs="Times New Roman"/>
                <w:color w:val="000000" w:themeColor="text1"/>
                <w:sz w:val="16"/>
                <w:szCs w:val="16"/>
              </w:rPr>
              <w:t xml:space="preserve">) </w:t>
            </w:r>
          </w:p>
          <w:p w14:paraId="3C121AB7"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67,1 (meshkuj) </w:t>
            </w:r>
          </w:p>
          <w:p w14:paraId="1D97B061"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64,6 (femra) </w:t>
            </w:r>
          </w:p>
          <w:p w14:paraId="5F56412B" w14:textId="77777777" w:rsidR="005F2AC9" w:rsidRDefault="00B56839">
            <w:pPr>
              <w:spacing w:before="0" w:after="0" w:line="240" w:lineRule="auto"/>
              <w:rPr>
                <w:rFonts w:ascii="Times New Roman" w:eastAsia="Times New Roman" w:hAnsi="Times New Roman" w:cs="Times New Roman"/>
                <w:color w:val="000000" w:themeColor="text1"/>
                <w:sz w:val="16"/>
                <w:szCs w:val="16"/>
                <w:highlight w:val="yellow"/>
              </w:rPr>
            </w:pPr>
            <w:r>
              <w:rPr>
                <w:rFonts w:ascii="Times New Roman" w:eastAsia="Times New Roman" w:hAnsi="Times New Roman" w:cs="Times New Roman"/>
                <w:color w:val="000000" w:themeColor="text1"/>
                <w:sz w:val="16"/>
                <w:szCs w:val="16"/>
                <w:highlight w:val="yellow"/>
              </w:rPr>
              <w:t xml:space="preserve"> </w:t>
            </w:r>
          </w:p>
          <w:p w14:paraId="0B0EF6DA" w14:textId="77777777" w:rsidR="005F2AC9" w:rsidRDefault="00B56839">
            <w:pPr>
              <w:spacing w:before="0" w:after="0" w:line="240" w:lineRule="auto"/>
              <w:rPr>
                <w:rFonts w:ascii="Times New Roman" w:eastAsia="Times New Roman" w:hAnsi="Times New Roman" w:cs="Times New Roman"/>
                <w:color w:val="000000" w:themeColor="text1"/>
                <w:sz w:val="16"/>
                <w:szCs w:val="16"/>
                <w:highlight w:val="yellow"/>
              </w:rPr>
            </w:pPr>
            <w:r>
              <w:rPr>
                <w:rFonts w:ascii="Times New Roman" w:eastAsia="Times New Roman" w:hAnsi="Times New Roman" w:cs="Times New Roman"/>
                <w:color w:val="000000" w:themeColor="text1"/>
                <w:sz w:val="16"/>
                <w:szCs w:val="16"/>
                <w:highlight w:val="yellow"/>
              </w:rPr>
              <w:t xml:space="preserve"> </w:t>
            </w:r>
          </w:p>
          <w:p w14:paraId="5820AFB5" w14:textId="77777777" w:rsidR="005F2AC9" w:rsidRDefault="00B56839">
            <w:pPr>
              <w:spacing w:before="0" w:after="0" w:line="240" w:lineRule="auto"/>
              <w:rPr>
                <w:rFonts w:ascii="Times New Roman" w:eastAsia="Times New Roman" w:hAnsi="Times New Roman" w:cs="Times New Roman"/>
                <w:color w:val="000000" w:themeColor="text1"/>
                <w:sz w:val="16"/>
                <w:szCs w:val="16"/>
                <w:highlight w:val="yellow"/>
              </w:rPr>
            </w:pPr>
            <w:r>
              <w:rPr>
                <w:rFonts w:ascii="Times New Roman" w:eastAsia="Times New Roman" w:hAnsi="Times New Roman" w:cs="Times New Roman"/>
                <w:color w:val="000000" w:themeColor="text1"/>
                <w:sz w:val="16"/>
                <w:szCs w:val="16"/>
                <w:highlight w:val="yellow"/>
              </w:rPr>
              <w:t xml:space="preserve"> </w:t>
            </w:r>
          </w:p>
          <w:p w14:paraId="79019A87" w14:textId="49E8E1C2" w:rsidR="005F2AC9" w:rsidRDefault="00561AD4">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6,1% (</w:t>
            </w:r>
            <w:r w:rsidR="00B56839">
              <w:rPr>
                <w:rFonts w:ascii="Times New Roman" w:eastAsia="Times New Roman" w:hAnsi="Times New Roman" w:cs="Times New Roman"/>
                <w:color w:val="000000" w:themeColor="text1"/>
                <w:sz w:val="16"/>
                <w:szCs w:val="16"/>
              </w:rPr>
              <w:t xml:space="preserve">2021) </w:t>
            </w:r>
          </w:p>
          <w:p w14:paraId="4D921CD6" w14:textId="77777777" w:rsidR="005F2AC9" w:rsidRDefault="00B56839">
            <w:pPr>
              <w:spacing w:before="0" w:after="0" w:line="240" w:lineRule="auto"/>
              <w:rPr>
                <w:rFonts w:ascii="Times New Roman" w:eastAsia="Times New Roman" w:hAnsi="Times New Roman" w:cs="Times New Roman"/>
                <w:color w:val="000000" w:themeColor="text1"/>
                <w:sz w:val="16"/>
                <w:szCs w:val="16"/>
                <w:highlight w:val="yellow"/>
              </w:rPr>
            </w:pPr>
            <w:r>
              <w:rPr>
                <w:rFonts w:ascii="Times New Roman" w:eastAsia="Times New Roman" w:hAnsi="Times New Roman" w:cs="Times New Roman"/>
                <w:color w:val="000000" w:themeColor="text1"/>
                <w:sz w:val="16"/>
                <w:szCs w:val="16"/>
                <w:highlight w:val="yellow"/>
              </w:rPr>
              <w:t xml:space="preserve"> </w:t>
            </w:r>
          </w:p>
          <w:p w14:paraId="796917E1" w14:textId="77777777" w:rsidR="005F2AC9" w:rsidRDefault="00B56839">
            <w:pPr>
              <w:spacing w:before="0" w:after="0" w:line="240" w:lineRule="auto"/>
              <w:rPr>
                <w:rFonts w:ascii="Times New Roman" w:eastAsia="Times New Roman" w:hAnsi="Times New Roman" w:cs="Times New Roman"/>
                <w:color w:val="000000" w:themeColor="text1"/>
                <w:sz w:val="16"/>
                <w:szCs w:val="16"/>
                <w:highlight w:val="yellow"/>
              </w:rPr>
            </w:pPr>
            <w:r>
              <w:rPr>
                <w:rFonts w:ascii="Times New Roman" w:eastAsia="Times New Roman" w:hAnsi="Times New Roman" w:cs="Times New Roman"/>
                <w:color w:val="000000" w:themeColor="text1"/>
                <w:sz w:val="16"/>
                <w:szCs w:val="16"/>
                <w:highlight w:val="yellow"/>
              </w:rPr>
              <w:t xml:space="preserve"> </w:t>
            </w:r>
          </w:p>
          <w:p w14:paraId="4FC60048" w14:textId="77777777" w:rsidR="005F2AC9" w:rsidRDefault="00B56839">
            <w:pPr>
              <w:spacing w:before="0" w:after="0" w:line="240" w:lineRule="auto"/>
              <w:rPr>
                <w:rFonts w:ascii="Times New Roman" w:eastAsia="Times New Roman" w:hAnsi="Times New Roman" w:cs="Times New Roman"/>
                <w:color w:val="000000" w:themeColor="text1"/>
                <w:sz w:val="16"/>
                <w:szCs w:val="16"/>
                <w:highlight w:val="yellow"/>
              </w:rPr>
            </w:pPr>
            <w:r>
              <w:rPr>
                <w:rFonts w:ascii="Times New Roman" w:eastAsia="Times New Roman" w:hAnsi="Times New Roman" w:cs="Times New Roman"/>
                <w:color w:val="000000" w:themeColor="text1"/>
                <w:sz w:val="16"/>
                <w:szCs w:val="16"/>
                <w:highlight w:val="yellow"/>
              </w:rPr>
              <w:t xml:space="preserve"> </w:t>
            </w:r>
          </w:p>
          <w:p w14:paraId="7A05B992" w14:textId="77777777" w:rsidR="005F2AC9" w:rsidRDefault="00B56839">
            <w:pPr>
              <w:spacing w:before="0" w:after="0" w:line="240" w:lineRule="auto"/>
              <w:rPr>
                <w:rFonts w:ascii="Times New Roman" w:eastAsia="Times New Roman" w:hAnsi="Times New Roman" w:cs="Times New Roman"/>
                <w:color w:val="000000" w:themeColor="text1"/>
                <w:sz w:val="16"/>
                <w:szCs w:val="16"/>
                <w:highlight w:val="yellow"/>
              </w:rPr>
            </w:pPr>
            <w:r>
              <w:rPr>
                <w:rFonts w:ascii="Times New Roman" w:eastAsia="Times New Roman" w:hAnsi="Times New Roman" w:cs="Times New Roman"/>
                <w:color w:val="000000" w:themeColor="text1"/>
                <w:sz w:val="16"/>
                <w:szCs w:val="16"/>
                <w:highlight w:val="yellow"/>
              </w:rPr>
              <w:t xml:space="preserve"> </w:t>
            </w:r>
          </w:p>
          <w:p w14:paraId="48AD1A10" w14:textId="77777777" w:rsidR="005F2AC9" w:rsidRDefault="00B56839">
            <w:pPr>
              <w:spacing w:before="0" w:after="0" w:line="240" w:lineRule="auto"/>
              <w:rPr>
                <w:rFonts w:ascii="Times New Roman" w:eastAsia="Times New Roman" w:hAnsi="Times New Roman" w:cs="Times New Roman"/>
                <w:color w:val="000000" w:themeColor="text1"/>
                <w:sz w:val="16"/>
                <w:szCs w:val="16"/>
                <w:highlight w:val="yellow"/>
              </w:rPr>
            </w:pPr>
            <w:r>
              <w:rPr>
                <w:rFonts w:ascii="Times New Roman" w:eastAsia="Times New Roman" w:hAnsi="Times New Roman" w:cs="Times New Roman"/>
                <w:color w:val="000000" w:themeColor="text1"/>
                <w:sz w:val="16"/>
                <w:szCs w:val="16"/>
                <w:highlight w:val="yellow"/>
              </w:rPr>
              <w:t xml:space="preserve"> </w:t>
            </w:r>
          </w:p>
          <w:p w14:paraId="33CDB3C0"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160 (total) – 2021</w:t>
            </w:r>
          </w:p>
          <w:p w14:paraId="7575A1B7" w14:textId="77777777" w:rsidR="005F2AC9" w:rsidRDefault="005F2AC9">
            <w:pPr>
              <w:spacing w:before="0" w:after="0" w:line="240" w:lineRule="auto"/>
              <w:rPr>
                <w:rFonts w:ascii="Times New Roman" w:eastAsia="Times New Roman" w:hAnsi="Times New Roman" w:cs="Times New Roman"/>
                <w:color w:val="000000" w:themeColor="text1"/>
                <w:sz w:val="16"/>
                <w:szCs w:val="16"/>
              </w:rPr>
            </w:pPr>
          </w:p>
          <w:p w14:paraId="3CC9E8EF"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163- meshkuj</w:t>
            </w:r>
          </w:p>
          <w:p w14:paraId="7659BEDD" w14:textId="77777777" w:rsidR="00561AD4" w:rsidRDefault="00561AD4">
            <w:pPr>
              <w:spacing w:before="0" w:after="0" w:line="240" w:lineRule="auto"/>
              <w:rPr>
                <w:rFonts w:ascii="Times New Roman" w:eastAsia="Times New Roman" w:hAnsi="Times New Roman" w:cs="Times New Roman"/>
                <w:color w:val="000000" w:themeColor="text1"/>
                <w:sz w:val="16"/>
                <w:szCs w:val="16"/>
              </w:rPr>
            </w:pPr>
          </w:p>
          <w:p w14:paraId="28F9F19E"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156- femra </w:t>
            </w:r>
          </w:p>
          <w:p w14:paraId="17B6F73E" w14:textId="77777777" w:rsidR="005F2AC9" w:rsidRDefault="00B56839">
            <w:pPr>
              <w:spacing w:before="0" w:after="0" w:line="240" w:lineRule="auto"/>
              <w:rPr>
                <w:rFonts w:ascii="Times New Roman" w:eastAsia="Times New Roman" w:hAnsi="Times New Roman" w:cs="Times New Roman"/>
                <w:color w:val="000000" w:themeColor="text1"/>
                <w:sz w:val="16"/>
                <w:szCs w:val="16"/>
                <w:highlight w:val="yellow"/>
              </w:rPr>
            </w:pPr>
            <w:r>
              <w:rPr>
                <w:rFonts w:ascii="Times New Roman" w:eastAsia="Times New Roman" w:hAnsi="Times New Roman" w:cs="Times New Roman"/>
                <w:color w:val="000000" w:themeColor="text1"/>
                <w:sz w:val="16"/>
                <w:szCs w:val="16"/>
                <w:highlight w:val="yellow"/>
              </w:rPr>
              <w:t xml:space="preserve"> </w:t>
            </w:r>
          </w:p>
        </w:tc>
        <w:tc>
          <w:tcPr>
            <w:tcW w:w="886" w:type="dxa"/>
            <w:tcBorders>
              <w:top w:val="single" w:sz="8" w:space="0" w:color="000000"/>
              <w:left w:val="single" w:sz="8" w:space="0" w:color="000000"/>
              <w:bottom w:val="single" w:sz="8" w:space="0" w:color="000000"/>
              <w:right w:val="single" w:sz="8" w:space="0" w:color="000000"/>
            </w:tcBorders>
            <w:shd w:val="clear" w:color="auto" w:fill="FFF2CC"/>
          </w:tcPr>
          <w:p w14:paraId="6137CBE1"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305</w:t>
            </w:r>
          </w:p>
          <w:p w14:paraId="34956615"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162 (meshkuj)</w:t>
            </w:r>
          </w:p>
          <w:p w14:paraId="627A0A52"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143 (femra)</w:t>
            </w:r>
          </w:p>
          <w:p w14:paraId="7EEACBB2" w14:textId="77777777" w:rsidR="005F2AC9" w:rsidRDefault="00B56839">
            <w:pPr>
              <w:spacing w:before="0" w:after="0" w:line="257" w:lineRule="auto"/>
              <w:rPr>
                <w:rFonts w:ascii="Times New Roman" w:eastAsia="Times New Roman" w:hAnsi="Times New Roman" w:cs="Times New Roman"/>
                <w:color w:val="000000" w:themeColor="text1"/>
                <w:sz w:val="16"/>
                <w:szCs w:val="16"/>
                <w:highlight w:val="yellow"/>
              </w:rPr>
            </w:pPr>
            <w:r>
              <w:rPr>
                <w:rFonts w:ascii="Times New Roman" w:eastAsia="Times New Roman" w:hAnsi="Times New Roman" w:cs="Times New Roman"/>
                <w:color w:val="000000" w:themeColor="text1"/>
                <w:sz w:val="16"/>
                <w:szCs w:val="16"/>
                <w:highlight w:val="yellow"/>
              </w:rPr>
              <w:t xml:space="preserve"> </w:t>
            </w:r>
          </w:p>
          <w:p w14:paraId="109558B0" w14:textId="77777777" w:rsidR="005F2AC9" w:rsidRDefault="00B56839">
            <w:pPr>
              <w:spacing w:before="0" w:after="0" w:line="257" w:lineRule="auto"/>
              <w:rPr>
                <w:rFonts w:ascii="Times New Roman" w:eastAsia="Times New Roman" w:hAnsi="Times New Roman" w:cs="Times New Roman"/>
                <w:color w:val="000000" w:themeColor="text1"/>
                <w:sz w:val="16"/>
                <w:szCs w:val="16"/>
                <w:highlight w:val="yellow"/>
              </w:rPr>
            </w:pPr>
            <w:r>
              <w:rPr>
                <w:rFonts w:ascii="Times New Roman" w:eastAsia="Times New Roman" w:hAnsi="Times New Roman" w:cs="Times New Roman"/>
                <w:color w:val="000000" w:themeColor="text1"/>
                <w:sz w:val="16"/>
                <w:szCs w:val="16"/>
                <w:highlight w:val="yellow"/>
              </w:rPr>
              <w:t xml:space="preserve"> </w:t>
            </w:r>
          </w:p>
          <w:p w14:paraId="4C781681" w14:textId="77777777" w:rsidR="005F2AC9" w:rsidRDefault="00B56839">
            <w:pPr>
              <w:spacing w:before="0" w:after="0" w:line="257" w:lineRule="auto"/>
              <w:rPr>
                <w:rFonts w:ascii="Times New Roman" w:eastAsia="Times New Roman" w:hAnsi="Times New Roman" w:cs="Times New Roman"/>
                <w:color w:val="000000" w:themeColor="text1"/>
                <w:sz w:val="16"/>
                <w:szCs w:val="16"/>
                <w:highlight w:val="yellow"/>
              </w:rPr>
            </w:pPr>
            <w:r>
              <w:rPr>
                <w:rFonts w:ascii="Times New Roman" w:eastAsia="Times New Roman" w:hAnsi="Times New Roman" w:cs="Times New Roman"/>
                <w:color w:val="000000" w:themeColor="text1"/>
                <w:sz w:val="16"/>
                <w:szCs w:val="16"/>
                <w:highlight w:val="yellow"/>
              </w:rPr>
              <w:t xml:space="preserve"> </w:t>
            </w:r>
          </w:p>
          <w:p w14:paraId="30DF04AB" w14:textId="77777777" w:rsidR="00561AD4" w:rsidRDefault="00561AD4">
            <w:pPr>
              <w:spacing w:before="0" w:after="0" w:line="257" w:lineRule="auto"/>
              <w:rPr>
                <w:rFonts w:ascii="Times New Roman" w:eastAsia="Times New Roman" w:hAnsi="Times New Roman" w:cs="Times New Roman"/>
                <w:color w:val="000000" w:themeColor="text1"/>
                <w:sz w:val="16"/>
                <w:szCs w:val="16"/>
                <w:highlight w:val="yellow"/>
              </w:rPr>
            </w:pPr>
          </w:p>
          <w:p w14:paraId="3604200A" w14:textId="77777777" w:rsidR="005F2AC9" w:rsidRDefault="00B56839">
            <w:pPr>
              <w:spacing w:before="0" w:after="0" w:line="257"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w:t>
            </w:r>
          </w:p>
          <w:p w14:paraId="574DFCEB" w14:textId="77777777" w:rsidR="005F2AC9" w:rsidRDefault="00B56839">
            <w:pPr>
              <w:spacing w:before="0" w:after="0" w:line="257" w:lineRule="auto"/>
              <w:rPr>
                <w:rFonts w:ascii="Times New Roman" w:eastAsia="Times New Roman" w:hAnsi="Times New Roman" w:cs="Times New Roman"/>
                <w:color w:val="000000" w:themeColor="text1"/>
                <w:sz w:val="16"/>
                <w:szCs w:val="16"/>
                <w:highlight w:val="yellow"/>
              </w:rPr>
            </w:pPr>
            <w:r>
              <w:rPr>
                <w:rFonts w:ascii="Times New Roman" w:eastAsia="Times New Roman" w:hAnsi="Times New Roman" w:cs="Times New Roman"/>
                <w:color w:val="000000" w:themeColor="text1"/>
                <w:sz w:val="16"/>
                <w:szCs w:val="16"/>
                <w:highlight w:val="yellow"/>
              </w:rPr>
              <w:t xml:space="preserve"> </w:t>
            </w:r>
          </w:p>
          <w:p w14:paraId="65ECA2AE" w14:textId="77777777" w:rsidR="005F2AC9" w:rsidRDefault="00B56839">
            <w:pPr>
              <w:spacing w:before="0" w:after="0" w:line="257" w:lineRule="auto"/>
              <w:rPr>
                <w:rFonts w:ascii="Times New Roman" w:eastAsia="Times New Roman" w:hAnsi="Times New Roman" w:cs="Times New Roman"/>
                <w:color w:val="000000" w:themeColor="text1"/>
                <w:sz w:val="16"/>
                <w:szCs w:val="16"/>
                <w:highlight w:val="yellow"/>
              </w:rPr>
            </w:pPr>
            <w:r>
              <w:rPr>
                <w:rFonts w:ascii="Times New Roman" w:eastAsia="Times New Roman" w:hAnsi="Times New Roman" w:cs="Times New Roman"/>
                <w:color w:val="000000" w:themeColor="text1"/>
                <w:sz w:val="16"/>
                <w:szCs w:val="16"/>
                <w:highlight w:val="yellow"/>
              </w:rPr>
              <w:t xml:space="preserve"> </w:t>
            </w:r>
          </w:p>
          <w:p w14:paraId="4229C8D9" w14:textId="77777777" w:rsidR="005F2AC9" w:rsidRDefault="00B56839">
            <w:pPr>
              <w:spacing w:before="0" w:after="0" w:line="257" w:lineRule="auto"/>
              <w:rPr>
                <w:rFonts w:ascii="Times New Roman" w:eastAsia="Times New Roman" w:hAnsi="Times New Roman" w:cs="Times New Roman"/>
                <w:color w:val="000000" w:themeColor="text1"/>
                <w:sz w:val="16"/>
                <w:szCs w:val="16"/>
                <w:highlight w:val="yellow"/>
              </w:rPr>
            </w:pPr>
            <w:r>
              <w:rPr>
                <w:rFonts w:ascii="Times New Roman" w:eastAsia="Times New Roman" w:hAnsi="Times New Roman" w:cs="Times New Roman"/>
                <w:color w:val="000000" w:themeColor="text1"/>
                <w:sz w:val="16"/>
                <w:szCs w:val="16"/>
                <w:highlight w:val="yellow"/>
              </w:rPr>
              <w:t xml:space="preserve"> </w:t>
            </w:r>
          </w:p>
          <w:p w14:paraId="580B0C4A" w14:textId="77777777" w:rsidR="005F2AC9" w:rsidRDefault="00B56839">
            <w:pPr>
              <w:spacing w:before="0" w:after="0" w:line="257" w:lineRule="auto"/>
              <w:rPr>
                <w:rFonts w:ascii="Times New Roman" w:eastAsia="Times New Roman" w:hAnsi="Times New Roman" w:cs="Times New Roman"/>
                <w:color w:val="000000" w:themeColor="text1"/>
                <w:sz w:val="16"/>
                <w:szCs w:val="16"/>
                <w:highlight w:val="yellow"/>
              </w:rPr>
            </w:pPr>
            <w:r>
              <w:rPr>
                <w:rFonts w:ascii="Times New Roman" w:eastAsia="Times New Roman" w:hAnsi="Times New Roman" w:cs="Times New Roman"/>
                <w:color w:val="000000" w:themeColor="text1"/>
                <w:sz w:val="16"/>
                <w:szCs w:val="16"/>
                <w:highlight w:val="yellow"/>
              </w:rPr>
              <w:t xml:space="preserve"> </w:t>
            </w:r>
          </w:p>
          <w:p w14:paraId="0629A101" w14:textId="06124875" w:rsidR="00561AD4" w:rsidRDefault="00B56839">
            <w:pPr>
              <w:spacing w:before="0" w:after="0" w:line="257" w:lineRule="auto"/>
              <w:rPr>
                <w:rFonts w:ascii="Times New Roman" w:eastAsia="Times New Roman" w:hAnsi="Times New Roman" w:cs="Times New Roman"/>
                <w:color w:val="000000" w:themeColor="text1"/>
                <w:sz w:val="16"/>
                <w:szCs w:val="16"/>
                <w:highlight w:val="yellow"/>
              </w:rPr>
            </w:pPr>
            <w:r>
              <w:rPr>
                <w:rFonts w:ascii="Times New Roman" w:eastAsia="Times New Roman" w:hAnsi="Times New Roman" w:cs="Times New Roman"/>
                <w:color w:val="000000" w:themeColor="text1"/>
                <w:sz w:val="16"/>
                <w:szCs w:val="16"/>
                <w:highlight w:val="yellow"/>
              </w:rPr>
              <w:t xml:space="preserve"> </w:t>
            </w:r>
          </w:p>
          <w:p w14:paraId="3F5ECBB9" w14:textId="77777777" w:rsidR="005F2AC9" w:rsidRDefault="00B56839">
            <w:pPr>
              <w:spacing w:before="0" w:after="0" w:line="257"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178</w:t>
            </w:r>
          </w:p>
          <w:p w14:paraId="0672609D" w14:textId="77777777" w:rsidR="00561AD4" w:rsidRDefault="00561AD4">
            <w:pPr>
              <w:spacing w:before="0" w:after="0" w:line="257" w:lineRule="auto"/>
              <w:rPr>
                <w:rFonts w:ascii="Times New Roman" w:eastAsia="Times New Roman" w:hAnsi="Times New Roman" w:cs="Times New Roman"/>
                <w:color w:val="000000" w:themeColor="text1"/>
                <w:sz w:val="16"/>
                <w:szCs w:val="16"/>
              </w:rPr>
            </w:pPr>
          </w:p>
          <w:p w14:paraId="6CF10BAC" w14:textId="77777777" w:rsidR="00561AD4" w:rsidRDefault="00561AD4">
            <w:pPr>
              <w:spacing w:before="0" w:after="0" w:line="257" w:lineRule="auto"/>
              <w:rPr>
                <w:rFonts w:ascii="Times New Roman" w:eastAsia="Times New Roman" w:hAnsi="Times New Roman" w:cs="Times New Roman"/>
                <w:color w:val="000000" w:themeColor="text1"/>
                <w:sz w:val="16"/>
                <w:szCs w:val="16"/>
              </w:rPr>
            </w:pPr>
          </w:p>
          <w:p w14:paraId="32BA3C2B" w14:textId="77777777" w:rsidR="005F2AC9" w:rsidRDefault="00B56839">
            <w:pPr>
              <w:spacing w:before="0" w:after="0" w:line="257"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179-meshkuj</w:t>
            </w:r>
          </w:p>
          <w:p w14:paraId="2DA30DCC" w14:textId="77777777" w:rsidR="005F2AC9" w:rsidRDefault="005F2AC9">
            <w:pPr>
              <w:spacing w:before="0" w:after="0" w:line="257" w:lineRule="auto"/>
              <w:rPr>
                <w:rFonts w:ascii="Times New Roman" w:eastAsia="Times New Roman" w:hAnsi="Times New Roman" w:cs="Times New Roman"/>
                <w:color w:val="000000" w:themeColor="text1"/>
                <w:sz w:val="16"/>
                <w:szCs w:val="16"/>
              </w:rPr>
            </w:pPr>
          </w:p>
          <w:p w14:paraId="63550C38" w14:textId="77777777" w:rsidR="005F2AC9" w:rsidRDefault="00B56839">
            <w:pPr>
              <w:spacing w:before="0" w:after="0" w:line="257"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177-femra</w:t>
            </w:r>
          </w:p>
          <w:p w14:paraId="50C2BAA0" w14:textId="77777777" w:rsidR="005F2AC9" w:rsidRDefault="00B56839">
            <w:pPr>
              <w:spacing w:before="0" w:after="0" w:line="257" w:lineRule="auto"/>
              <w:rPr>
                <w:rFonts w:ascii="Times New Roman" w:eastAsia="Times New Roman" w:hAnsi="Times New Roman" w:cs="Times New Roman"/>
                <w:color w:val="000000" w:themeColor="text1"/>
                <w:sz w:val="16"/>
                <w:szCs w:val="16"/>
                <w:highlight w:val="yellow"/>
              </w:rPr>
            </w:pPr>
            <w:r>
              <w:rPr>
                <w:rFonts w:ascii="Times New Roman" w:eastAsia="Times New Roman" w:hAnsi="Times New Roman" w:cs="Times New Roman"/>
                <w:color w:val="000000" w:themeColor="text1"/>
                <w:sz w:val="16"/>
                <w:szCs w:val="16"/>
                <w:highlight w:val="yellow"/>
              </w:rPr>
              <w:t xml:space="preserve"> </w:t>
            </w:r>
          </w:p>
        </w:tc>
        <w:tc>
          <w:tcPr>
            <w:tcW w:w="963" w:type="dxa"/>
            <w:tcBorders>
              <w:top w:val="single" w:sz="8" w:space="0" w:color="000000"/>
              <w:left w:val="single" w:sz="8" w:space="0" w:color="000000"/>
              <w:bottom w:val="single" w:sz="8" w:space="0" w:color="000000"/>
              <w:right w:val="single" w:sz="8" w:space="0" w:color="000000"/>
            </w:tcBorders>
            <w:shd w:val="clear" w:color="auto" w:fill="FFF2CC"/>
          </w:tcPr>
          <w:p w14:paraId="597E76BF"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117.2</w:t>
            </w:r>
          </w:p>
          <w:p w14:paraId="639E696E"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137.4 (meshkuj)</w:t>
            </w:r>
          </w:p>
          <w:p w14:paraId="4F3F9E51"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95.8 (femra)</w:t>
            </w:r>
          </w:p>
          <w:p w14:paraId="56A95ED8" w14:textId="77777777" w:rsidR="005F2AC9" w:rsidRDefault="00B56839">
            <w:pPr>
              <w:spacing w:before="0" w:after="0" w:line="240" w:lineRule="auto"/>
              <w:rPr>
                <w:rFonts w:ascii="Times New Roman" w:eastAsia="Times New Roman" w:hAnsi="Times New Roman" w:cs="Times New Roman"/>
                <w:color w:val="000000" w:themeColor="text1"/>
                <w:sz w:val="16"/>
                <w:szCs w:val="16"/>
                <w:highlight w:val="yellow"/>
                <w:lang w:val="it-IT"/>
              </w:rPr>
            </w:pPr>
            <w:r>
              <w:rPr>
                <w:rFonts w:ascii="Times New Roman" w:eastAsia="Times New Roman" w:hAnsi="Times New Roman" w:cs="Times New Roman"/>
                <w:color w:val="000000" w:themeColor="text1"/>
                <w:sz w:val="16"/>
                <w:szCs w:val="16"/>
                <w:highlight w:val="yellow"/>
                <w:lang w:val="it-IT"/>
              </w:rPr>
              <w:t xml:space="preserve"> </w:t>
            </w:r>
          </w:p>
          <w:p w14:paraId="3AA86101" w14:textId="77777777" w:rsidR="005F2AC9" w:rsidRDefault="00B56839">
            <w:pPr>
              <w:spacing w:before="0" w:after="0" w:line="240" w:lineRule="auto"/>
              <w:rPr>
                <w:rFonts w:ascii="Times New Roman" w:eastAsia="Times New Roman" w:hAnsi="Times New Roman" w:cs="Times New Roman"/>
                <w:color w:val="000000" w:themeColor="text1"/>
                <w:sz w:val="16"/>
                <w:szCs w:val="16"/>
                <w:highlight w:val="yellow"/>
                <w:lang w:val="it-IT"/>
              </w:rPr>
            </w:pPr>
            <w:r>
              <w:rPr>
                <w:rFonts w:ascii="Times New Roman" w:eastAsia="Times New Roman" w:hAnsi="Times New Roman" w:cs="Times New Roman"/>
                <w:color w:val="000000" w:themeColor="text1"/>
                <w:sz w:val="16"/>
                <w:szCs w:val="16"/>
                <w:highlight w:val="yellow"/>
                <w:lang w:val="it-IT"/>
              </w:rPr>
              <w:t xml:space="preserve"> </w:t>
            </w:r>
          </w:p>
          <w:p w14:paraId="76C2D634" w14:textId="77777777" w:rsidR="00561AD4" w:rsidRDefault="00561AD4">
            <w:pPr>
              <w:spacing w:before="0" w:after="0" w:line="240" w:lineRule="auto"/>
              <w:rPr>
                <w:rFonts w:ascii="Times New Roman" w:eastAsia="Times New Roman" w:hAnsi="Times New Roman" w:cs="Times New Roman"/>
                <w:color w:val="000000" w:themeColor="text1"/>
                <w:sz w:val="16"/>
                <w:szCs w:val="16"/>
                <w:highlight w:val="yellow"/>
                <w:lang w:val="it-IT"/>
              </w:rPr>
            </w:pPr>
          </w:p>
          <w:p w14:paraId="689E49B7" w14:textId="77777777" w:rsidR="005F2AC9" w:rsidRDefault="005F2AC9">
            <w:pPr>
              <w:spacing w:before="0" w:after="0" w:line="240" w:lineRule="auto"/>
              <w:rPr>
                <w:rFonts w:ascii="Times New Roman" w:eastAsia="Times New Roman" w:hAnsi="Times New Roman" w:cs="Times New Roman"/>
                <w:color w:val="000000" w:themeColor="text1"/>
                <w:sz w:val="16"/>
                <w:szCs w:val="16"/>
                <w:highlight w:val="yellow"/>
                <w:lang w:val="it-IT"/>
              </w:rPr>
            </w:pPr>
          </w:p>
          <w:p w14:paraId="1B7ECFF8" w14:textId="77777777" w:rsidR="005F2AC9" w:rsidRDefault="00B56839">
            <w:pPr>
              <w:spacing w:before="0" w:after="0" w:line="240" w:lineRule="auto"/>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it-IT"/>
              </w:rPr>
              <w:t>0.1%</w:t>
            </w:r>
          </w:p>
          <w:p w14:paraId="6AFD1271" w14:textId="77777777" w:rsidR="005F2AC9" w:rsidRDefault="00B56839">
            <w:pPr>
              <w:spacing w:before="0" w:after="0" w:line="257" w:lineRule="auto"/>
              <w:rPr>
                <w:rFonts w:ascii="Times New Roman" w:eastAsia="Times New Roman" w:hAnsi="Times New Roman" w:cs="Times New Roman"/>
                <w:color w:val="000000" w:themeColor="text1"/>
                <w:sz w:val="16"/>
                <w:szCs w:val="16"/>
                <w:highlight w:val="yellow"/>
              </w:rPr>
            </w:pPr>
            <w:r>
              <w:rPr>
                <w:rFonts w:ascii="Times New Roman" w:eastAsia="Times New Roman" w:hAnsi="Times New Roman" w:cs="Times New Roman"/>
                <w:color w:val="000000" w:themeColor="text1"/>
                <w:sz w:val="16"/>
                <w:szCs w:val="16"/>
                <w:highlight w:val="yellow"/>
              </w:rPr>
              <w:t xml:space="preserve"> </w:t>
            </w:r>
          </w:p>
          <w:p w14:paraId="09B95F7B" w14:textId="77777777" w:rsidR="005F2AC9" w:rsidRDefault="00B56839">
            <w:pPr>
              <w:spacing w:before="0" w:after="0" w:line="257" w:lineRule="auto"/>
              <w:rPr>
                <w:rFonts w:ascii="Times New Roman" w:eastAsia="Times New Roman" w:hAnsi="Times New Roman" w:cs="Times New Roman"/>
                <w:color w:val="000000" w:themeColor="text1"/>
                <w:sz w:val="16"/>
                <w:szCs w:val="16"/>
                <w:highlight w:val="yellow"/>
              </w:rPr>
            </w:pPr>
            <w:r>
              <w:rPr>
                <w:rFonts w:ascii="Times New Roman" w:eastAsia="Times New Roman" w:hAnsi="Times New Roman" w:cs="Times New Roman"/>
                <w:color w:val="000000" w:themeColor="text1"/>
                <w:sz w:val="16"/>
                <w:szCs w:val="16"/>
                <w:highlight w:val="yellow"/>
              </w:rPr>
              <w:t xml:space="preserve"> </w:t>
            </w:r>
          </w:p>
          <w:p w14:paraId="2790B0DA" w14:textId="77777777" w:rsidR="005F2AC9" w:rsidRDefault="00B56839">
            <w:pPr>
              <w:spacing w:before="0" w:after="0" w:line="257" w:lineRule="auto"/>
              <w:rPr>
                <w:rFonts w:ascii="Times New Roman" w:eastAsia="Times New Roman" w:hAnsi="Times New Roman" w:cs="Times New Roman"/>
                <w:color w:val="000000" w:themeColor="text1"/>
                <w:sz w:val="16"/>
                <w:szCs w:val="16"/>
                <w:highlight w:val="yellow"/>
              </w:rPr>
            </w:pPr>
            <w:r>
              <w:rPr>
                <w:rFonts w:ascii="Times New Roman" w:eastAsia="Times New Roman" w:hAnsi="Times New Roman" w:cs="Times New Roman"/>
                <w:color w:val="000000" w:themeColor="text1"/>
                <w:sz w:val="16"/>
                <w:szCs w:val="16"/>
                <w:highlight w:val="yellow"/>
              </w:rPr>
              <w:t xml:space="preserve"> </w:t>
            </w:r>
          </w:p>
          <w:p w14:paraId="74DD5363" w14:textId="77777777" w:rsidR="005F2AC9" w:rsidRDefault="00B56839">
            <w:pPr>
              <w:spacing w:before="0" w:after="0" w:line="257" w:lineRule="auto"/>
              <w:rPr>
                <w:rFonts w:ascii="Times New Roman" w:eastAsia="Times New Roman" w:hAnsi="Times New Roman" w:cs="Times New Roman"/>
                <w:color w:val="000000" w:themeColor="text1"/>
                <w:sz w:val="16"/>
                <w:szCs w:val="16"/>
                <w:highlight w:val="yellow"/>
              </w:rPr>
            </w:pPr>
            <w:r>
              <w:rPr>
                <w:rFonts w:ascii="Times New Roman" w:eastAsia="Times New Roman" w:hAnsi="Times New Roman" w:cs="Times New Roman"/>
                <w:color w:val="000000" w:themeColor="text1"/>
                <w:sz w:val="16"/>
                <w:szCs w:val="16"/>
                <w:highlight w:val="yellow"/>
              </w:rPr>
              <w:t xml:space="preserve"> </w:t>
            </w:r>
          </w:p>
          <w:p w14:paraId="69D50602" w14:textId="77777777" w:rsidR="005F2AC9" w:rsidRDefault="00B56839">
            <w:pPr>
              <w:spacing w:before="0" w:after="0" w:line="257" w:lineRule="auto"/>
              <w:rPr>
                <w:rFonts w:ascii="Times New Roman" w:eastAsia="Times New Roman" w:hAnsi="Times New Roman" w:cs="Times New Roman"/>
                <w:color w:val="000000" w:themeColor="text1"/>
                <w:sz w:val="16"/>
                <w:szCs w:val="16"/>
                <w:highlight w:val="yellow"/>
              </w:rPr>
            </w:pPr>
            <w:r>
              <w:rPr>
                <w:rFonts w:ascii="Times New Roman" w:eastAsia="Times New Roman" w:hAnsi="Times New Roman" w:cs="Times New Roman"/>
                <w:color w:val="000000" w:themeColor="text1"/>
                <w:sz w:val="16"/>
                <w:szCs w:val="16"/>
                <w:highlight w:val="yellow"/>
              </w:rPr>
              <w:t xml:space="preserve"> </w:t>
            </w:r>
          </w:p>
          <w:p w14:paraId="2C545D1C" w14:textId="77777777" w:rsidR="005F2AC9" w:rsidRDefault="00B56839">
            <w:pPr>
              <w:spacing w:before="0" w:after="0" w:line="257"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200</w:t>
            </w:r>
          </w:p>
          <w:p w14:paraId="6BFC2E60" w14:textId="77777777" w:rsidR="00561AD4" w:rsidRDefault="00561AD4">
            <w:pPr>
              <w:spacing w:before="0" w:after="0" w:line="257" w:lineRule="auto"/>
              <w:rPr>
                <w:rFonts w:ascii="Times New Roman" w:eastAsia="Times New Roman" w:hAnsi="Times New Roman" w:cs="Times New Roman"/>
                <w:color w:val="000000" w:themeColor="text1"/>
                <w:sz w:val="16"/>
                <w:szCs w:val="16"/>
              </w:rPr>
            </w:pPr>
          </w:p>
          <w:p w14:paraId="448C1016" w14:textId="77777777" w:rsidR="00561AD4" w:rsidRDefault="00561AD4">
            <w:pPr>
              <w:spacing w:before="0" w:after="0" w:line="257" w:lineRule="auto"/>
              <w:rPr>
                <w:rFonts w:ascii="Times New Roman" w:eastAsia="Times New Roman" w:hAnsi="Times New Roman" w:cs="Times New Roman"/>
                <w:color w:val="000000" w:themeColor="text1"/>
                <w:sz w:val="16"/>
                <w:szCs w:val="16"/>
              </w:rPr>
            </w:pPr>
          </w:p>
          <w:p w14:paraId="3B84C19B" w14:textId="77777777" w:rsidR="005F2AC9" w:rsidRDefault="00B56839">
            <w:pPr>
              <w:spacing w:before="0" w:after="0" w:line="257"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249 (meshkuj)</w:t>
            </w:r>
          </w:p>
          <w:p w14:paraId="4C51F588" w14:textId="77777777" w:rsidR="00561AD4" w:rsidRDefault="00561AD4">
            <w:pPr>
              <w:spacing w:before="0" w:after="0" w:line="257" w:lineRule="auto"/>
              <w:rPr>
                <w:rFonts w:ascii="Times New Roman" w:eastAsia="Times New Roman" w:hAnsi="Times New Roman" w:cs="Times New Roman"/>
                <w:color w:val="000000" w:themeColor="text1"/>
                <w:sz w:val="16"/>
                <w:szCs w:val="16"/>
              </w:rPr>
            </w:pPr>
          </w:p>
          <w:p w14:paraId="6F042741" w14:textId="77777777" w:rsidR="005F2AC9" w:rsidRDefault="00B56839">
            <w:pPr>
              <w:spacing w:before="0" w:after="0" w:line="257"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148 (femra)</w:t>
            </w:r>
          </w:p>
        </w:tc>
        <w:tc>
          <w:tcPr>
            <w:tcW w:w="1175" w:type="dxa"/>
            <w:tcBorders>
              <w:top w:val="single" w:sz="8" w:space="0" w:color="000000"/>
              <w:left w:val="single" w:sz="8" w:space="0" w:color="000000"/>
              <w:bottom w:val="single" w:sz="8" w:space="0" w:color="000000"/>
              <w:right w:val="single" w:sz="8" w:space="0" w:color="000000"/>
            </w:tcBorders>
            <w:shd w:val="clear" w:color="auto" w:fill="FFF2CC"/>
          </w:tcPr>
          <w:p w14:paraId="0D62E18D"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INSTAT / SHSSH </w:t>
            </w:r>
          </w:p>
          <w:p w14:paraId="2573984B" w14:textId="77777777" w:rsidR="005F2AC9" w:rsidRDefault="00B56839">
            <w:pPr>
              <w:spacing w:before="0" w:after="0" w:line="240" w:lineRule="auto"/>
              <w:rPr>
                <w:rFonts w:ascii="Times New Roman" w:eastAsia="Times New Roman" w:hAnsi="Times New Roman" w:cs="Times New Roman"/>
                <w:color w:val="000000" w:themeColor="text1"/>
                <w:sz w:val="16"/>
                <w:szCs w:val="16"/>
                <w:highlight w:val="yellow"/>
              </w:rPr>
            </w:pPr>
            <w:r>
              <w:rPr>
                <w:rFonts w:ascii="Times New Roman" w:eastAsia="Times New Roman" w:hAnsi="Times New Roman" w:cs="Times New Roman"/>
                <w:color w:val="000000" w:themeColor="text1"/>
                <w:sz w:val="16"/>
                <w:szCs w:val="16"/>
                <w:highlight w:val="yellow"/>
              </w:rPr>
              <w:t xml:space="preserve"> </w:t>
            </w:r>
          </w:p>
          <w:p w14:paraId="5EA64651" w14:textId="77777777" w:rsidR="005F2AC9" w:rsidRDefault="00B56839">
            <w:pPr>
              <w:spacing w:before="0" w:after="0" w:line="240" w:lineRule="auto"/>
              <w:rPr>
                <w:rFonts w:ascii="Times New Roman" w:eastAsia="Times New Roman" w:hAnsi="Times New Roman" w:cs="Times New Roman"/>
                <w:color w:val="000000" w:themeColor="text1"/>
                <w:sz w:val="16"/>
                <w:szCs w:val="16"/>
                <w:highlight w:val="yellow"/>
              </w:rPr>
            </w:pPr>
            <w:r>
              <w:rPr>
                <w:rFonts w:ascii="Times New Roman" w:eastAsia="Times New Roman" w:hAnsi="Times New Roman" w:cs="Times New Roman"/>
                <w:color w:val="000000" w:themeColor="text1"/>
                <w:sz w:val="16"/>
                <w:szCs w:val="16"/>
                <w:highlight w:val="yellow"/>
              </w:rPr>
              <w:t xml:space="preserve"> </w:t>
            </w:r>
          </w:p>
          <w:p w14:paraId="2BE47FCC" w14:textId="77777777" w:rsidR="005F2AC9" w:rsidRDefault="00B56839">
            <w:pPr>
              <w:spacing w:before="0" w:after="0" w:line="240" w:lineRule="auto"/>
              <w:rPr>
                <w:rFonts w:ascii="Times New Roman" w:eastAsia="Times New Roman" w:hAnsi="Times New Roman" w:cs="Times New Roman"/>
                <w:color w:val="000000" w:themeColor="text1"/>
                <w:sz w:val="16"/>
                <w:szCs w:val="16"/>
                <w:highlight w:val="yellow"/>
              </w:rPr>
            </w:pPr>
            <w:r>
              <w:rPr>
                <w:rFonts w:ascii="Times New Roman" w:eastAsia="Times New Roman" w:hAnsi="Times New Roman" w:cs="Times New Roman"/>
                <w:color w:val="000000" w:themeColor="text1"/>
                <w:sz w:val="16"/>
                <w:szCs w:val="16"/>
                <w:highlight w:val="yellow"/>
              </w:rPr>
              <w:t xml:space="preserve"> </w:t>
            </w:r>
          </w:p>
          <w:p w14:paraId="78077DF0" w14:textId="77777777" w:rsidR="005F2AC9" w:rsidRDefault="00B56839">
            <w:pPr>
              <w:spacing w:before="0" w:after="0" w:line="240" w:lineRule="auto"/>
              <w:rPr>
                <w:rFonts w:ascii="Times New Roman" w:eastAsia="Times New Roman" w:hAnsi="Times New Roman" w:cs="Times New Roman"/>
                <w:color w:val="000000" w:themeColor="text1"/>
                <w:sz w:val="16"/>
                <w:szCs w:val="16"/>
                <w:highlight w:val="yellow"/>
              </w:rPr>
            </w:pPr>
            <w:r>
              <w:rPr>
                <w:rFonts w:ascii="Times New Roman" w:eastAsia="Times New Roman" w:hAnsi="Times New Roman" w:cs="Times New Roman"/>
                <w:color w:val="000000" w:themeColor="text1"/>
                <w:sz w:val="16"/>
                <w:szCs w:val="16"/>
                <w:highlight w:val="yellow"/>
              </w:rPr>
              <w:t xml:space="preserve"> </w:t>
            </w:r>
          </w:p>
          <w:p w14:paraId="52774F4E" w14:textId="77777777" w:rsidR="005F2AC9" w:rsidRDefault="005F2AC9">
            <w:pPr>
              <w:spacing w:before="0" w:after="0" w:line="240" w:lineRule="auto"/>
              <w:rPr>
                <w:rFonts w:ascii="Times New Roman" w:eastAsia="Times New Roman" w:hAnsi="Times New Roman" w:cs="Times New Roman"/>
                <w:color w:val="000000" w:themeColor="text1"/>
                <w:sz w:val="16"/>
                <w:szCs w:val="16"/>
                <w:highlight w:val="yellow"/>
              </w:rPr>
            </w:pPr>
          </w:p>
          <w:p w14:paraId="462A4B90" w14:textId="77777777" w:rsidR="005F2AC9" w:rsidRDefault="005F2AC9">
            <w:pPr>
              <w:spacing w:before="0" w:after="0" w:line="240" w:lineRule="auto"/>
              <w:rPr>
                <w:rFonts w:ascii="Times New Roman" w:eastAsia="Times New Roman" w:hAnsi="Times New Roman" w:cs="Times New Roman"/>
                <w:color w:val="000000" w:themeColor="text1"/>
                <w:sz w:val="16"/>
                <w:szCs w:val="16"/>
                <w:highlight w:val="yellow"/>
              </w:rPr>
            </w:pPr>
          </w:p>
          <w:p w14:paraId="5FA1A030" w14:textId="77777777" w:rsidR="005F2AC9" w:rsidRDefault="00B56839">
            <w:pPr>
              <w:spacing w:before="0" w:after="0" w:line="240" w:lineRule="auto"/>
              <w:rPr>
                <w:rFonts w:ascii="Times New Roman" w:eastAsia="Times New Roman" w:hAnsi="Times New Roman" w:cs="Times New Roman"/>
                <w:color w:val="000000" w:themeColor="text1"/>
                <w:sz w:val="16"/>
                <w:szCs w:val="16"/>
                <w:highlight w:val="yellow"/>
              </w:rPr>
            </w:pPr>
            <w:r>
              <w:rPr>
                <w:rFonts w:ascii="Times New Roman" w:eastAsia="Times New Roman" w:hAnsi="Times New Roman" w:cs="Times New Roman"/>
                <w:color w:val="000000" w:themeColor="text1"/>
                <w:sz w:val="16"/>
                <w:szCs w:val="16"/>
                <w:highlight w:val="yellow"/>
              </w:rPr>
              <w:t xml:space="preserve"> </w:t>
            </w:r>
          </w:p>
          <w:p w14:paraId="568B3936"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INSTAT / SHSSH</w:t>
            </w:r>
          </w:p>
          <w:p w14:paraId="361EBC69" w14:textId="77777777" w:rsidR="005F2AC9" w:rsidRDefault="00B56839">
            <w:pPr>
              <w:spacing w:before="0" w:after="0" w:line="240" w:lineRule="auto"/>
              <w:rPr>
                <w:rFonts w:ascii="Times New Roman" w:eastAsia="Times New Roman" w:hAnsi="Times New Roman" w:cs="Times New Roman"/>
                <w:color w:val="000000" w:themeColor="text1"/>
                <w:sz w:val="16"/>
                <w:szCs w:val="16"/>
                <w:highlight w:val="yellow"/>
              </w:rPr>
            </w:pPr>
            <w:r>
              <w:rPr>
                <w:rFonts w:ascii="Times New Roman" w:eastAsia="Times New Roman" w:hAnsi="Times New Roman" w:cs="Times New Roman"/>
                <w:color w:val="000000" w:themeColor="text1"/>
                <w:sz w:val="16"/>
                <w:szCs w:val="16"/>
                <w:highlight w:val="yellow"/>
              </w:rPr>
              <w:t xml:space="preserve"> </w:t>
            </w:r>
          </w:p>
          <w:p w14:paraId="542EE248" w14:textId="77777777" w:rsidR="005F2AC9" w:rsidRDefault="00B56839">
            <w:pPr>
              <w:spacing w:before="0" w:after="0" w:line="240" w:lineRule="auto"/>
              <w:rPr>
                <w:rFonts w:ascii="Times New Roman" w:eastAsia="Times New Roman" w:hAnsi="Times New Roman" w:cs="Times New Roman"/>
                <w:color w:val="000000" w:themeColor="text1"/>
                <w:sz w:val="16"/>
                <w:szCs w:val="16"/>
                <w:highlight w:val="yellow"/>
              </w:rPr>
            </w:pPr>
            <w:r>
              <w:rPr>
                <w:rFonts w:ascii="Times New Roman" w:eastAsia="Times New Roman" w:hAnsi="Times New Roman" w:cs="Times New Roman"/>
                <w:color w:val="000000" w:themeColor="text1"/>
                <w:sz w:val="16"/>
                <w:szCs w:val="16"/>
                <w:highlight w:val="yellow"/>
              </w:rPr>
              <w:t xml:space="preserve"> </w:t>
            </w:r>
          </w:p>
          <w:p w14:paraId="25ABD1B4" w14:textId="77777777" w:rsidR="005F2AC9" w:rsidRDefault="00B56839">
            <w:pPr>
              <w:spacing w:before="0" w:after="0" w:line="240" w:lineRule="auto"/>
              <w:rPr>
                <w:rFonts w:ascii="Times New Roman" w:eastAsia="Times New Roman" w:hAnsi="Times New Roman" w:cs="Times New Roman"/>
                <w:color w:val="000000" w:themeColor="text1"/>
                <w:sz w:val="16"/>
                <w:szCs w:val="16"/>
                <w:highlight w:val="yellow"/>
              </w:rPr>
            </w:pPr>
            <w:r>
              <w:rPr>
                <w:rFonts w:ascii="Times New Roman" w:eastAsia="Times New Roman" w:hAnsi="Times New Roman" w:cs="Times New Roman"/>
                <w:color w:val="000000" w:themeColor="text1"/>
                <w:sz w:val="16"/>
                <w:szCs w:val="16"/>
                <w:highlight w:val="yellow"/>
              </w:rPr>
              <w:t xml:space="preserve"> </w:t>
            </w:r>
          </w:p>
          <w:p w14:paraId="4B98AF4C" w14:textId="77777777" w:rsidR="005F2AC9" w:rsidRDefault="00B56839">
            <w:pPr>
              <w:spacing w:before="0" w:after="0" w:line="240" w:lineRule="auto"/>
              <w:rPr>
                <w:rFonts w:ascii="Times New Roman" w:eastAsia="Times New Roman" w:hAnsi="Times New Roman" w:cs="Times New Roman"/>
                <w:color w:val="000000" w:themeColor="text1"/>
                <w:sz w:val="16"/>
                <w:szCs w:val="16"/>
                <w:highlight w:val="yellow"/>
              </w:rPr>
            </w:pPr>
            <w:r>
              <w:rPr>
                <w:rFonts w:ascii="Times New Roman" w:eastAsia="Times New Roman" w:hAnsi="Times New Roman" w:cs="Times New Roman"/>
                <w:color w:val="000000" w:themeColor="text1"/>
                <w:sz w:val="16"/>
                <w:szCs w:val="16"/>
                <w:highlight w:val="yellow"/>
              </w:rPr>
              <w:t xml:space="preserve"> </w:t>
            </w:r>
          </w:p>
          <w:p w14:paraId="7F453E91" w14:textId="77777777" w:rsidR="00561AD4"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3B89C655" w14:textId="1E7E2A8D"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INSTAT / SHSSH</w:t>
            </w:r>
          </w:p>
          <w:p w14:paraId="2F8A8EE9" w14:textId="77777777" w:rsidR="005F2AC9" w:rsidRDefault="00B56839">
            <w:pPr>
              <w:spacing w:before="0" w:after="0" w:line="240" w:lineRule="auto"/>
              <w:rPr>
                <w:rFonts w:ascii="Times New Roman" w:eastAsia="Times New Roman" w:hAnsi="Times New Roman" w:cs="Times New Roman"/>
                <w:color w:val="000000" w:themeColor="text1"/>
                <w:sz w:val="16"/>
                <w:szCs w:val="16"/>
                <w:highlight w:val="yellow"/>
              </w:rPr>
            </w:pPr>
            <w:r>
              <w:rPr>
                <w:rFonts w:ascii="Times New Roman" w:eastAsia="Times New Roman" w:hAnsi="Times New Roman" w:cs="Times New Roman"/>
                <w:color w:val="000000" w:themeColor="text1"/>
                <w:sz w:val="16"/>
                <w:szCs w:val="16"/>
                <w:highlight w:val="yellow"/>
              </w:rPr>
              <w:t xml:space="preserve"> </w:t>
            </w:r>
          </w:p>
          <w:p w14:paraId="719946ED" w14:textId="77777777" w:rsidR="005F2AC9" w:rsidRDefault="00B56839">
            <w:pPr>
              <w:spacing w:before="0" w:after="0" w:line="240" w:lineRule="auto"/>
              <w:rPr>
                <w:rFonts w:ascii="Times New Roman" w:eastAsia="Times New Roman" w:hAnsi="Times New Roman" w:cs="Times New Roman"/>
                <w:color w:val="000000" w:themeColor="text1"/>
                <w:sz w:val="16"/>
                <w:szCs w:val="16"/>
                <w:highlight w:val="yellow"/>
              </w:rPr>
            </w:pPr>
            <w:r>
              <w:rPr>
                <w:rFonts w:ascii="Times New Roman" w:eastAsia="Times New Roman" w:hAnsi="Times New Roman" w:cs="Times New Roman"/>
                <w:color w:val="000000" w:themeColor="text1"/>
                <w:sz w:val="16"/>
                <w:szCs w:val="16"/>
                <w:highlight w:val="yellow"/>
              </w:rPr>
              <w:t xml:space="preserve"> </w:t>
            </w:r>
          </w:p>
          <w:p w14:paraId="2042DA7A" w14:textId="77777777" w:rsidR="005F2AC9" w:rsidRDefault="00B56839">
            <w:pPr>
              <w:spacing w:before="0" w:after="0" w:line="240" w:lineRule="auto"/>
              <w:rPr>
                <w:rFonts w:ascii="Times New Roman" w:eastAsia="Times New Roman" w:hAnsi="Times New Roman" w:cs="Times New Roman"/>
                <w:color w:val="000000" w:themeColor="text1"/>
                <w:sz w:val="16"/>
                <w:szCs w:val="16"/>
                <w:highlight w:val="yellow"/>
              </w:rPr>
            </w:pPr>
            <w:r>
              <w:rPr>
                <w:rFonts w:ascii="Times New Roman" w:eastAsia="Times New Roman" w:hAnsi="Times New Roman" w:cs="Times New Roman"/>
                <w:color w:val="000000" w:themeColor="text1"/>
                <w:sz w:val="16"/>
                <w:szCs w:val="16"/>
                <w:highlight w:val="yellow"/>
              </w:rPr>
              <w:t xml:space="preserve"> </w:t>
            </w:r>
          </w:p>
          <w:p w14:paraId="3FC42ED8" w14:textId="77777777" w:rsidR="005F2AC9" w:rsidRDefault="00B56839">
            <w:pPr>
              <w:spacing w:before="0" w:after="0" w:line="240" w:lineRule="auto"/>
              <w:rPr>
                <w:rFonts w:ascii="Times New Roman" w:eastAsia="Times New Roman" w:hAnsi="Times New Roman" w:cs="Times New Roman"/>
                <w:color w:val="000000" w:themeColor="text1"/>
                <w:sz w:val="16"/>
                <w:szCs w:val="16"/>
                <w:highlight w:val="yellow"/>
              </w:rPr>
            </w:pPr>
            <w:r>
              <w:rPr>
                <w:rFonts w:ascii="Times New Roman" w:eastAsia="Times New Roman" w:hAnsi="Times New Roman" w:cs="Times New Roman"/>
                <w:color w:val="000000" w:themeColor="text1"/>
                <w:sz w:val="16"/>
                <w:szCs w:val="16"/>
                <w:highlight w:val="yellow"/>
              </w:rPr>
              <w:t xml:space="preserve"> </w:t>
            </w:r>
          </w:p>
          <w:p w14:paraId="6445FAF8" w14:textId="77777777" w:rsidR="005F2AC9" w:rsidRDefault="00B56839">
            <w:pPr>
              <w:spacing w:before="0" w:after="0" w:line="240" w:lineRule="auto"/>
              <w:rPr>
                <w:rFonts w:ascii="Times New Roman" w:eastAsia="Times New Roman" w:hAnsi="Times New Roman" w:cs="Times New Roman"/>
                <w:color w:val="000000" w:themeColor="text1"/>
                <w:sz w:val="16"/>
                <w:szCs w:val="16"/>
                <w:highlight w:val="yellow"/>
              </w:rPr>
            </w:pPr>
            <w:r>
              <w:rPr>
                <w:rFonts w:ascii="Times New Roman" w:eastAsia="Times New Roman" w:hAnsi="Times New Roman" w:cs="Times New Roman"/>
                <w:color w:val="000000" w:themeColor="text1"/>
                <w:sz w:val="16"/>
                <w:szCs w:val="16"/>
                <w:highlight w:val="yellow"/>
              </w:rPr>
              <w:t xml:space="preserve"> </w:t>
            </w:r>
          </w:p>
          <w:p w14:paraId="6BB9E883" w14:textId="77777777" w:rsidR="005F2AC9" w:rsidRDefault="00B56839">
            <w:pPr>
              <w:spacing w:before="0" w:after="0" w:line="240" w:lineRule="auto"/>
              <w:rPr>
                <w:rFonts w:ascii="Times New Roman" w:eastAsia="Times New Roman" w:hAnsi="Times New Roman" w:cs="Times New Roman"/>
                <w:color w:val="000000" w:themeColor="text1"/>
                <w:sz w:val="16"/>
                <w:szCs w:val="16"/>
                <w:highlight w:val="yellow"/>
              </w:rPr>
            </w:pPr>
            <w:r>
              <w:rPr>
                <w:rFonts w:ascii="Times New Roman" w:eastAsia="Times New Roman" w:hAnsi="Times New Roman" w:cs="Times New Roman"/>
                <w:color w:val="000000" w:themeColor="text1"/>
                <w:sz w:val="16"/>
                <w:szCs w:val="16"/>
                <w:highlight w:val="yellow"/>
              </w:rPr>
              <w:t xml:space="preserve"> </w:t>
            </w:r>
          </w:p>
          <w:p w14:paraId="5619E36C" w14:textId="77777777" w:rsidR="005F2AC9" w:rsidRDefault="00B56839">
            <w:pPr>
              <w:spacing w:before="0" w:after="0" w:line="240" w:lineRule="auto"/>
              <w:rPr>
                <w:rFonts w:ascii="Times New Roman" w:eastAsia="Times New Roman" w:hAnsi="Times New Roman" w:cs="Times New Roman"/>
                <w:color w:val="000000" w:themeColor="text1"/>
                <w:sz w:val="16"/>
                <w:szCs w:val="16"/>
                <w:highlight w:val="yellow"/>
              </w:rPr>
            </w:pPr>
            <w:r>
              <w:rPr>
                <w:rFonts w:ascii="Times New Roman" w:eastAsia="Times New Roman" w:hAnsi="Times New Roman" w:cs="Times New Roman"/>
                <w:color w:val="000000" w:themeColor="text1"/>
                <w:sz w:val="16"/>
                <w:szCs w:val="16"/>
                <w:highlight w:val="yellow"/>
              </w:rPr>
              <w:t xml:space="preserve"> </w:t>
            </w:r>
          </w:p>
          <w:p w14:paraId="3A368D90" w14:textId="77777777" w:rsidR="005F2AC9" w:rsidRDefault="00B56839">
            <w:pPr>
              <w:spacing w:before="0" w:after="0" w:line="240" w:lineRule="auto"/>
              <w:rPr>
                <w:rFonts w:ascii="Times New Roman" w:eastAsia="Times New Roman" w:hAnsi="Times New Roman" w:cs="Times New Roman"/>
                <w:color w:val="000000" w:themeColor="text1"/>
                <w:sz w:val="16"/>
                <w:szCs w:val="16"/>
                <w:highlight w:val="yellow"/>
              </w:rPr>
            </w:pPr>
            <w:r>
              <w:rPr>
                <w:rFonts w:ascii="Times New Roman" w:eastAsia="Times New Roman" w:hAnsi="Times New Roman" w:cs="Times New Roman"/>
                <w:color w:val="000000" w:themeColor="text1"/>
                <w:sz w:val="16"/>
                <w:szCs w:val="16"/>
                <w:highlight w:val="yellow"/>
              </w:rPr>
              <w:t xml:space="preserve"> </w:t>
            </w:r>
          </w:p>
        </w:tc>
        <w:tc>
          <w:tcPr>
            <w:tcW w:w="1033" w:type="dxa"/>
            <w:tcBorders>
              <w:top w:val="single" w:sz="8" w:space="0" w:color="000000"/>
              <w:left w:val="single" w:sz="8" w:space="0" w:color="000000"/>
              <w:bottom w:val="single" w:sz="8" w:space="0" w:color="000000"/>
              <w:right w:val="single" w:sz="8" w:space="0" w:color="000000"/>
            </w:tcBorders>
            <w:shd w:val="clear" w:color="auto" w:fill="FFF2CC"/>
          </w:tcPr>
          <w:p w14:paraId="59E1934B"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3DDC971D"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OZhQ- 1.3, 10.2</w:t>
            </w:r>
          </w:p>
          <w:p w14:paraId="529DF878" w14:textId="77777777" w:rsidR="005F2AC9" w:rsidRDefault="00B56839">
            <w:pPr>
              <w:spacing w:before="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p>
          <w:p w14:paraId="1151F1A2" w14:textId="77777777" w:rsidR="005F2AC9" w:rsidRDefault="005F2AC9">
            <w:pPr>
              <w:spacing w:before="0" w:after="0" w:line="240" w:lineRule="auto"/>
              <w:rPr>
                <w:rFonts w:ascii="Times New Roman" w:eastAsia="Times New Roman" w:hAnsi="Times New Roman" w:cs="Times New Roman"/>
                <w:color w:val="000000" w:themeColor="text1"/>
                <w:sz w:val="16"/>
                <w:szCs w:val="16"/>
              </w:rPr>
            </w:pPr>
          </w:p>
        </w:tc>
      </w:tr>
    </w:tbl>
    <w:p w14:paraId="5BAB15E7" w14:textId="77777777" w:rsidR="005F2AC9" w:rsidRDefault="005F2AC9">
      <w:pPr>
        <w:spacing w:after="0"/>
        <w:jc w:val="both"/>
        <w:rPr>
          <w:rFonts w:ascii="Times New Roman" w:hAnsi="Times New Roman"/>
          <w:b/>
          <w:bCs/>
          <w:color w:val="000000" w:themeColor="text1"/>
          <w:sz w:val="24"/>
          <w:szCs w:val="24"/>
          <w:lang w:val="sq-AL"/>
        </w:rPr>
      </w:pPr>
    </w:p>
    <w:p w14:paraId="4D74221F" w14:textId="77777777" w:rsidR="005F2AC9" w:rsidRDefault="00B56839">
      <w:pPr>
        <w:spacing w:after="0"/>
        <w:jc w:val="both"/>
        <w:rPr>
          <w:rFonts w:ascii="Times New Roman" w:hAnsi="Times New Roman"/>
          <w:b/>
          <w:bCs/>
          <w:color w:val="000000" w:themeColor="text1"/>
          <w:sz w:val="24"/>
          <w:szCs w:val="24"/>
          <w:lang w:val="sq-AL"/>
        </w:rPr>
      </w:pPr>
      <w:bookmarkStart w:id="34" w:name="_Toc156593609"/>
      <w:r>
        <w:rPr>
          <w:rFonts w:ascii="Times New Roman" w:hAnsi="Times New Roman"/>
          <w:b/>
          <w:bCs/>
          <w:color w:val="000000" w:themeColor="text1"/>
          <w:sz w:val="24"/>
          <w:szCs w:val="24"/>
          <w:lang w:val="sq-AL"/>
        </w:rPr>
        <w:t>Objektivi specifik/strategjik B.1: Konsolidimi i proçesit të decentralizmit të shërbimeve të kujdesit social për financim të qëndrueshëm dhe të përgjegjshëm gjinor, mbulim gjeografik, aksesueshmëri dhe që i përgjigjen krizave dhe emergjencave.</w:t>
      </w:r>
      <w:bookmarkEnd w:id="34"/>
      <w:r>
        <w:rPr>
          <w:rFonts w:ascii="Times New Roman" w:hAnsi="Times New Roman"/>
          <w:b/>
          <w:bCs/>
          <w:color w:val="000000" w:themeColor="text1"/>
          <w:sz w:val="24"/>
          <w:szCs w:val="24"/>
          <w:lang w:val="sq-AL"/>
        </w:rPr>
        <w:t xml:space="preserve"> </w:t>
      </w:r>
    </w:p>
    <w:p w14:paraId="7B4DEBFB" w14:textId="77777777" w:rsidR="005F2AC9" w:rsidRDefault="005F2AC9">
      <w:pPr>
        <w:spacing w:after="0"/>
        <w:jc w:val="both"/>
        <w:rPr>
          <w:rFonts w:ascii="Times New Roman" w:hAnsi="Times New Roman"/>
          <w:b/>
          <w:bCs/>
          <w:color w:val="000000" w:themeColor="text1"/>
          <w:sz w:val="24"/>
          <w:szCs w:val="24"/>
          <w:lang w:val="sq-AL"/>
        </w:rPr>
      </w:pPr>
    </w:p>
    <w:p w14:paraId="7762EB86" w14:textId="77777777" w:rsidR="005F2AC9" w:rsidRDefault="00B56839">
      <w:pPr>
        <w:spacing w:after="0"/>
        <w:jc w:val="both"/>
        <w:rPr>
          <w:rFonts w:ascii="Times New Roman" w:hAnsi="Times New Roman"/>
          <w:color w:val="000000" w:themeColor="text1"/>
          <w:sz w:val="24"/>
          <w:szCs w:val="24"/>
          <w:lang w:val="sq-AL"/>
        </w:rPr>
      </w:pPr>
      <w:r>
        <w:rPr>
          <w:rFonts w:ascii="Times New Roman" w:hAnsi="Times New Roman"/>
          <w:i/>
          <w:iCs/>
          <w:color w:val="000000" w:themeColor="text1"/>
          <w:sz w:val="24"/>
          <w:szCs w:val="24"/>
          <w:u w:val="single"/>
          <w:lang w:val="sq-AL"/>
        </w:rPr>
        <w:t>Masat prioritare:</w:t>
      </w:r>
    </w:p>
    <w:p w14:paraId="28F270E3" w14:textId="77777777" w:rsidR="005F2AC9" w:rsidRDefault="00B56839">
      <w:pPr>
        <w:spacing w:after="0"/>
        <w:jc w:val="both"/>
        <w:rPr>
          <w:rFonts w:ascii="Times New Roman" w:hAnsi="Times New Roman"/>
          <w:color w:val="000000" w:themeColor="text1"/>
          <w:sz w:val="24"/>
          <w:szCs w:val="24"/>
          <w:u w:val="single"/>
          <w:lang w:val="sq-AL"/>
        </w:rPr>
      </w:pPr>
      <w:bookmarkStart w:id="35" w:name="_Toc150809631"/>
      <w:r>
        <w:rPr>
          <w:rFonts w:ascii="Times New Roman" w:hAnsi="Times New Roman"/>
          <w:color w:val="000000" w:themeColor="text1"/>
          <w:sz w:val="24"/>
          <w:szCs w:val="24"/>
          <w:u w:val="single"/>
          <w:lang w:val="sq-AL"/>
        </w:rPr>
        <w:t xml:space="preserve">B.1.1 </w:t>
      </w:r>
      <w:bookmarkStart w:id="36" w:name="_Hlk156580745"/>
      <w:r>
        <w:rPr>
          <w:rFonts w:ascii="Times New Roman" w:hAnsi="Times New Roman"/>
          <w:color w:val="000000" w:themeColor="text1"/>
          <w:sz w:val="24"/>
          <w:szCs w:val="24"/>
          <w:u w:val="single"/>
          <w:lang w:val="sq-AL"/>
        </w:rPr>
        <w:t>Të përmirësohet planifikimi, modeli i financimit të përgjegjshëm gjinor të shërbimeve të kujdesit social në nivel vendor si dhe përgjigjja efektive ndaj krizave dhe emergjencave.</w:t>
      </w:r>
      <w:bookmarkEnd w:id="35"/>
      <w:bookmarkEnd w:id="36"/>
    </w:p>
    <w:p w14:paraId="77E17C05" w14:textId="77777777" w:rsidR="005F2AC9" w:rsidRDefault="005F2AC9">
      <w:pPr>
        <w:pStyle w:val="NormalWeb"/>
        <w:spacing w:before="0" w:beforeAutospacing="0" w:after="0" w:afterAutospacing="0"/>
        <w:rPr>
          <w:b/>
          <w:bCs/>
          <w:color w:val="000000" w:themeColor="text1"/>
          <w:lang w:val="sq-AL"/>
        </w:rPr>
      </w:pPr>
    </w:p>
    <w:p w14:paraId="205FB791" w14:textId="77777777" w:rsidR="005F2AC9" w:rsidRDefault="00B56839">
      <w:pPr>
        <w:pStyle w:val="NormalWeb"/>
        <w:spacing w:before="0" w:beforeAutospacing="0" w:after="0" w:afterAutospacing="0"/>
        <w:rPr>
          <w:b/>
          <w:bCs/>
          <w:color w:val="000000" w:themeColor="text1"/>
          <w:lang w:val="sq-AL"/>
        </w:rPr>
      </w:pPr>
      <w:r>
        <w:rPr>
          <w:b/>
          <w:bCs/>
          <w:color w:val="000000" w:themeColor="text1"/>
          <w:lang w:val="sq-AL"/>
        </w:rPr>
        <w:t xml:space="preserve">Aktivitetet prioritare për periudhën e raportimit: </w:t>
      </w:r>
    </w:p>
    <w:p w14:paraId="1311F0F2" w14:textId="77777777" w:rsidR="005F2AC9" w:rsidRDefault="005F2AC9">
      <w:pPr>
        <w:pStyle w:val="NormalWeb"/>
        <w:spacing w:before="0" w:beforeAutospacing="0" w:after="0" w:afterAutospacing="0"/>
        <w:rPr>
          <w:color w:val="000000" w:themeColor="text1"/>
          <w:lang w:val="sq-AL"/>
        </w:rPr>
      </w:pPr>
    </w:p>
    <w:p w14:paraId="32554164" w14:textId="77777777" w:rsidR="005F2AC9" w:rsidRDefault="00B56839">
      <w:pPr>
        <w:pStyle w:val="NormalWeb"/>
        <w:numPr>
          <w:ilvl w:val="0"/>
          <w:numId w:val="7"/>
        </w:numPr>
        <w:spacing w:before="0" w:beforeAutospacing="0" w:after="0" w:afterAutospacing="0" w:line="276" w:lineRule="auto"/>
        <w:ind w:left="360"/>
        <w:jc w:val="both"/>
        <w:rPr>
          <w:color w:val="000000" w:themeColor="text1"/>
          <w:lang w:val="sq-AL"/>
        </w:rPr>
      </w:pPr>
      <w:r>
        <w:rPr>
          <w:color w:val="000000" w:themeColor="text1"/>
          <w:lang w:val="sq-AL"/>
        </w:rPr>
        <w:t>Rishikimi dhe përmirësimi i vazhdueshëm i kuadrit ligjor dhe nënligjor për më shumë mbulim, cilësi, efektivitet, financim, dimension gjinor, si dhe përgjigje ndaj krizave dhe emergjencave;</w:t>
      </w:r>
    </w:p>
    <w:p w14:paraId="0BBA6C21" w14:textId="77777777" w:rsidR="005F2AC9" w:rsidRDefault="00B56839">
      <w:pPr>
        <w:pStyle w:val="NormalWeb"/>
        <w:numPr>
          <w:ilvl w:val="0"/>
          <w:numId w:val="7"/>
        </w:numPr>
        <w:spacing w:before="0" w:beforeAutospacing="0" w:after="0" w:afterAutospacing="0" w:line="276" w:lineRule="auto"/>
        <w:ind w:left="360"/>
        <w:jc w:val="both"/>
        <w:rPr>
          <w:color w:val="000000" w:themeColor="text1"/>
          <w:lang w:val="sq-AL"/>
        </w:rPr>
      </w:pPr>
      <w:r>
        <w:rPr>
          <w:color w:val="000000" w:themeColor="text1"/>
          <w:lang w:val="sq-AL"/>
        </w:rPr>
        <w:lastRenderedPageBreak/>
        <w:t>Mbështetje teknike për hartimin / rishikimin periodik të Planeve Lokale sociale, duke marrë në konsideratë kategori të reja të vulnerabilitetit, duke integruar qasjen gjinore, si dhe qasjen dhe standardet për përgjigjen ndaj krizave dhe emergjencave, në bashkëpunim me partnerët dhe organizatat e shoqërisë civile;</w:t>
      </w:r>
    </w:p>
    <w:p w14:paraId="09D2D674" w14:textId="77777777" w:rsidR="005F2AC9" w:rsidRDefault="00B56839">
      <w:pPr>
        <w:pStyle w:val="NormalWeb"/>
        <w:numPr>
          <w:ilvl w:val="0"/>
          <w:numId w:val="7"/>
        </w:numPr>
        <w:spacing w:before="0" w:beforeAutospacing="0" w:after="0" w:afterAutospacing="0" w:line="276" w:lineRule="auto"/>
        <w:ind w:left="360"/>
        <w:jc w:val="both"/>
        <w:rPr>
          <w:color w:val="000000" w:themeColor="text1"/>
          <w:lang w:val="sq-AL"/>
        </w:rPr>
      </w:pPr>
      <w:r>
        <w:rPr>
          <w:color w:val="000000" w:themeColor="text1"/>
          <w:lang w:val="sq-AL"/>
        </w:rPr>
        <w:t>Rritje të numrit të burimeve njerëzore dhe kapaciteteve të tyre teknike për të siguruar zbatimin e kornizës monitoruese të planeve sociale lokale nga NJQV;</w:t>
      </w:r>
    </w:p>
    <w:p w14:paraId="7879D6E9" w14:textId="77777777" w:rsidR="005F2AC9" w:rsidRDefault="00B56839">
      <w:pPr>
        <w:pStyle w:val="NormalWeb"/>
        <w:numPr>
          <w:ilvl w:val="0"/>
          <w:numId w:val="7"/>
        </w:numPr>
        <w:spacing w:before="0" w:beforeAutospacing="0" w:after="0" w:afterAutospacing="0" w:line="276" w:lineRule="auto"/>
        <w:ind w:left="360"/>
        <w:jc w:val="both"/>
        <w:rPr>
          <w:color w:val="000000" w:themeColor="text1"/>
          <w:lang w:val="sq-AL"/>
        </w:rPr>
      </w:pPr>
      <w:r>
        <w:rPr>
          <w:color w:val="000000" w:themeColor="text1"/>
          <w:lang w:val="sq-AL"/>
        </w:rPr>
        <w:t>Rishikimi i kostimit të shërbimeve sociale (kosto/njësi) si instrument i planifikimit të qëndrueshëm financiar për të dy nivelet dhe duke ndjekur buxhetimin  e përgjegjshëm gjinor;</w:t>
      </w:r>
    </w:p>
    <w:p w14:paraId="7536A061" w14:textId="77777777" w:rsidR="005F2AC9" w:rsidRDefault="00B56839">
      <w:pPr>
        <w:pStyle w:val="NormalWeb"/>
        <w:numPr>
          <w:ilvl w:val="0"/>
          <w:numId w:val="7"/>
        </w:numPr>
        <w:spacing w:before="0" w:beforeAutospacing="0" w:after="0" w:afterAutospacing="0" w:line="276" w:lineRule="auto"/>
        <w:ind w:left="360"/>
        <w:jc w:val="both"/>
        <w:rPr>
          <w:color w:val="000000" w:themeColor="text1"/>
          <w:lang w:val="sq-AL"/>
        </w:rPr>
      </w:pPr>
      <w:r>
        <w:rPr>
          <w:color w:val="000000" w:themeColor="text1"/>
          <w:lang w:val="sq-AL"/>
        </w:rPr>
        <w:t>Vlerësimi periodik i performancës së Fondit Social; Sugjerimi i përmirësimeve të nevojshme;</w:t>
      </w:r>
    </w:p>
    <w:p w14:paraId="4BB38D44" w14:textId="77777777" w:rsidR="005F2AC9" w:rsidRDefault="00B56839">
      <w:pPr>
        <w:pStyle w:val="NormalWeb"/>
        <w:numPr>
          <w:ilvl w:val="0"/>
          <w:numId w:val="7"/>
        </w:numPr>
        <w:spacing w:before="0" w:beforeAutospacing="0" w:after="0" w:afterAutospacing="0" w:line="276" w:lineRule="auto"/>
        <w:ind w:left="360"/>
        <w:jc w:val="both"/>
        <w:rPr>
          <w:color w:val="000000" w:themeColor="text1"/>
          <w:lang w:val="sq-AL"/>
        </w:rPr>
      </w:pPr>
      <w:r>
        <w:rPr>
          <w:color w:val="000000" w:themeColor="text1"/>
          <w:lang w:val="sq-AL"/>
        </w:rPr>
        <w:t xml:space="preserve">Rishikimi i kuadrit rregullator dhe zbatimi në mbështetje të financimit të qëndrueshëm social lokal, përfshirë financimin për përgjigjen ndaj krizave dhe emergjencave; </w:t>
      </w:r>
    </w:p>
    <w:p w14:paraId="423F566D" w14:textId="77777777" w:rsidR="005F2AC9" w:rsidRDefault="00B56839">
      <w:pPr>
        <w:pStyle w:val="NormalWeb"/>
        <w:numPr>
          <w:ilvl w:val="0"/>
          <w:numId w:val="7"/>
        </w:numPr>
        <w:spacing w:before="0" w:beforeAutospacing="0" w:after="0" w:afterAutospacing="0" w:line="276" w:lineRule="auto"/>
        <w:ind w:left="360"/>
        <w:jc w:val="both"/>
        <w:rPr>
          <w:color w:val="000000" w:themeColor="text1"/>
          <w:lang w:val="sq-AL"/>
        </w:rPr>
      </w:pPr>
      <w:r>
        <w:rPr>
          <w:color w:val="000000" w:themeColor="text1"/>
          <w:lang w:val="sq-AL"/>
        </w:rPr>
        <w:t xml:space="preserve">Identifikimi i modeleve të qëndrueshme të financimit të shërbimeve sociale për nivelin vendor (me pjesëmarrje të biznesit privat, donatorëve, partneritetit me OJF, etj.) dhe asistimi i NJQV për replikimin/zbatimin e tyre; </w:t>
      </w:r>
    </w:p>
    <w:p w14:paraId="12E35C95" w14:textId="77777777" w:rsidR="005F2AC9" w:rsidRDefault="00B56839">
      <w:pPr>
        <w:pStyle w:val="NormalWeb"/>
        <w:numPr>
          <w:ilvl w:val="0"/>
          <w:numId w:val="7"/>
        </w:numPr>
        <w:spacing w:before="0" w:beforeAutospacing="0" w:after="0" w:afterAutospacing="0" w:line="276" w:lineRule="auto"/>
        <w:ind w:left="360"/>
        <w:jc w:val="both"/>
        <w:rPr>
          <w:color w:val="000000" w:themeColor="text1"/>
          <w:lang w:val="sq-AL"/>
        </w:rPr>
      </w:pPr>
      <w:r>
        <w:rPr>
          <w:color w:val="000000" w:themeColor="text1"/>
          <w:lang w:val="sq-AL"/>
        </w:rPr>
        <w:t>Rritja e kapaciteve subjekteve të ligjit të prokurimit publik në financimin dhe prokurimin e shërbimeve sociale; Evidentimi i sfidave dhe nevojës për përmirësime;</w:t>
      </w:r>
    </w:p>
    <w:p w14:paraId="37637075" w14:textId="77777777" w:rsidR="005F2AC9" w:rsidRDefault="005F2AC9">
      <w:pPr>
        <w:spacing w:after="0"/>
        <w:jc w:val="both"/>
        <w:rPr>
          <w:rFonts w:ascii="Times New Roman" w:hAnsi="Times New Roman"/>
          <w:color w:val="000000" w:themeColor="text1"/>
          <w:sz w:val="24"/>
          <w:szCs w:val="24"/>
          <w:lang w:val="pt-BR"/>
        </w:rPr>
      </w:pPr>
    </w:p>
    <w:p w14:paraId="7CDE1869" w14:textId="77777777" w:rsidR="005F2AC9" w:rsidRDefault="00B56839">
      <w:pPr>
        <w:spacing w:after="0"/>
        <w:jc w:val="both"/>
        <w:rPr>
          <w:rFonts w:ascii="Times New Roman" w:eastAsia="Times New Roman" w:hAnsi="Times New Roman" w:cs="Times New Roman"/>
          <w:b/>
          <w:bCs/>
          <w:color w:val="000000" w:themeColor="text1"/>
          <w:sz w:val="24"/>
          <w:szCs w:val="24"/>
          <w:lang w:val="pt-BR"/>
        </w:rPr>
      </w:pPr>
      <w:r>
        <w:rPr>
          <w:rFonts w:ascii="Times New Roman" w:eastAsia="Times New Roman" w:hAnsi="Times New Roman" w:cs="Times New Roman"/>
          <w:b/>
          <w:bCs/>
          <w:color w:val="000000" w:themeColor="text1"/>
          <w:sz w:val="24"/>
          <w:szCs w:val="24"/>
          <w:lang w:val="it-IT"/>
        </w:rPr>
        <w:t>Tabela:</w:t>
      </w:r>
      <w:r>
        <w:rPr>
          <w:rFonts w:eastAsia="Garamond" w:cs="Garamond"/>
          <w:b/>
          <w:bCs/>
          <w:color w:val="000000" w:themeColor="text1"/>
          <w:lang w:val="it-IT"/>
        </w:rPr>
        <w:t xml:space="preserve"> </w:t>
      </w:r>
      <w:r>
        <w:rPr>
          <w:rFonts w:ascii="Times New Roman" w:eastAsia="Times New Roman" w:hAnsi="Times New Roman" w:cs="Times New Roman"/>
          <w:b/>
          <w:bCs/>
          <w:color w:val="000000" w:themeColor="text1"/>
          <w:sz w:val="24"/>
          <w:szCs w:val="24"/>
          <w:lang w:val="pt-BR"/>
        </w:rPr>
        <w:t>Indikatorët e Pasaportës për Objektivin specifik B.1.1</w:t>
      </w:r>
    </w:p>
    <w:p w14:paraId="6F5B612A" w14:textId="77777777" w:rsidR="005F2AC9" w:rsidRDefault="005F2AC9">
      <w:pPr>
        <w:spacing w:after="0"/>
        <w:jc w:val="both"/>
        <w:rPr>
          <w:rFonts w:ascii="Times New Roman" w:eastAsia="Times New Roman" w:hAnsi="Times New Roman" w:cs="Times New Roman"/>
          <w:b/>
          <w:bCs/>
          <w:color w:val="000000" w:themeColor="text1"/>
          <w:sz w:val="24"/>
          <w:szCs w:val="24"/>
          <w:lang w:val="pt-BR"/>
        </w:rPr>
      </w:pPr>
    </w:p>
    <w:tbl>
      <w:tblPr>
        <w:tblStyle w:val="TableGrid"/>
        <w:tblW w:w="9034" w:type="dxa"/>
        <w:tblLayout w:type="fixed"/>
        <w:tblLook w:val="04A0" w:firstRow="1" w:lastRow="0" w:firstColumn="1" w:lastColumn="0" w:noHBand="0" w:noVBand="1"/>
      </w:tblPr>
      <w:tblGrid>
        <w:gridCol w:w="1111"/>
        <w:gridCol w:w="1679"/>
        <w:gridCol w:w="2221"/>
        <w:gridCol w:w="840"/>
        <w:gridCol w:w="750"/>
        <w:gridCol w:w="765"/>
        <w:gridCol w:w="1668"/>
      </w:tblGrid>
      <w:tr w:rsidR="005F2AC9" w14:paraId="2369109F" w14:textId="77777777" w:rsidTr="00A44C0A">
        <w:trPr>
          <w:trHeight w:val="5084"/>
        </w:trPr>
        <w:tc>
          <w:tcPr>
            <w:tcW w:w="1110" w:type="dxa"/>
            <w:tcBorders>
              <w:top w:val="single" w:sz="8" w:space="0" w:color="000000"/>
              <w:left w:val="single" w:sz="8" w:space="0" w:color="000000"/>
              <w:bottom w:val="single" w:sz="8" w:space="0" w:color="000000"/>
              <w:right w:val="single" w:sz="8" w:space="0" w:color="000000"/>
            </w:tcBorders>
            <w:vAlign w:val="center"/>
          </w:tcPr>
          <w:p w14:paraId="1FAB6D30" w14:textId="77777777" w:rsidR="005F2AC9" w:rsidRDefault="00B56839">
            <w:pPr>
              <w:spacing w:before="0" w:after="0" w:line="240" w:lineRule="auto"/>
              <w:rPr>
                <w:color w:val="000000" w:themeColor="text1"/>
              </w:rPr>
            </w:pPr>
            <w:r>
              <w:rPr>
                <w:rFonts w:ascii="Times New Roman" w:eastAsia="Times New Roman" w:hAnsi="Times New Roman" w:cs="Times New Roman"/>
                <w:b/>
                <w:bCs/>
                <w:color w:val="000000" w:themeColor="text1"/>
              </w:rPr>
              <w:t>Masat prioritare</w:t>
            </w:r>
          </w:p>
        </w:tc>
        <w:tc>
          <w:tcPr>
            <w:tcW w:w="1679" w:type="dxa"/>
            <w:tcBorders>
              <w:top w:val="single" w:sz="8" w:space="0" w:color="000000"/>
              <w:left w:val="single" w:sz="8" w:space="0" w:color="000000"/>
              <w:bottom w:val="single" w:sz="8" w:space="0" w:color="000000"/>
              <w:right w:val="single" w:sz="8" w:space="0" w:color="000000"/>
            </w:tcBorders>
          </w:tcPr>
          <w:p w14:paraId="0E8897B1"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B1.1. Të përmirësohet planifikimi, modeli i financimit të përgjegjshëm gjinor të shërbimeve të kujdesit social në nivel vendor si dhe përgjigjja efektive ndaj krizave dhe emergjencave</w:t>
            </w:r>
          </w:p>
        </w:tc>
        <w:tc>
          <w:tcPr>
            <w:tcW w:w="2221" w:type="dxa"/>
            <w:tcBorders>
              <w:top w:val="single" w:sz="8" w:space="0" w:color="000000"/>
              <w:left w:val="single" w:sz="8" w:space="0" w:color="000000"/>
              <w:bottom w:val="single" w:sz="8" w:space="0" w:color="000000"/>
              <w:right w:val="single" w:sz="8" w:space="0" w:color="000000"/>
            </w:tcBorders>
          </w:tcPr>
          <w:p w14:paraId="29301F31"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Numri i bashkive që kanë ngritur ose zgjeruar financimin e shërbimeve sociale lokale në buxhetin afatmesëm dhe të rishikuara me lentet gjinore </w:t>
            </w:r>
          </w:p>
          <w:p w14:paraId="362975FD"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p w14:paraId="6FA046EB"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p w14:paraId="72CDA7AB"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p w14:paraId="56A64687"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p w14:paraId="43EC892D"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p w14:paraId="64575EE8"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Numri i personelit në njësitë e pushtetit vendor, drejtoritë rajonale dhe niveli qëndror i trajnuar për planifikimin, financimin, prokurimin dhe përgjigjen ndaj krizave;</w:t>
            </w:r>
          </w:p>
          <w:p w14:paraId="06E0E923" w14:textId="76FB26F8" w:rsidR="005F2AC9" w:rsidRDefault="005F2AC9">
            <w:pPr>
              <w:spacing w:before="0" w:after="0" w:line="240" w:lineRule="auto"/>
              <w:rPr>
                <w:color w:val="000000" w:themeColor="text1"/>
              </w:rPr>
            </w:pPr>
          </w:p>
        </w:tc>
        <w:tc>
          <w:tcPr>
            <w:tcW w:w="840" w:type="dxa"/>
            <w:tcBorders>
              <w:top w:val="single" w:sz="8" w:space="0" w:color="000000"/>
              <w:left w:val="single" w:sz="8" w:space="0" w:color="000000"/>
              <w:bottom w:val="single" w:sz="8" w:space="0" w:color="000000"/>
              <w:right w:val="single" w:sz="8" w:space="0" w:color="000000"/>
            </w:tcBorders>
          </w:tcPr>
          <w:p w14:paraId="7D5CAB0B"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5</w:t>
            </w:r>
          </w:p>
          <w:p w14:paraId="671AC233"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p w14:paraId="08990C73"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p w14:paraId="727F5D28"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p w14:paraId="1B25CF61"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p w14:paraId="14917BDB"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p w14:paraId="2C493C34"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p w14:paraId="109760D9"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p w14:paraId="1A6B2306"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p w14:paraId="1B2B6DE1" w14:textId="77777777" w:rsidR="005F2AC9" w:rsidRDefault="005F2AC9">
            <w:pPr>
              <w:spacing w:before="0" w:after="0" w:line="240" w:lineRule="auto"/>
              <w:rPr>
                <w:rFonts w:ascii="Times New Roman" w:eastAsia="Times New Roman" w:hAnsi="Times New Roman" w:cs="Times New Roman"/>
                <w:color w:val="000000" w:themeColor="text1"/>
                <w:lang w:val="en-GB"/>
              </w:rPr>
            </w:pPr>
          </w:p>
          <w:p w14:paraId="6C231C43" w14:textId="77777777" w:rsidR="005F2AC9" w:rsidRDefault="005F2AC9">
            <w:pPr>
              <w:spacing w:before="0" w:after="0" w:line="240" w:lineRule="auto"/>
              <w:rPr>
                <w:rFonts w:ascii="Times New Roman" w:eastAsia="Times New Roman" w:hAnsi="Times New Roman" w:cs="Times New Roman"/>
                <w:color w:val="000000" w:themeColor="text1"/>
                <w:lang w:val="en-GB"/>
              </w:rPr>
            </w:pPr>
          </w:p>
          <w:p w14:paraId="1A003A24" w14:textId="77777777" w:rsidR="005F2AC9" w:rsidRDefault="005F2AC9">
            <w:pPr>
              <w:spacing w:before="0" w:after="0" w:line="240" w:lineRule="auto"/>
              <w:rPr>
                <w:rFonts w:ascii="Times New Roman" w:eastAsia="Times New Roman" w:hAnsi="Times New Roman" w:cs="Times New Roman"/>
                <w:color w:val="000000" w:themeColor="text1"/>
                <w:lang w:val="en-GB"/>
              </w:rPr>
            </w:pPr>
          </w:p>
          <w:p w14:paraId="15C33E0A"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p w14:paraId="7E2FB9A1"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142 (viti 2023)</w:t>
            </w:r>
          </w:p>
        </w:tc>
        <w:tc>
          <w:tcPr>
            <w:tcW w:w="750" w:type="dxa"/>
            <w:tcBorders>
              <w:top w:val="single" w:sz="8" w:space="0" w:color="000000"/>
              <w:left w:val="single" w:sz="8" w:space="0" w:color="000000"/>
              <w:bottom w:val="single" w:sz="8" w:space="0" w:color="000000"/>
              <w:right w:val="single" w:sz="8" w:space="0" w:color="000000"/>
            </w:tcBorders>
          </w:tcPr>
          <w:p w14:paraId="07F157F1"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20</w:t>
            </w:r>
          </w:p>
          <w:p w14:paraId="50C7752B"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p w14:paraId="0EE6CA71"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p w14:paraId="46F10008"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p w14:paraId="269B087A"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p w14:paraId="24A0F46F"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p w14:paraId="4DCDFE12"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p w14:paraId="7298D7C5"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p w14:paraId="6C9A9B99"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p w14:paraId="02502051" w14:textId="77777777" w:rsidR="005F2AC9" w:rsidRDefault="005F2AC9">
            <w:pPr>
              <w:spacing w:before="0" w:after="0" w:line="240" w:lineRule="auto"/>
              <w:rPr>
                <w:rFonts w:ascii="Times New Roman" w:eastAsia="Times New Roman" w:hAnsi="Times New Roman" w:cs="Times New Roman"/>
                <w:color w:val="000000" w:themeColor="text1"/>
                <w:lang w:val="en-GB"/>
              </w:rPr>
            </w:pPr>
          </w:p>
          <w:p w14:paraId="56F46DE9" w14:textId="77777777" w:rsidR="005F2AC9" w:rsidRDefault="005F2AC9">
            <w:pPr>
              <w:spacing w:before="0" w:after="0" w:line="240" w:lineRule="auto"/>
              <w:rPr>
                <w:rFonts w:ascii="Times New Roman" w:eastAsia="Times New Roman" w:hAnsi="Times New Roman" w:cs="Times New Roman"/>
                <w:color w:val="000000" w:themeColor="text1"/>
                <w:lang w:val="en-GB"/>
              </w:rPr>
            </w:pPr>
          </w:p>
          <w:p w14:paraId="7A295D1C" w14:textId="77777777" w:rsidR="005F2AC9" w:rsidRDefault="005F2AC9">
            <w:pPr>
              <w:spacing w:before="0" w:after="0" w:line="240" w:lineRule="auto"/>
              <w:rPr>
                <w:rFonts w:ascii="Times New Roman" w:eastAsia="Times New Roman" w:hAnsi="Times New Roman" w:cs="Times New Roman"/>
                <w:color w:val="000000" w:themeColor="text1"/>
                <w:lang w:val="en-GB"/>
              </w:rPr>
            </w:pPr>
          </w:p>
          <w:p w14:paraId="1FE5E75F" w14:textId="77777777" w:rsidR="005F2AC9" w:rsidRDefault="005F2AC9">
            <w:pPr>
              <w:spacing w:before="0" w:after="0" w:line="240" w:lineRule="auto"/>
              <w:rPr>
                <w:rFonts w:ascii="Times New Roman" w:eastAsia="Times New Roman" w:hAnsi="Times New Roman" w:cs="Times New Roman"/>
                <w:color w:val="000000" w:themeColor="text1"/>
                <w:lang w:val="en-GB"/>
              </w:rPr>
            </w:pPr>
          </w:p>
          <w:p w14:paraId="51E9E613"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314</w:t>
            </w:r>
          </w:p>
        </w:tc>
        <w:tc>
          <w:tcPr>
            <w:tcW w:w="765" w:type="dxa"/>
            <w:tcBorders>
              <w:top w:val="single" w:sz="8" w:space="0" w:color="000000"/>
              <w:left w:val="single" w:sz="8" w:space="0" w:color="000000"/>
              <w:bottom w:val="single" w:sz="8" w:space="0" w:color="000000"/>
              <w:right w:val="single" w:sz="8" w:space="0" w:color="000000"/>
            </w:tcBorders>
          </w:tcPr>
          <w:p w14:paraId="152C5A72"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25</w:t>
            </w:r>
          </w:p>
          <w:p w14:paraId="61967E56"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p w14:paraId="6579888D"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p w14:paraId="027864DD"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p w14:paraId="5FC22B61"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p w14:paraId="370711D1"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p w14:paraId="254346C9"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p w14:paraId="20FF47EA"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p w14:paraId="7C76AD00" w14:textId="77777777" w:rsidR="005F2AC9" w:rsidRDefault="005F2AC9">
            <w:pPr>
              <w:spacing w:before="0" w:after="0" w:line="240" w:lineRule="auto"/>
              <w:rPr>
                <w:rFonts w:ascii="Times New Roman" w:eastAsia="Times New Roman" w:hAnsi="Times New Roman" w:cs="Times New Roman"/>
                <w:color w:val="000000" w:themeColor="text1"/>
                <w:lang w:val="en-GB"/>
              </w:rPr>
            </w:pPr>
          </w:p>
          <w:p w14:paraId="6FD7E6C3" w14:textId="77777777" w:rsidR="005F2AC9" w:rsidRDefault="005F2AC9">
            <w:pPr>
              <w:spacing w:before="0" w:after="0" w:line="240" w:lineRule="auto"/>
              <w:rPr>
                <w:rFonts w:ascii="Times New Roman" w:eastAsia="Times New Roman" w:hAnsi="Times New Roman" w:cs="Times New Roman"/>
                <w:color w:val="000000" w:themeColor="text1"/>
                <w:lang w:val="en-GB"/>
              </w:rPr>
            </w:pPr>
          </w:p>
          <w:p w14:paraId="48BCBA27" w14:textId="77777777" w:rsidR="005F2AC9" w:rsidRDefault="005F2AC9">
            <w:pPr>
              <w:spacing w:before="0" w:after="0" w:line="240" w:lineRule="auto"/>
              <w:rPr>
                <w:rFonts w:ascii="Times New Roman" w:eastAsia="Times New Roman" w:hAnsi="Times New Roman" w:cs="Times New Roman"/>
                <w:color w:val="000000" w:themeColor="text1"/>
                <w:lang w:val="en-GB"/>
              </w:rPr>
            </w:pPr>
          </w:p>
          <w:p w14:paraId="0B3E58FE" w14:textId="77777777" w:rsidR="005F2AC9" w:rsidRDefault="005F2AC9">
            <w:pPr>
              <w:spacing w:before="0" w:after="0" w:line="240" w:lineRule="auto"/>
              <w:rPr>
                <w:rFonts w:ascii="Times New Roman" w:eastAsia="Times New Roman" w:hAnsi="Times New Roman" w:cs="Times New Roman"/>
                <w:color w:val="000000" w:themeColor="text1"/>
                <w:lang w:val="en-GB"/>
              </w:rPr>
            </w:pPr>
          </w:p>
          <w:p w14:paraId="71E8AE2F" w14:textId="77777777" w:rsidR="005F2AC9" w:rsidRDefault="005F2AC9">
            <w:pPr>
              <w:spacing w:before="0" w:after="0" w:line="240" w:lineRule="auto"/>
              <w:rPr>
                <w:rFonts w:ascii="Times New Roman" w:eastAsia="Times New Roman" w:hAnsi="Times New Roman" w:cs="Times New Roman"/>
                <w:color w:val="000000" w:themeColor="text1"/>
                <w:lang w:val="en-GB"/>
              </w:rPr>
            </w:pPr>
          </w:p>
          <w:p w14:paraId="066F3DD5"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340</w:t>
            </w:r>
          </w:p>
          <w:p w14:paraId="74A3D87C"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tc>
        <w:tc>
          <w:tcPr>
            <w:tcW w:w="1668" w:type="dxa"/>
            <w:tcBorders>
              <w:top w:val="single" w:sz="8" w:space="0" w:color="000000"/>
              <w:left w:val="single" w:sz="8" w:space="0" w:color="000000"/>
              <w:bottom w:val="single" w:sz="8" w:space="0" w:color="000000"/>
              <w:right w:val="single" w:sz="8" w:space="0" w:color="000000"/>
            </w:tcBorders>
          </w:tcPr>
          <w:p w14:paraId="4CB51185" w14:textId="77777777" w:rsidR="005F2AC9" w:rsidRDefault="005F2AC9">
            <w:pPr>
              <w:spacing w:before="0" w:after="0" w:line="240" w:lineRule="auto"/>
              <w:rPr>
                <w:rFonts w:ascii="Times New Roman" w:eastAsia="Times New Roman" w:hAnsi="Times New Roman" w:cs="Times New Roman"/>
                <w:color w:val="000000" w:themeColor="text1"/>
                <w:lang w:val="it-CH"/>
              </w:rPr>
            </w:pPr>
          </w:p>
          <w:p w14:paraId="596DFA8D" w14:textId="77777777" w:rsidR="005F2AC9" w:rsidRDefault="005F2AC9">
            <w:pPr>
              <w:spacing w:before="0" w:after="0" w:line="240" w:lineRule="auto"/>
              <w:rPr>
                <w:rFonts w:ascii="Times New Roman" w:eastAsia="Times New Roman" w:hAnsi="Times New Roman" w:cs="Times New Roman"/>
                <w:color w:val="000000" w:themeColor="text1"/>
                <w:lang w:val="it-CH"/>
              </w:rPr>
            </w:pPr>
          </w:p>
          <w:p w14:paraId="6B31C7E4" w14:textId="77777777" w:rsidR="005F2AC9" w:rsidRDefault="005F2AC9">
            <w:pPr>
              <w:spacing w:before="0" w:after="0" w:line="240" w:lineRule="auto"/>
              <w:rPr>
                <w:rFonts w:ascii="Times New Roman" w:eastAsia="Times New Roman" w:hAnsi="Times New Roman" w:cs="Times New Roman"/>
                <w:color w:val="000000" w:themeColor="text1"/>
                <w:lang w:val="it-CH"/>
              </w:rPr>
            </w:pPr>
          </w:p>
          <w:p w14:paraId="6FCE5968" w14:textId="77777777" w:rsidR="005F2AC9" w:rsidRDefault="005F2AC9">
            <w:pPr>
              <w:spacing w:before="0" w:after="0" w:line="240" w:lineRule="auto"/>
              <w:rPr>
                <w:rFonts w:ascii="Times New Roman" w:eastAsia="Times New Roman" w:hAnsi="Times New Roman" w:cs="Times New Roman"/>
                <w:color w:val="000000" w:themeColor="text1"/>
                <w:lang w:val="it-CH"/>
              </w:rPr>
            </w:pPr>
          </w:p>
          <w:p w14:paraId="5A48D40E" w14:textId="77777777" w:rsidR="005F2AC9" w:rsidRDefault="005F2AC9">
            <w:pPr>
              <w:spacing w:before="0" w:after="0" w:line="240" w:lineRule="auto"/>
              <w:rPr>
                <w:rFonts w:ascii="Times New Roman" w:eastAsia="Times New Roman" w:hAnsi="Times New Roman" w:cs="Times New Roman"/>
                <w:color w:val="000000" w:themeColor="text1"/>
                <w:lang w:val="it-CH"/>
              </w:rPr>
            </w:pPr>
          </w:p>
          <w:p w14:paraId="36FBFEDE" w14:textId="77777777" w:rsidR="005F2AC9" w:rsidRDefault="005F2AC9">
            <w:pPr>
              <w:spacing w:before="0" w:after="0" w:line="240" w:lineRule="auto"/>
              <w:rPr>
                <w:rFonts w:ascii="Times New Roman" w:eastAsia="Times New Roman" w:hAnsi="Times New Roman" w:cs="Times New Roman"/>
                <w:color w:val="000000" w:themeColor="text1"/>
                <w:lang w:val="it-CH"/>
              </w:rPr>
            </w:pPr>
          </w:p>
          <w:p w14:paraId="7C6D660F" w14:textId="77777777" w:rsidR="005F2AC9" w:rsidRDefault="005F2AC9">
            <w:pPr>
              <w:spacing w:before="0" w:after="0" w:line="240" w:lineRule="auto"/>
              <w:rPr>
                <w:rFonts w:ascii="Times New Roman" w:eastAsia="Times New Roman" w:hAnsi="Times New Roman" w:cs="Times New Roman"/>
                <w:color w:val="000000" w:themeColor="text1"/>
                <w:lang w:val="it-CH"/>
              </w:rPr>
            </w:pPr>
          </w:p>
          <w:p w14:paraId="0BF13E5F" w14:textId="77777777" w:rsidR="005F2AC9" w:rsidRDefault="005F2AC9">
            <w:pPr>
              <w:spacing w:before="0" w:after="0" w:line="240" w:lineRule="auto"/>
              <w:rPr>
                <w:rFonts w:ascii="Times New Roman" w:eastAsia="Times New Roman" w:hAnsi="Times New Roman" w:cs="Times New Roman"/>
                <w:color w:val="000000" w:themeColor="text1"/>
                <w:lang w:val="it-CH"/>
              </w:rPr>
            </w:pPr>
          </w:p>
          <w:p w14:paraId="40F26BCC"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CH"/>
              </w:rPr>
              <w:t>SHSSH/ të dhëna administrative/ raporti i monitorimit te strategjise se MS</w:t>
            </w:r>
          </w:p>
          <w:p w14:paraId="2F1E4E2C"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38A9B864"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621395F7"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08C908F3" w14:textId="1C12FCB8" w:rsidR="005F2AC9" w:rsidRDefault="005F2AC9">
            <w:pPr>
              <w:spacing w:before="0" w:after="0" w:line="240" w:lineRule="auto"/>
              <w:rPr>
                <w:color w:val="000000" w:themeColor="text1"/>
              </w:rPr>
            </w:pPr>
          </w:p>
        </w:tc>
      </w:tr>
    </w:tbl>
    <w:p w14:paraId="10AF5C09" w14:textId="77777777" w:rsidR="005F2AC9" w:rsidRDefault="005F2AC9">
      <w:pPr>
        <w:rPr>
          <w:color w:val="000000" w:themeColor="text1"/>
        </w:rPr>
      </w:pPr>
    </w:p>
    <w:p w14:paraId="2AA28F06" w14:textId="77777777" w:rsidR="00962E92" w:rsidRDefault="00962E92">
      <w:pPr>
        <w:spacing w:after="0"/>
        <w:jc w:val="both"/>
        <w:rPr>
          <w:rFonts w:ascii="Times New Roman" w:hAnsi="Times New Roman"/>
          <w:b/>
          <w:bCs/>
          <w:color w:val="000000" w:themeColor="text1"/>
          <w:sz w:val="24"/>
          <w:szCs w:val="24"/>
          <w:lang w:val="it-IT"/>
        </w:rPr>
      </w:pPr>
    </w:p>
    <w:p w14:paraId="27881B14" w14:textId="77777777" w:rsidR="00962E92" w:rsidRDefault="00962E92">
      <w:pPr>
        <w:spacing w:after="0"/>
        <w:jc w:val="both"/>
        <w:rPr>
          <w:rFonts w:ascii="Times New Roman" w:hAnsi="Times New Roman"/>
          <w:b/>
          <w:bCs/>
          <w:color w:val="000000" w:themeColor="text1"/>
          <w:sz w:val="24"/>
          <w:szCs w:val="24"/>
          <w:lang w:val="it-IT"/>
        </w:rPr>
      </w:pPr>
    </w:p>
    <w:p w14:paraId="326A888E" w14:textId="3955B185" w:rsidR="005F2AC9" w:rsidRDefault="00B56839">
      <w:pPr>
        <w:spacing w:after="0"/>
        <w:jc w:val="both"/>
        <w:rPr>
          <w:rFonts w:ascii="Times New Roman" w:hAnsi="Times New Roman"/>
          <w:b/>
          <w:bCs/>
          <w:color w:val="000000" w:themeColor="text1"/>
          <w:sz w:val="24"/>
          <w:szCs w:val="24"/>
          <w:lang w:val="it-IT"/>
        </w:rPr>
      </w:pPr>
      <w:r>
        <w:rPr>
          <w:rFonts w:ascii="Times New Roman" w:hAnsi="Times New Roman"/>
          <w:b/>
          <w:bCs/>
          <w:color w:val="000000" w:themeColor="text1"/>
          <w:sz w:val="24"/>
          <w:szCs w:val="24"/>
          <w:lang w:val="it-IT"/>
        </w:rPr>
        <w:t>Përshkrimi i objektivit dhe rezultatet e monitorimit</w:t>
      </w:r>
    </w:p>
    <w:p w14:paraId="3C058DC5" w14:textId="77777777" w:rsidR="005F2AC9" w:rsidRDefault="00B56839">
      <w:pPr>
        <w:spacing w:after="0"/>
        <w:jc w:val="both"/>
        <w:rPr>
          <w:rFonts w:ascii="Times New Roman" w:hAnsi="Times New Roman"/>
          <w:color w:val="000000" w:themeColor="text1"/>
          <w:sz w:val="24"/>
          <w:szCs w:val="24"/>
          <w:lang w:val="it-IT"/>
        </w:rPr>
      </w:pPr>
      <w:r>
        <w:rPr>
          <w:rFonts w:ascii="Times New Roman" w:hAnsi="Times New Roman"/>
          <w:color w:val="000000" w:themeColor="text1"/>
          <w:sz w:val="24"/>
          <w:szCs w:val="24"/>
          <w:lang w:val="pt-BR"/>
        </w:rPr>
        <w:t>Ky objektiv mbështetet në parimet e decentralizimit dhe deinstitucionalizimit të shërbimeve të kujdesit shoqëror për grupet në nevojë</w:t>
      </w:r>
      <w:r>
        <w:rPr>
          <w:rFonts w:ascii="Times New Roman" w:hAnsi="Times New Roman"/>
          <w:color w:val="000000" w:themeColor="text1"/>
          <w:sz w:val="24"/>
          <w:szCs w:val="24"/>
          <w:lang w:val="it-IT"/>
        </w:rPr>
        <w:t xml:space="preserve"> dhe synon forcimin e rolit të njësive të vetëqeverisjes vendore në planifikimin, financimin dhe ofrimin e shërbimeve të kujdesit social, duke garantuar një qasje të barabartë për të gjithë qytetarët, pavarësisht gjinisë, moshës apo vendbanimit. Decentralizimi shoqërohet me një sistem të qartë të transferimit të fondeve dhe rritje të kapaciteteve vendore për menaxhim efektiv, në mënyrë që shërbimet të jenë të qëndrueshme dhe të afta të reagojnë ndaj krizave dhe emergjencave.</w:t>
      </w:r>
    </w:p>
    <w:p w14:paraId="3C1CA4C5" w14:textId="77777777" w:rsidR="005F2AC9" w:rsidRDefault="00B56839">
      <w:pPr>
        <w:spacing w:after="0"/>
        <w:jc w:val="both"/>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Objektivi për konsolidimin e procesit të decentralizimit të shërbimeve të kujdesit social ka shënuar hapa të rëndësishëm gjatë periudhës së raportimit. Në drejtim të financimit të qëndrueshëm, u operationalizua Fondi Social me alokime të dedikuara për bashkitë, duke mundësuar që pjesa më e madhe e tyre të përfitojnë fonde për ngritjen e shërbimeve të reja ose zgjerimin e atyre ekzistuese. Ky proces u mbështet edhe nga miratimi i mekanizmave të rinj të bashkëfinancimit mes qeverisë qendrore dhe njësive të vetëqeverisjes vendore, duke krijuar kushte që disa shërbime të vazhdojnë funksionimin edhe pas përfundimit të projekteve të financuara nga donatorët.</w:t>
      </w:r>
    </w:p>
    <w:p w14:paraId="31E9EA1E" w14:textId="77777777" w:rsidR="005F2AC9" w:rsidRDefault="00B56839">
      <w:pPr>
        <w:spacing w:after="0"/>
        <w:jc w:val="both"/>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Në fushën e përgjegjshmërisë gjinore, përparim i dukshëm u arrit përmes përfshirjes së elementeve të buxhetimit të përgjegjshëm gjinor në programet e shërbimeve sociale nga një numër në rritje bashkish. Vetëm gjatë dy viteve të para të zbatimit të strategjisë, rreth 20 bashki kanë filluar të zbatojnë këtë qasje, duke reflektuar gradualisht nevojën për barazi gjinore në planifikim dhe alokim burimesh. Përveç kësaj, janë zhvilluar cikle të posaçme trajnimesh për administratën vendore mbi mënyrën e integrimit të perspektivës gjinore në procesin e planifikimit dhe raportimit financiar.</w:t>
      </w:r>
    </w:p>
    <w:p w14:paraId="75C73E7D" w14:textId="77777777" w:rsidR="005F2AC9" w:rsidRDefault="00B56839">
      <w:pPr>
        <w:spacing w:after="0"/>
        <w:jc w:val="both"/>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 xml:space="preserve">Një tjetër arritje e rëndësishme lidhet me mbulimin gjeografik dhe aksesueshmërinë e shërbimeve sociale. </w:t>
      </w:r>
    </w:p>
    <w:p w14:paraId="77B52716" w14:textId="77777777" w:rsidR="005F2AC9" w:rsidRDefault="00B56839">
      <w:pPr>
        <w:spacing w:after="0"/>
        <w:jc w:val="both"/>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Harta e Shërbimeve Sociale 2025 paraqet një panoramë të plotë dhe të përditësuar të shërbimeve sociale që ofrohen në nivel kombëtar dhe vendor, duke evidentuar llojet e shërbimeve, shpërndarjen gjeografike të tyre, si dhe kapacitetet përkatëse. Ajo përfshin të dhëna mbi qendrat rezidenciale dhe ditore, shërbimet për fëmijë, të moshuar, persona me aftësi të kufizuara, viktima të dhunës dhe trafikimit, si dhe format e reja të mbështetjes në komunitet. Përmes kësaj harte, është e mundur të identifikohen boshllëqet ekzistuese në mbulimin e shërbimeve, rajonet ku ofrimi mbetet i kufizuar, si dhe praktikat e mira që duhen zgjeruar. Në këtë mënyrë, Harta e Shërbimeve Sociale 2025 shërben si një instrument orientues për planifikimin dhe shpërndarjen më të drejtë të burimeve, duke mbështetur procesin e deinstitucionalizimit dhe zhvillimin e kujdesit alternativ në Shqipëri.</w:t>
      </w:r>
    </w:p>
    <w:p w14:paraId="7BA9638F" w14:textId="77777777" w:rsidR="005F2AC9" w:rsidRDefault="00B56839">
      <w:pPr>
        <w:spacing w:after="0"/>
        <w:jc w:val="both"/>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Viti 2025, ofrojnë shërbime të përkujdesit shoqëror 439 ofrues ose 13 % më shumë se sa në vitin 2023, të cilët sigurojnë funksionimin e 1.669 shërbimeve të përkujdesit shoqëror ose 56% më shumë se sa në vitin 2023 për mbi 50,000 përfitues, individë në nevojë (11% më shumë se sa në vitin 2023).</w:t>
      </w:r>
    </w:p>
    <w:p w14:paraId="2C5D6CCC" w14:textId="77777777" w:rsidR="005F2AC9" w:rsidRDefault="00B56839">
      <w:pPr>
        <w:spacing w:after="0"/>
        <w:jc w:val="both"/>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Institucionet “Jo-Publike” përbëjnë 39% të numrit të shërbimeve për 56% të përfituesve, dhe institucionet publike (të financuara totalisht ose pjesërisht nga buxheti i shtetit) përbëjnë 61% të numrit të përgjithshëm, nga të cilët përfitojnë 44% e përfituesve.</w:t>
      </w:r>
    </w:p>
    <w:p w14:paraId="17238DBA" w14:textId="77777777" w:rsidR="005F2AC9" w:rsidRDefault="00B56839">
      <w:pPr>
        <w:spacing w:after="0"/>
        <w:jc w:val="both"/>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13% e institucioneve janë kombëtare dhe mbulojnë të gjithë territorin, 10% janë rajonale dhe mbulojnë përkatësisht qarqet në të cilat institucionet janë ngritur dhe funksionojnë, ndërsa 77% e institucioneve janë lokale dhe sigurojnë shërbime për bashkitë përkatëse.</w:t>
      </w:r>
    </w:p>
    <w:p w14:paraId="4A00D437" w14:textId="77777777" w:rsidR="005F2AC9" w:rsidRDefault="00B56839">
      <w:pPr>
        <w:spacing w:after="0"/>
        <w:jc w:val="both"/>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Shërbimet “Parashoqërore” përbëjnë 22% të të gjitha shërbimeve, të pasuara nga ato “Komunitare” dhe “Të Specializuara” përkatësisht 14% dhe 13%. Shërbimet më pak të përhapura janë “Strehëzat” dhe “Kujdesi alternativ”, përkatësisht me 3%.</w:t>
      </w:r>
    </w:p>
    <w:p w14:paraId="1CDA0BF0" w14:textId="77777777" w:rsidR="005F2AC9" w:rsidRDefault="00B56839">
      <w:pPr>
        <w:spacing w:after="0"/>
        <w:jc w:val="both"/>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 xml:space="preserve">44% e përfituesve të shërbimeve marrin shërbime komunitare për të gjithë individët dhe familjet në nevojë, ndërsa në shërbimet e specializuara grupet e përfituesve ndahen në: fëmijë me AK (10%), të moshuar (15%), viktima të dhunës në familje/trafikimit (6%), të rritur me aftësi të kufizuar (6%), fëmijë pa kujdesi prindëror (3%), Roma&amp;Egjiptianët (9%), të rinj (7%). </w:t>
      </w:r>
    </w:p>
    <w:p w14:paraId="7408B460" w14:textId="77777777" w:rsidR="005F2AC9" w:rsidRDefault="00B56839">
      <w:pPr>
        <w:spacing w:after="0"/>
        <w:jc w:val="both"/>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Fondi Social ka sjellë një progres të dukshëm në zhvillimin e shërbimeve sociale në Shqipëri, me rritje të ndjeshme si në numër shërbimesh ashtu edhe në vlerën e financimit ndër vite:</w:t>
      </w:r>
    </w:p>
    <w:p w14:paraId="0CFCBDF1" w14:textId="77777777" w:rsidR="005F2AC9" w:rsidRDefault="00B56839">
      <w:pPr>
        <w:numPr>
          <w:ilvl w:val="0"/>
          <w:numId w:val="10"/>
        </w:numPr>
        <w:spacing w:after="0"/>
        <w:jc w:val="both"/>
        <w:rPr>
          <w:rFonts w:ascii="Times New Roman" w:hAnsi="Times New Roman"/>
          <w:color w:val="000000" w:themeColor="text1"/>
          <w:sz w:val="24"/>
          <w:szCs w:val="24"/>
          <w:lang w:val="pt-BR"/>
        </w:rPr>
      </w:pPr>
      <w:r>
        <w:rPr>
          <w:rFonts w:ascii="Times New Roman" w:hAnsi="Times New Roman"/>
          <w:b/>
          <w:bCs/>
          <w:color w:val="000000" w:themeColor="text1"/>
          <w:sz w:val="24"/>
          <w:szCs w:val="24"/>
          <w:lang w:val="pt-BR"/>
        </w:rPr>
        <w:t>2019–2020</w:t>
      </w:r>
      <w:r>
        <w:rPr>
          <w:rFonts w:ascii="Times New Roman" w:hAnsi="Times New Roman"/>
          <w:color w:val="000000" w:themeColor="text1"/>
          <w:sz w:val="24"/>
          <w:szCs w:val="24"/>
          <w:lang w:val="pt-BR"/>
        </w:rPr>
        <w:t xml:space="preserve">: U krijuan vetëm </w:t>
      </w:r>
      <w:r>
        <w:rPr>
          <w:rFonts w:ascii="Times New Roman" w:hAnsi="Times New Roman"/>
          <w:b/>
          <w:bCs/>
          <w:color w:val="000000" w:themeColor="text1"/>
          <w:sz w:val="24"/>
          <w:szCs w:val="24"/>
          <w:lang w:val="pt-BR"/>
        </w:rPr>
        <w:t>14 shërbime</w:t>
      </w:r>
      <w:r>
        <w:rPr>
          <w:rFonts w:ascii="Times New Roman" w:hAnsi="Times New Roman"/>
          <w:color w:val="000000" w:themeColor="text1"/>
          <w:sz w:val="24"/>
          <w:szCs w:val="24"/>
          <w:lang w:val="pt-BR"/>
        </w:rPr>
        <w:t xml:space="preserve"> me një financim total prej </w:t>
      </w:r>
      <w:r>
        <w:rPr>
          <w:rFonts w:ascii="Times New Roman" w:hAnsi="Times New Roman"/>
          <w:b/>
          <w:bCs/>
          <w:color w:val="000000" w:themeColor="text1"/>
          <w:sz w:val="24"/>
          <w:szCs w:val="24"/>
          <w:lang w:val="pt-BR"/>
        </w:rPr>
        <w:t>74 milionë lekësh</w:t>
      </w:r>
      <w:r>
        <w:rPr>
          <w:rFonts w:ascii="Times New Roman" w:hAnsi="Times New Roman"/>
          <w:color w:val="000000" w:themeColor="text1"/>
          <w:sz w:val="24"/>
          <w:szCs w:val="24"/>
          <w:lang w:val="pt-BR"/>
        </w:rPr>
        <w:t>, duke shënuar fillimin e zbatimit të Fondit Social.</w:t>
      </w:r>
    </w:p>
    <w:p w14:paraId="570F6BCA" w14:textId="77777777" w:rsidR="005F2AC9" w:rsidRDefault="00B56839">
      <w:pPr>
        <w:numPr>
          <w:ilvl w:val="0"/>
          <w:numId w:val="10"/>
        </w:numPr>
        <w:spacing w:after="0"/>
        <w:jc w:val="both"/>
        <w:rPr>
          <w:rFonts w:ascii="Times New Roman" w:hAnsi="Times New Roman"/>
          <w:color w:val="000000" w:themeColor="text1"/>
          <w:sz w:val="24"/>
          <w:szCs w:val="24"/>
          <w:lang w:val="pt-BR"/>
        </w:rPr>
      </w:pPr>
      <w:r>
        <w:rPr>
          <w:rFonts w:ascii="Times New Roman" w:hAnsi="Times New Roman"/>
          <w:b/>
          <w:bCs/>
          <w:color w:val="000000" w:themeColor="text1"/>
          <w:sz w:val="24"/>
          <w:szCs w:val="24"/>
          <w:lang w:val="pt-BR"/>
        </w:rPr>
        <w:t>2022</w:t>
      </w:r>
      <w:r>
        <w:rPr>
          <w:rFonts w:ascii="Times New Roman" w:hAnsi="Times New Roman"/>
          <w:color w:val="000000" w:themeColor="text1"/>
          <w:sz w:val="24"/>
          <w:szCs w:val="24"/>
          <w:lang w:val="pt-BR"/>
        </w:rPr>
        <w:t xml:space="preserve">: U implementuan </w:t>
      </w:r>
      <w:r>
        <w:rPr>
          <w:rFonts w:ascii="Times New Roman" w:hAnsi="Times New Roman"/>
          <w:b/>
          <w:bCs/>
          <w:color w:val="000000" w:themeColor="text1"/>
          <w:sz w:val="24"/>
          <w:szCs w:val="24"/>
          <w:lang w:val="pt-BR"/>
        </w:rPr>
        <w:t>40 shërbime</w:t>
      </w:r>
      <w:r>
        <w:rPr>
          <w:rFonts w:ascii="Times New Roman" w:hAnsi="Times New Roman"/>
          <w:color w:val="000000" w:themeColor="text1"/>
          <w:sz w:val="24"/>
          <w:szCs w:val="24"/>
          <w:lang w:val="pt-BR"/>
        </w:rPr>
        <w:t xml:space="preserve"> në </w:t>
      </w:r>
      <w:r>
        <w:rPr>
          <w:rFonts w:ascii="Times New Roman" w:hAnsi="Times New Roman"/>
          <w:b/>
          <w:bCs/>
          <w:color w:val="000000" w:themeColor="text1"/>
          <w:sz w:val="24"/>
          <w:szCs w:val="24"/>
          <w:lang w:val="pt-BR"/>
        </w:rPr>
        <w:t>27 bashki</w:t>
      </w:r>
      <w:r>
        <w:rPr>
          <w:rFonts w:ascii="Times New Roman" w:hAnsi="Times New Roman"/>
          <w:color w:val="000000" w:themeColor="text1"/>
          <w:sz w:val="24"/>
          <w:szCs w:val="24"/>
          <w:lang w:val="pt-BR"/>
        </w:rPr>
        <w:t xml:space="preserve"> dhe </w:t>
      </w:r>
      <w:r>
        <w:rPr>
          <w:rFonts w:ascii="Times New Roman" w:hAnsi="Times New Roman"/>
          <w:b/>
          <w:bCs/>
          <w:color w:val="000000" w:themeColor="text1"/>
          <w:sz w:val="24"/>
          <w:szCs w:val="24"/>
          <w:lang w:val="pt-BR"/>
        </w:rPr>
        <w:t>6 qarqe</w:t>
      </w:r>
      <w:r>
        <w:rPr>
          <w:rFonts w:ascii="Times New Roman" w:hAnsi="Times New Roman"/>
          <w:color w:val="000000" w:themeColor="text1"/>
          <w:sz w:val="24"/>
          <w:szCs w:val="24"/>
          <w:lang w:val="pt-BR"/>
        </w:rPr>
        <w:t xml:space="preserve">, me një financim prej </w:t>
      </w:r>
      <w:r>
        <w:rPr>
          <w:rFonts w:ascii="Times New Roman" w:hAnsi="Times New Roman"/>
          <w:b/>
          <w:bCs/>
          <w:color w:val="000000" w:themeColor="text1"/>
          <w:sz w:val="24"/>
          <w:szCs w:val="24"/>
          <w:lang w:val="pt-BR"/>
        </w:rPr>
        <w:t>600 milionë lekësh</w:t>
      </w:r>
      <w:r>
        <w:rPr>
          <w:rFonts w:ascii="Times New Roman" w:hAnsi="Times New Roman"/>
          <w:color w:val="000000" w:themeColor="text1"/>
          <w:sz w:val="24"/>
          <w:szCs w:val="24"/>
          <w:lang w:val="pt-BR"/>
        </w:rPr>
        <w:t>, duke reflektuar një zgjerim të konsiderueshëm të mbulimit territorial dhe të kapacitetit financiar.</w:t>
      </w:r>
    </w:p>
    <w:p w14:paraId="05A708CA" w14:textId="77777777" w:rsidR="005F2AC9" w:rsidRDefault="00B56839">
      <w:pPr>
        <w:numPr>
          <w:ilvl w:val="0"/>
          <w:numId w:val="10"/>
        </w:numPr>
        <w:spacing w:after="0"/>
        <w:jc w:val="both"/>
        <w:rPr>
          <w:rFonts w:ascii="Times New Roman" w:hAnsi="Times New Roman"/>
          <w:color w:val="000000" w:themeColor="text1"/>
          <w:sz w:val="24"/>
          <w:szCs w:val="24"/>
          <w:lang w:val="pt-BR"/>
        </w:rPr>
      </w:pPr>
      <w:r>
        <w:rPr>
          <w:rFonts w:ascii="Times New Roman" w:hAnsi="Times New Roman"/>
          <w:b/>
          <w:bCs/>
          <w:color w:val="000000" w:themeColor="text1"/>
          <w:sz w:val="24"/>
          <w:szCs w:val="24"/>
          <w:lang w:val="pt-BR"/>
        </w:rPr>
        <w:t>2024</w:t>
      </w:r>
      <w:r>
        <w:rPr>
          <w:rFonts w:ascii="Times New Roman" w:hAnsi="Times New Roman"/>
          <w:color w:val="000000" w:themeColor="text1"/>
          <w:sz w:val="24"/>
          <w:szCs w:val="24"/>
          <w:lang w:val="pt-BR"/>
        </w:rPr>
        <w:t xml:space="preserve">: U alokuan </w:t>
      </w:r>
      <w:r>
        <w:rPr>
          <w:rFonts w:ascii="Times New Roman" w:hAnsi="Times New Roman"/>
          <w:b/>
          <w:bCs/>
          <w:color w:val="000000" w:themeColor="text1"/>
          <w:sz w:val="24"/>
          <w:szCs w:val="24"/>
          <w:lang w:val="pt-BR"/>
        </w:rPr>
        <w:t>324,042,142 lekë</w:t>
      </w:r>
      <w:r>
        <w:rPr>
          <w:rFonts w:ascii="Times New Roman" w:hAnsi="Times New Roman"/>
          <w:color w:val="000000" w:themeColor="text1"/>
          <w:sz w:val="24"/>
          <w:szCs w:val="24"/>
          <w:lang w:val="pt-BR"/>
        </w:rPr>
        <w:t xml:space="preserve"> për </w:t>
      </w:r>
      <w:r>
        <w:rPr>
          <w:rFonts w:ascii="Times New Roman" w:hAnsi="Times New Roman"/>
          <w:b/>
          <w:bCs/>
          <w:color w:val="000000" w:themeColor="text1"/>
          <w:sz w:val="24"/>
          <w:szCs w:val="24"/>
          <w:lang w:val="pt-BR"/>
        </w:rPr>
        <w:t>46 shërbime në nivel bashkie</w:t>
      </w:r>
      <w:r>
        <w:rPr>
          <w:rFonts w:ascii="Times New Roman" w:hAnsi="Times New Roman"/>
          <w:color w:val="000000" w:themeColor="text1"/>
          <w:sz w:val="24"/>
          <w:szCs w:val="24"/>
          <w:lang w:val="pt-BR"/>
        </w:rPr>
        <w:t xml:space="preserve"> dhe </w:t>
      </w:r>
      <w:r>
        <w:rPr>
          <w:rFonts w:ascii="Times New Roman" w:hAnsi="Times New Roman"/>
          <w:b/>
          <w:bCs/>
          <w:color w:val="000000" w:themeColor="text1"/>
          <w:sz w:val="24"/>
          <w:szCs w:val="24"/>
          <w:lang w:val="pt-BR"/>
        </w:rPr>
        <w:t>18 shërbime të specializuara në nivel qarku</w:t>
      </w:r>
      <w:r>
        <w:rPr>
          <w:rFonts w:ascii="Times New Roman" w:hAnsi="Times New Roman"/>
          <w:color w:val="000000" w:themeColor="text1"/>
          <w:sz w:val="24"/>
          <w:szCs w:val="24"/>
          <w:lang w:val="pt-BR"/>
        </w:rPr>
        <w:t>, duke katërfishuar fondin krahasuar me vitin 2020 dhe duke mbështetur një gamë më të gjerë shërbimesh.</w:t>
      </w:r>
    </w:p>
    <w:p w14:paraId="7408F024" w14:textId="77777777" w:rsidR="005F2AC9" w:rsidRDefault="00B56839">
      <w:pPr>
        <w:numPr>
          <w:ilvl w:val="0"/>
          <w:numId w:val="10"/>
        </w:numPr>
        <w:spacing w:after="0"/>
        <w:jc w:val="both"/>
        <w:rPr>
          <w:rFonts w:ascii="Times New Roman" w:hAnsi="Times New Roman"/>
          <w:color w:val="000000" w:themeColor="text1"/>
          <w:sz w:val="24"/>
          <w:szCs w:val="24"/>
          <w:lang w:val="pt-BR"/>
        </w:rPr>
      </w:pPr>
      <w:r>
        <w:rPr>
          <w:rFonts w:ascii="Times New Roman" w:hAnsi="Times New Roman"/>
          <w:b/>
          <w:bCs/>
          <w:color w:val="000000" w:themeColor="text1"/>
          <w:sz w:val="24"/>
          <w:szCs w:val="24"/>
          <w:lang w:val="pt-BR"/>
        </w:rPr>
        <w:t>2025</w:t>
      </w:r>
      <w:r>
        <w:rPr>
          <w:rFonts w:ascii="Times New Roman" w:hAnsi="Times New Roman"/>
          <w:color w:val="000000" w:themeColor="text1"/>
          <w:sz w:val="24"/>
          <w:szCs w:val="24"/>
          <w:lang w:val="pt-BR"/>
        </w:rPr>
        <w:t xml:space="preserve">: Fondi arrin në </w:t>
      </w:r>
      <w:r>
        <w:rPr>
          <w:rFonts w:ascii="Times New Roman" w:hAnsi="Times New Roman"/>
          <w:b/>
          <w:bCs/>
          <w:color w:val="000000" w:themeColor="text1"/>
          <w:sz w:val="24"/>
          <w:szCs w:val="24"/>
          <w:lang w:val="pt-BR"/>
        </w:rPr>
        <w:t>369,374,217 lekë</w:t>
      </w:r>
      <w:r>
        <w:rPr>
          <w:rFonts w:ascii="Times New Roman" w:hAnsi="Times New Roman"/>
          <w:color w:val="000000" w:themeColor="text1"/>
          <w:sz w:val="24"/>
          <w:szCs w:val="24"/>
          <w:lang w:val="pt-BR"/>
        </w:rPr>
        <w:t xml:space="preserve">, duke mbështetur </w:t>
      </w:r>
      <w:r>
        <w:rPr>
          <w:rFonts w:ascii="Times New Roman" w:hAnsi="Times New Roman"/>
          <w:b/>
          <w:bCs/>
          <w:color w:val="000000" w:themeColor="text1"/>
          <w:sz w:val="24"/>
          <w:szCs w:val="24"/>
          <w:lang w:val="pt-BR"/>
        </w:rPr>
        <w:t>65 shërbime bashkiake</w:t>
      </w:r>
      <w:r>
        <w:rPr>
          <w:rFonts w:ascii="Times New Roman" w:hAnsi="Times New Roman"/>
          <w:color w:val="000000" w:themeColor="text1"/>
          <w:sz w:val="24"/>
          <w:szCs w:val="24"/>
          <w:lang w:val="pt-BR"/>
        </w:rPr>
        <w:t xml:space="preserve"> dhe </w:t>
      </w:r>
      <w:r>
        <w:rPr>
          <w:rFonts w:ascii="Times New Roman" w:hAnsi="Times New Roman"/>
          <w:b/>
          <w:bCs/>
          <w:color w:val="000000" w:themeColor="text1"/>
          <w:sz w:val="24"/>
          <w:szCs w:val="24"/>
          <w:lang w:val="pt-BR"/>
        </w:rPr>
        <w:t>19 të specializuara rajonale</w:t>
      </w:r>
      <w:r>
        <w:rPr>
          <w:rFonts w:ascii="Times New Roman" w:hAnsi="Times New Roman"/>
          <w:color w:val="000000" w:themeColor="text1"/>
          <w:sz w:val="24"/>
          <w:szCs w:val="24"/>
          <w:lang w:val="pt-BR"/>
        </w:rPr>
        <w:t xml:space="preserve">, me një rritje prej </w:t>
      </w:r>
      <w:r>
        <w:rPr>
          <w:rFonts w:ascii="Times New Roman" w:hAnsi="Times New Roman"/>
          <w:b/>
          <w:bCs/>
          <w:color w:val="000000" w:themeColor="text1"/>
          <w:sz w:val="24"/>
          <w:szCs w:val="24"/>
          <w:lang w:val="pt-BR"/>
        </w:rPr>
        <w:t>15%</w:t>
      </w:r>
      <w:r>
        <w:rPr>
          <w:rFonts w:ascii="Times New Roman" w:hAnsi="Times New Roman"/>
          <w:color w:val="000000" w:themeColor="text1"/>
          <w:sz w:val="24"/>
          <w:szCs w:val="24"/>
          <w:lang w:val="pt-BR"/>
        </w:rPr>
        <w:t xml:space="preserve"> krahasuar me vitin 2024. </w:t>
      </w:r>
    </w:p>
    <w:p w14:paraId="15F18F37" w14:textId="77777777" w:rsidR="005F2AC9" w:rsidRDefault="00B56839">
      <w:pPr>
        <w:numPr>
          <w:ilvl w:val="0"/>
          <w:numId w:val="10"/>
        </w:numPr>
        <w:spacing w:after="0"/>
        <w:jc w:val="both"/>
        <w:rPr>
          <w:rFonts w:ascii="Times New Roman" w:hAnsi="Times New Roman"/>
          <w:color w:val="000000" w:themeColor="text1"/>
          <w:sz w:val="24"/>
          <w:szCs w:val="24"/>
          <w:lang w:val="pt-BR"/>
        </w:rPr>
      </w:pPr>
      <w:r>
        <w:rPr>
          <w:rFonts w:ascii="Times New Roman" w:hAnsi="Times New Roman"/>
          <w:b/>
          <w:bCs/>
          <w:color w:val="000000" w:themeColor="text1"/>
          <w:sz w:val="24"/>
          <w:szCs w:val="24"/>
          <w:lang w:val="pt-BR"/>
        </w:rPr>
        <w:t>2025</w:t>
      </w:r>
      <w:r>
        <w:rPr>
          <w:rFonts w:ascii="Times New Roman" w:hAnsi="Times New Roman"/>
          <w:color w:val="000000" w:themeColor="text1"/>
          <w:sz w:val="24"/>
          <w:szCs w:val="24"/>
          <w:lang w:val="pt-BR"/>
        </w:rPr>
        <w:t xml:space="preserve">: u ngritën </w:t>
      </w:r>
      <w:r>
        <w:rPr>
          <w:rFonts w:ascii="Times New Roman" w:hAnsi="Times New Roman"/>
          <w:i/>
          <w:iCs/>
          <w:color w:val="000000" w:themeColor="text1"/>
          <w:sz w:val="24"/>
          <w:szCs w:val="24"/>
          <w:u w:val="single"/>
          <w:lang w:val="pt-BR"/>
        </w:rPr>
        <w:t>njëmbëdhjetë shërbime të reja komunitare</w:t>
      </w:r>
      <w:r>
        <w:rPr>
          <w:rFonts w:ascii="Times New Roman" w:hAnsi="Times New Roman"/>
          <w:color w:val="000000" w:themeColor="text1"/>
          <w:sz w:val="24"/>
          <w:szCs w:val="24"/>
          <w:lang w:val="pt-BR"/>
        </w:rPr>
        <w:t xml:space="preserve"> në zona rurale dhe të largëta, duke përfshirë qendra për fëmijët, përkujdesje ditore për të moshuarit dhe mbështetje të posaçme për personat me aftësi të kufizuara</w:t>
      </w:r>
    </w:p>
    <w:p w14:paraId="6F0FE773" w14:textId="77777777" w:rsidR="005F2AC9" w:rsidRDefault="00B56839">
      <w:pPr>
        <w:pStyle w:val="ListParagraph"/>
        <w:numPr>
          <w:ilvl w:val="0"/>
          <w:numId w:val="10"/>
        </w:numPr>
        <w:spacing w:before="0" w:after="0" w:line="240" w:lineRule="auto"/>
        <w:jc w:val="both"/>
        <w:rPr>
          <w:rFonts w:ascii="Times New Roman" w:eastAsia="Times New Roman" w:hAnsi="Times New Roman" w:cs="Times New Roman"/>
          <w:color w:val="000000" w:themeColor="text1"/>
          <w:sz w:val="24"/>
          <w:szCs w:val="24"/>
          <w:lang w:val="pt-BR"/>
        </w:rPr>
      </w:pPr>
      <w:r>
        <w:rPr>
          <w:rFonts w:ascii="Times New Roman" w:eastAsia="Times New Roman" w:hAnsi="Times New Roman" w:cs="Times New Roman"/>
          <w:color w:val="000000" w:themeColor="text1"/>
          <w:sz w:val="24"/>
          <w:szCs w:val="24"/>
          <w:lang w:val="pt-BR"/>
        </w:rPr>
        <w:t xml:space="preserve">Në total, gjatë gjashtë viteve të funksionimit të Fondit Social, janë krijuar </w:t>
      </w:r>
      <w:r>
        <w:rPr>
          <w:rFonts w:ascii="Times New Roman" w:eastAsia="Times New Roman" w:hAnsi="Times New Roman" w:cs="Times New Roman"/>
          <w:b/>
          <w:bCs/>
          <w:color w:val="000000" w:themeColor="text1"/>
          <w:sz w:val="24"/>
          <w:szCs w:val="24"/>
          <w:lang w:val="pt-BR"/>
        </w:rPr>
        <w:t>84 shërbime të reja</w:t>
      </w:r>
      <w:r>
        <w:rPr>
          <w:rFonts w:ascii="Times New Roman" w:eastAsia="Times New Roman" w:hAnsi="Times New Roman" w:cs="Times New Roman"/>
          <w:color w:val="000000" w:themeColor="text1"/>
          <w:sz w:val="24"/>
          <w:szCs w:val="24"/>
          <w:lang w:val="pt-BR"/>
        </w:rPr>
        <w:t xml:space="preserve"> (65 në nivel bashkie dhe 19 të specializuara në nivel rajonal), duke përfituar rreth </w:t>
      </w:r>
      <w:r>
        <w:rPr>
          <w:rFonts w:ascii="Times New Roman" w:eastAsia="Times New Roman" w:hAnsi="Times New Roman" w:cs="Times New Roman"/>
          <w:b/>
          <w:bCs/>
          <w:color w:val="000000" w:themeColor="text1"/>
          <w:sz w:val="24"/>
          <w:szCs w:val="24"/>
          <w:lang w:val="pt-BR"/>
        </w:rPr>
        <w:t>44,000 individë</w:t>
      </w:r>
      <w:r>
        <w:rPr>
          <w:rFonts w:ascii="Times New Roman" w:eastAsia="Times New Roman" w:hAnsi="Times New Roman" w:cs="Times New Roman"/>
          <w:color w:val="000000" w:themeColor="text1"/>
          <w:sz w:val="24"/>
          <w:szCs w:val="24"/>
          <w:lang w:val="pt-BR"/>
        </w:rPr>
        <w:t xml:space="preserve">, ndërsa fondet e shpërndara kapin vlerën prej </w:t>
      </w:r>
      <w:r>
        <w:rPr>
          <w:rFonts w:ascii="Times New Roman" w:eastAsia="Times New Roman" w:hAnsi="Times New Roman" w:cs="Times New Roman"/>
          <w:b/>
          <w:bCs/>
          <w:color w:val="000000" w:themeColor="text1"/>
          <w:sz w:val="24"/>
          <w:szCs w:val="24"/>
          <w:lang w:val="pt-BR"/>
        </w:rPr>
        <w:t>1.5 miliardë lekësh</w:t>
      </w:r>
      <w:r>
        <w:rPr>
          <w:rFonts w:ascii="Times New Roman" w:eastAsia="Times New Roman" w:hAnsi="Times New Roman" w:cs="Times New Roman"/>
          <w:color w:val="000000" w:themeColor="text1"/>
          <w:sz w:val="24"/>
          <w:szCs w:val="24"/>
          <w:lang w:val="pt-BR"/>
        </w:rPr>
        <w:t>.</w:t>
      </w:r>
    </w:p>
    <w:p w14:paraId="502F2901" w14:textId="77777777" w:rsidR="005F2AC9" w:rsidRDefault="005F2AC9">
      <w:pPr>
        <w:spacing w:after="0"/>
        <w:jc w:val="both"/>
        <w:rPr>
          <w:rFonts w:ascii="Times New Roman" w:hAnsi="Times New Roman" w:cs="Times New Roman"/>
          <w:color w:val="000000" w:themeColor="text1"/>
          <w:lang w:val="pt-BR"/>
        </w:rPr>
      </w:pPr>
    </w:p>
    <w:p w14:paraId="3C44D984" w14:textId="77777777" w:rsidR="005F2AC9" w:rsidRDefault="00B56839">
      <w:pPr>
        <w:spacing w:after="0"/>
        <w:jc w:val="both"/>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Në aspektin e mbështetjes financiare, prioriteti ka qenë dhënë bashkive që më parë nuk kishin shërbime sociale, ndërsa procesi i vlerësimit ka siguruar që bashkitë me kapacitete të kufizuara të bashkëpunojnë me bashki fqinje për të harmonizuar dhe përmbushur nevojat e tyre.</w:t>
      </w:r>
    </w:p>
    <w:p w14:paraId="385961BD" w14:textId="77777777" w:rsidR="005F2AC9" w:rsidRDefault="00B56839">
      <w:pPr>
        <w:spacing w:after="0"/>
        <w:jc w:val="both"/>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Korniza rregullatore që përcakton funksionimin e Fondit Social është rishikuar në vitin 2024. Vendimi Nr. 111, datë 23.8.2018, “Për Funksionimin e Fondit Social”, është ndryshuar me Vendimin Nr. 613, datë 2.10.2024, me qëllim që njësitë e qeverisjes vendore ta integrojnë Fondin Social Vendor në programet buxhetore afatmesme për kujdesin shoqëror. Fondi Social Vendor përfaqëson një mekanizëm financiar duke rritur përgjegjësitë e bashkive në ofrimin e shërbimeve të kujdesit shoqëror në mënyrë të qëndrueshme dhe të ndershme. Në thelb, ai garanton një ndarje më të drejtë të burimeve dhe përgjegjësive midis nivelit qendror dhe vendor për përmbushjen e nevojave sociale të komuniteteve.</w:t>
      </w:r>
    </w:p>
    <w:p w14:paraId="58075FC2" w14:textId="444EE863" w:rsidR="005F2AC9" w:rsidRDefault="00B56839">
      <w:pPr>
        <w:spacing w:after="0"/>
        <w:jc w:val="both"/>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 xml:space="preserve">Në këtë kuadër, njësitë e vetëqeverisjes vendore, pas vlerësimit të nevojave dhe hartimit të planit social vendor, identifikojnë shërbimet që nuk janë të financuara në programin buxhetor afatmesëm. Ministria e Shëndetësisë dhe </w:t>
      </w:r>
      <w:r w:rsidR="00BA4B59" w:rsidRPr="00BA4B59">
        <w:rPr>
          <w:rFonts w:ascii="Times New Roman" w:hAnsi="Times New Roman"/>
          <w:color w:val="000000" w:themeColor="text1"/>
          <w:sz w:val="24"/>
          <w:szCs w:val="24"/>
          <w:lang w:val="pt-BR"/>
        </w:rPr>
        <w:t>Mirëqenies</w:t>
      </w:r>
      <w:r>
        <w:rPr>
          <w:rFonts w:ascii="Times New Roman" w:hAnsi="Times New Roman"/>
          <w:color w:val="000000" w:themeColor="text1"/>
          <w:sz w:val="24"/>
          <w:szCs w:val="24"/>
          <w:lang w:val="pt-BR"/>
        </w:rPr>
        <w:t xml:space="preserve"> Sociale alokon fondet për këto shërbime, të cilat transferohen tek njësitë vendore përmes produktit buxhetor “Fondi Social” si pjesë e programit lokal për funksionet e kujdesit shoqëror. Është hartuar udhëzuesi i ngritjes dhe funksionimit të fondit social vendor për t’i ardhur në ndihmë pushtetit vendor.</w:t>
      </w:r>
    </w:p>
    <w:p w14:paraId="2DF175FC" w14:textId="77777777" w:rsidR="005F2AC9" w:rsidRDefault="00B56839">
      <w:pPr>
        <w:spacing w:after="0"/>
        <w:jc w:val="both"/>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Paralelisht, është rishikuar edhe metodologjia për llogaritjen e fondeve për financimin e shërbimeve sociale, përmes Vendimit të Këshillit të Ministrave Nr. 224, datë 9.4.2024, me synimin për të nxitur bashkëpunimin ndërmjet bashkive, veçanërisht atyre më të vogla që përballen me kufizime financiare dhe burime njerëzore.</w:t>
      </w:r>
    </w:p>
    <w:p w14:paraId="23481C97" w14:textId="77777777" w:rsidR="005F2AC9" w:rsidRDefault="00B56839">
      <w:pPr>
        <w:spacing w:after="0"/>
        <w:jc w:val="both"/>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Më poshtë një panorama më e detajuar mbi aplikimet dhe financimet në kuadër të Fondit Social për vitin 2025:</w:t>
      </w:r>
    </w:p>
    <w:p w14:paraId="207D90BE" w14:textId="40584B73" w:rsidR="005F2AC9" w:rsidRDefault="00B56839">
      <w:pPr>
        <w:spacing w:after="0"/>
        <w:jc w:val="both"/>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 xml:space="preserve">Pranë Sekretariatit Teknik të Ministrisë së Shëndetësisë dhe </w:t>
      </w:r>
      <w:r w:rsidR="00BA4B59" w:rsidRPr="00BA4B59">
        <w:rPr>
          <w:rFonts w:ascii="Times New Roman" w:hAnsi="Times New Roman" w:cs="Times New Roman"/>
          <w:color w:val="000000" w:themeColor="text1"/>
          <w:sz w:val="24"/>
          <w:szCs w:val="24"/>
          <w:lang w:val="pt-BR"/>
        </w:rPr>
        <w:t>Mirëqenies</w:t>
      </w:r>
      <w:r>
        <w:rPr>
          <w:rFonts w:ascii="Times New Roman" w:hAnsi="Times New Roman" w:cs="Times New Roman"/>
          <w:color w:val="000000" w:themeColor="text1"/>
          <w:sz w:val="24"/>
          <w:szCs w:val="24"/>
          <w:lang w:val="pt-BR"/>
        </w:rPr>
        <w:t xml:space="preserve"> Sociale u depozituan gjithsej 62 aplikime nga bashkitë dhe qarqet e vendit, përfshirë aplikime të reja, vijuese dhe për zgjerim shërbimi. Pas shqyrtimit nga Komisioni i Vlerësimit, u miratuan 11 shërbime të reja në 8 bashki të reja, duke sjellë një rritje të ndjeshme në numrin e përfituesve me 11,665 individë më shumë dhe një shtesë prej 100 profesionistësh në sistemin e kujdesit social. Fondi i alokuar pë</w:t>
      </w:r>
      <w:r w:rsidR="00E737AC">
        <w:rPr>
          <w:rFonts w:ascii="Times New Roman" w:hAnsi="Times New Roman" w:cs="Times New Roman"/>
          <w:color w:val="000000" w:themeColor="text1"/>
          <w:sz w:val="24"/>
          <w:szCs w:val="24"/>
          <w:lang w:val="pt-BR"/>
        </w:rPr>
        <w:t>r vitin 2025 kap vlerën prej 363,833,321</w:t>
      </w:r>
      <w:r>
        <w:rPr>
          <w:rFonts w:ascii="Times New Roman" w:hAnsi="Times New Roman" w:cs="Times New Roman"/>
          <w:color w:val="000000" w:themeColor="text1"/>
          <w:sz w:val="24"/>
          <w:szCs w:val="24"/>
          <w:lang w:val="pt-BR"/>
        </w:rPr>
        <w:t xml:space="preserve"> lekësh, duke mbështetur 65 shërbime në nivel</w:t>
      </w:r>
      <w:r w:rsidR="00561AD4">
        <w:rPr>
          <w:rFonts w:ascii="Times New Roman" w:hAnsi="Times New Roman" w:cs="Times New Roman"/>
          <w:color w:val="000000" w:themeColor="text1"/>
          <w:sz w:val="24"/>
          <w:szCs w:val="24"/>
          <w:lang w:val="pt-BR"/>
        </w:rPr>
        <w:t xml:space="preserve"> bashkie.</w:t>
      </w:r>
      <w:r w:rsidR="008A023D">
        <w:rPr>
          <w:rFonts w:ascii="Times New Roman" w:hAnsi="Times New Roman" w:cs="Times New Roman"/>
          <w:color w:val="000000" w:themeColor="text1"/>
          <w:sz w:val="24"/>
          <w:szCs w:val="24"/>
          <w:lang w:val="pt-BR"/>
        </w:rPr>
        <w:t xml:space="preserve"> Fondi i përdorur është 347,402, 956 lekë, ose 95% e fodnit të alokuar.</w:t>
      </w:r>
    </w:p>
    <w:p w14:paraId="0C26923B" w14:textId="77777777" w:rsidR="005F2AC9" w:rsidRDefault="00B56839">
      <w:pPr>
        <w:spacing w:after="0"/>
        <w:jc w:val="both"/>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Shërbimet e mbështetura përfshijnë një gamë të gjerë ndërhyrjesh, si shërbime lëvizëse për fëmijët me aftësi të kufizuar, të moshuarit dhe personat me probleme të shëndetit mendor, asistencë në familje, qendra ditore dhe shërbime multifunksionale për grupet në nevojë. Në total, janë financuar 37 qendra komunitare multifunksionale që nga viti 2020, me mbi 10,000 përfitues, ndërsa për vitin 2025 janë shtuar 7 shërbime të reja me bazë komunitare në bashki të reja dhe ekzistuese, duke mbuluar 2,316 përfitues të rinj. Po ashtu, janë mbështetur 5 shërbime emergjence për viktimat e dhunës në familje, me 1,555 përfitues.</w:t>
      </w:r>
    </w:p>
    <w:p w14:paraId="3EC4A6AB" w14:textId="7C217571" w:rsidR="005F2AC9" w:rsidRDefault="00B56839">
      <w:pPr>
        <w:spacing w:after="0"/>
        <w:jc w:val="both"/>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 xml:space="preserve">Në nivel rajonal, janë financuar 19 shërbime të specializuara në partneritet me organizata joqeveritare, që mbulojnë një total prej </w:t>
      </w:r>
      <w:r w:rsidR="00C3647C" w:rsidRPr="009F4A4F">
        <w:rPr>
          <w:rFonts w:ascii="Times New Roman" w:eastAsia="Cambria" w:hAnsi="Times New Roman" w:cs="Times New Roman"/>
          <w:sz w:val="24"/>
          <w:szCs w:val="24"/>
        </w:rPr>
        <w:t xml:space="preserve">18,834 </w:t>
      </w:r>
      <w:r>
        <w:rPr>
          <w:rFonts w:ascii="Times New Roman" w:hAnsi="Times New Roman" w:cs="Times New Roman"/>
          <w:color w:val="000000" w:themeColor="text1"/>
          <w:sz w:val="24"/>
          <w:szCs w:val="24"/>
          <w:lang w:val="pt-BR"/>
        </w:rPr>
        <w:t xml:space="preserve">përfitues. Këto përfshijnë asistencë shtëpiake, shërbime multidisiplinare për të moshuarit, strehëza për viktimat e dhunës dhe trafikimit, linja këshillimi kombëtare, qendra për persona me aftësi të kufizuara, shërbime për komunitetin LGBTI+ dhe shërbime rezidenciale për gratë dhe vajzat në situatë vulnerabël. </w:t>
      </w:r>
    </w:p>
    <w:p w14:paraId="193AC1AB" w14:textId="77777777" w:rsidR="005F2AC9" w:rsidRDefault="00B56839">
      <w:pPr>
        <w:spacing w:after="0"/>
        <w:jc w:val="both"/>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Kjo panoramë e gjerë e shërbimeve të mbështetura për vitin 2025 dëshmon për zgjerimin dhe diversifikimin e sistemit të kujdesit social në Shqipëri, si dhe për angazhimin e vazhdueshëm për të garantuar mbështetje të qëndrueshme për grupet më të ndjeshme të shoqërisë.</w:t>
      </w:r>
    </w:p>
    <w:p w14:paraId="7E2484E6" w14:textId="77777777" w:rsidR="005F2AC9" w:rsidRDefault="00B56839">
      <w:pPr>
        <w:spacing w:after="0"/>
        <w:jc w:val="both"/>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Në kuadër të fuqizimit të kapaciteteve institucionale vendore, me mbështetjen e programeve UNDP/LNB, TAEU4SI – GOPA dhe UNICEF, si dhe me kontributin e Shërbimit Social Shtetëror, u organizua një seri trajnimesh që përfshinë gjithsej 574 punonjës socialë në të gjithë vendin. Këto trajnime synuan forcimin e kapaciteteve profesionale të stafit, rritjen e cilësisë së ofrimit të shërbimeve dhe përmirësimin e kuadrit institucional dhe ligjor për shërbimet sociale.</w:t>
      </w:r>
    </w:p>
    <w:p w14:paraId="5A0B6C35" w14:textId="77777777" w:rsidR="005F2AC9" w:rsidRDefault="00B56839">
      <w:pPr>
        <w:spacing w:after="0"/>
        <w:jc w:val="both"/>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Një pjesë e konsiderueshme e punonjësve socialë të angazhuar në qendrat komunitare për fëmijë me aftësi të kufizuara morën pjesë në trajnime mbi punën në ekipe multidisiplinare, ku u theksuan rolet e stafit në hartimin e planeve terapeutike dhe u prezantuan standardet e përditësuara ligjore dhe politike në fushën e aftësisë së kufizuar. Një tjetër grup profesionistësh ndoqi një trajnim të dedikuar mbi zhvillimin seksual dhe edukimin seksual të fëmijëve e adoleshentëve me aftësi të kufizuara intelektuale, si dhe mbi teknikat për zhvillimin e bisedave të vështira me prindërit. Në vitin 2024, rreth 80 profesionistë nga 17 bashki morën pjesë në një trajnim mbi shëndetin mendor dhe çrregullimet psikiatrike të fëmijëve me vështirësi zhvillimore, duke u pajisur me njohuri të posaçme mbi punën me fëmijët që vuajnë nga sindroma të ndryshme.</w:t>
      </w:r>
    </w:p>
    <w:p w14:paraId="03430274" w14:textId="77777777" w:rsidR="005F2AC9" w:rsidRDefault="00B56839">
      <w:pPr>
        <w:spacing w:after="0"/>
        <w:jc w:val="both"/>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 xml:space="preserve">Gjithashtu, punonjësit socialë të institucioneve publike rezidenciale për fëmijët kanë marrë pjesë në një trajnim tre-ditor mbi metodologjinë e transformimit të institucioneve rezidenciale për fëmijët 0–5 vjeç, duke i orientuar ato drejt shërbimeve mbështetëse për fëmijët dhe familjet. Në fushën e kujdesit për të moshuarit, 10 profesionistë morën pjesë në një trajnim mbi politikat e përditësuara në këtë sektor dhe tipologjitë e reja të shërbimeve alternative, si kujdesi shtëpiak, duke u njohur me standardet dhe protokollet përkatëse. </w:t>
      </w:r>
    </w:p>
    <w:p w14:paraId="3CC1BD69" w14:textId="77777777" w:rsidR="005F2AC9" w:rsidRDefault="00B56839">
      <w:pPr>
        <w:spacing w:after="0"/>
        <w:jc w:val="both"/>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Në kuadër të forcimit të kapaciteteve në nivel vendor, janë zhvilluar gjithashtu trajnime për të gjithë 61 bashkitë, me fokus transparencën, barazinë horizontale e vertikale dhe kuptimin e procedurave të prokurimit të shërbimeve sociale.</w:t>
      </w:r>
    </w:p>
    <w:p w14:paraId="6F8C317F" w14:textId="77777777" w:rsidR="005F2AC9" w:rsidRDefault="00B56839">
      <w:pPr>
        <w:spacing w:after="0"/>
        <w:jc w:val="both"/>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Një arritje e rëndësishme në këtë drejtim ka qenë hartimi i Manualit të Prokurimit për shërbimet sociale, i cili qartëson hapat që njësitë e qeverisjes vendore duhet të ndjekin për të kontraktuar shërbime në përputhje me kuadrin rregullator të Fondit Social. Ky manual, i shoqëruar me cikle trajnimesh të posaçme në 61 bashki, me asistencën teknike të EU4SI, ka rritur ndjeshëm numrin e bashkive që aplikojnë për zhvillimin e shërbimeve sociale përmes Fondit Social. Aktualisht, 51 bashki kanë filluar të përdorin fondet e alokuara nga buxheti i shtetit për ngritjen e shërbimeve të reja, duke shënuar një hap të madh përpara në drejtim të decentralizimit të shërbimeve dhe financimit të tyre të qëndrueshëm.</w:t>
      </w:r>
    </w:p>
    <w:p w14:paraId="7053C97F" w14:textId="77777777" w:rsidR="005F2AC9" w:rsidRDefault="00B56839">
      <w:pPr>
        <w:spacing w:after="0"/>
        <w:jc w:val="both"/>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 xml:space="preserve">Një proces i rëndësishëm është edhe rishikimi i metodologjisë së hartimit të Planeve Lokale Sociale, e cila është përmirësuar duke u bazuar në praktikat më të mira evropiane. </w:t>
      </w:r>
    </w:p>
    <w:p w14:paraId="5220DDF5" w14:textId="05496E94" w:rsidR="006159C1" w:rsidRPr="006159C1" w:rsidRDefault="00B56839" w:rsidP="006159C1">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lang w:val="pt-BR"/>
        </w:rPr>
        <w:t>Në vitin 2024, gjithsej 28 Plane Lokale Sociale u hartuan dhe u miratuan nga bashkitë, duke u dhënë përparësi atyre bashkive që kishin plane të skaduara para vitit 2024. Procesi vijojë edhe gjatë vitit 2025 me bashkitë e tjera, planet sociale të të cilave përfundonin përpara vitit 2024</w:t>
      </w:r>
      <w:r w:rsidRPr="006159C1">
        <w:rPr>
          <w:rFonts w:ascii="Times New Roman" w:hAnsi="Times New Roman"/>
          <w:color w:val="000000" w:themeColor="text1"/>
          <w:sz w:val="24"/>
          <w:szCs w:val="24"/>
          <w:lang w:val="pt-BR"/>
        </w:rPr>
        <w:t xml:space="preserve">. </w:t>
      </w:r>
      <w:r w:rsidR="006159C1">
        <w:rPr>
          <w:rFonts w:ascii="Times New Roman" w:hAnsi="Times New Roman"/>
          <w:color w:val="000000" w:themeColor="text1"/>
          <w:sz w:val="24"/>
          <w:szCs w:val="24"/>
        </w:rPr>
        <w:t xml:space="preserve">Në vitin 2025, </w:t>
      </w:r>
      <w:r w:rsidR="006159C1" w:rsidRPr="006159C1">
        <w:rPr>
          <w:rFonts w:ascii="Times New Roman" w:hAnsi="Times New Roman"/>
          <w:bCs/>
          <w:color w:val="000000" w:themeColor="text1"/>
          <w:sz w:val="24"/>
          <w:szCs w:val="24"/>
        </w:rPr>
        <w:t>59 bashkitë</w:t>
      </w:r>
      <w:r w:rsidR="006159C1" w:rsidRPr="006159C1">
        <w:rPr>
          <w:rFonts w:ascii="Times New Roman" w:hAnsi="Times New Roman"/>
          <w:color w:val="000000" w:themeColor="text1"/>
          <w:sz w:val="24"/>
          <w:szCs w:val="24"/>
        </w:rPr>
        <w:t xml:space="preserve"> kishin në fuqi </w:t>
      </w:r>
      <w:r w:rsidR="006159C1" w:rsidRPr="006159C1">
        <w:rPr>
          <w:rFonts w:ascii="Times New Roman" w:hAnsi="Times New Roman"/>
          <w:bCs/>
          <w:color w:val="000000" w:themeColor="text1"/>
          <w:sz w:val="24"/>
          <w:szCs w:val="24"/>
        </w:rPr>
        <w:t>Plane Sociale Vendore</w:t>
      </w:r>
      <w:r w:rsidR="006159C1" w:rsidRPr="006159C1">
        <w:rPr>
          <w:rFonts w:ascii="Times New Roman" w:hAnsi="Times New Roman"/>
          <w:color w:val="000000" w:themeColor="text1"/>
          <w:sz w:val="24"/>
          <w:szCs w:val="24"/>
        </w:rPr>
        <w:t xml:space="preserve">, të miratuara në përputhje me kuadrin ligjor për planifikimin dhe zhvillimin e shërbimeve sociale në nivel lokal. </w:t>
      </w:r>
      <w:r w:rsidR="006159C1">
        <w:rPr>
          <w:rFonts w:ascii="Times New Roman" w:hAnsi="Times New Roman"/>
          <w:color w:val="000000" w:themeColor="text1"/>
          <w:sz w:val="24"/>
          <w:szCs w:val="24"/>
        </w:rPr>
        <w:t>T</w:t>
      </w:r>
      <w:r w:rsidR="006159C1" w:rsidRPr="006159C1">
        <w:rPr>
          <w:rFonts w:ascii="Times New Roman" w:hAnsi="Times New Roman"/>
          <w:color w:val="000000" w:themeColor="text1"/>
          <w:sz w:val="24"/>
          <w:szCs w:val="24"/>
        </w:rPr>
        <w:t>re prej këtyre planeve përfundojnë afatin e vle</w:t>
      </w:r>
      <w:r w:rsidR="006159C1">
        <w:rPr>
          <w:rFonts w:ascii="Times New Roman" w:hAnsi="Times New Roman"/>
          <w:color w:val="000000" w:themeColor="text1"/>
          <w:sz w:val="24"/>
          <w:szCs w:val="24"/>
        </w:rPr>
        <w:t>fshmërisë gjatë të njëjtit vit. N</w:t>
      </w:r>
      <w:r w:rsidR="006159C1" w:rsidRPr="006159C1">
        <w:rPr>
          <w:rFonts w:ascii="Times New Roman" w:hAnsi="Times New Roman"/>
          <w:color w:val="000000" w:themeColor="text1"/>
          <w:sz w:val="24"/>
          <w:szCs w:val="24"/>
        </w:rPr>
        <w:t>dër</w:t>
      </w:r>
      <w:r w:rsidR="006159C1">
        <w:rPr>
          <w:rFonts w:ascii="Times New Roman" w:hAnsi="Times New Roman"/>
          <w:color w:val="000000" w:themeColor="text1"/>
          <w:sz w:val="24"/>
          <w:szCs w:val="24"/>
        </w:rPr>
        <w:t>kohë</w:t>
      </w:r>
      <w:r w:rsidR="006159C1" w:rsidRPr="006159C1">
        <w:rPr>
          <w:rFonts w:ascii="Times New Roman" w:hAnsi="Times New Roman"/>
          <w:color w:val="000000" w:themeColor="text1"/>
          <w:sz w:val="24"/>
          <w:szCs w:val="24"/>
        </w:rPr>
        <w:t xml:space="preserve">, bashkitë </w:t>
      </w:r>
      <w:r w:rsidR="006159C1" w:rsidRPr="006159C1">
        <w:rPr>
          <w:rFonts w:ascii="Times New Roman" w:hAnsi="Times New Roman"/>
          <w:bCs/>
          <w:color w:val="000000" w:themeColor="text1"/>
          <w:sz w:val="24"/>
          <w:szCs w:val="24"/>
        </w:rPr>
        <w:t>Shkodër</w:t>
      </w:r>
      <w:r w:rsidR="006159C1" w:rsidRPr="006159C1">
        <w:rPr>
          <w:rFonts w:ascii="Times New Roman" w:hAnsi="Times New Roman"/>
          <w:color w:val="000000" w:themeColor="text1"/>
          <w:sz w:val="24"/>
          <w:szCs w:val="24"/>
        </w:rPr>
        <w:t xml:space="preserve"> dhe </w:t>
      </w:r>
      <w:r w:rsidR="006159C1" w:rsidRPr="006159C1">
        <w:rPr>
          <w:rFonts w:ascii="Times New Roman" w:hAnsi="Times New Roman"/>
          <w:bCs/>
          <w:color w:val="000000" w:themeColor="text1"/>
          <w:sz w:val="24"/>
          <w:szCs w:val="24"/>
        </w:rPr>
        <w:t>Fushë-Arrëz</w:t>
      </w:r>
      <w:r w:rsidR="006159C1" w:rsidRPr="006159C1">
        <w:rPr>
          <w:rFonts w:ascii="Times New Roman" w:hAnsi="Times New Roman"/>
          <w:color w:val="000000" w:themeColor="text1"/>
          <w:sz w:val="24"/>
          <w:szCs w:val="24"/>
        </w:rPr>
        <w:t xml:space="preserve"> janë aktualisht në procesin e përgatitjes së planeve të përditësuara sociale vendore, pasi dokumentet ekzistuese nuk janë rishikuar që prej viteve </w:t>
      </w:r>
      <w:r w:rsidR="006159C1" w:rsidRPr="006159C1">
        <w:rPr>
          <w:rFonts w:ascii="Times New Roman" w:hAnsi="Times New Roman"/>
          <w:bCs/>
          <w:color w:val="000000" w:themeColor="text1"/>
          <w:sz w:val="24"/>
          <w:szCs w:val="24"/>
        </w:rPr>
        <w:t>2021</w:t>
      </w:r>
      <w:r w:rsidR="006159C1" w:rsidRPr="006159C1">
        <w:rPr>
          <w:rFonts w:ascii="Times New Roman" w:hAnsi="Times New Roman"/>
          <w:color w:val="000000" w:themeColor="text1"/>
          <w:sz w:val="24"/>
          <w:szCs w:val="24"/>
        </w:rPr>
        <w:t xml:space="preserve"> dhe </w:t>
      </w:r>
      <w:r w:rsidR="006159C1" w:rsidRPr="006159C1">
        <w:rPr>
          <w:rFonts w:ascii="Times New Roman" w:hAnsi="Times New Roman"/>
          <w:bCs/>
          <w:color w:val="000000" w:themeColor="text1"/>
          <w:sz w:val="24"/>
          <w:szCs w:val="24"/>
        </w:rPr>
        <w:t>2023</w:t>
      </w:r>
      <w:r w:rsidR="006159C1" w:rsidRPr="006159C1">
        <w:rPr>
          <w:rFonts w:ascii="Times New Roman" w:hAnsi="Times New Roman"/>
          <w:color w:val="000000" w:themeColor="text1"/>
          <w:sz w:val="24"/>
          <w:szCs w:val="24"/>
        </w:rPr>
        <w:t xml:space="preserve"> respektivisht. </w:t>
      </w:r>
    </w:p>
    <w:p w14:paraId="596610C9" w14:textId="77777777" w:rsidR="005F2AC9" w:rsidRDefault="00B56839">
      <w:pPr>
        <w:spacing w:after="0"/>
        <w:jc w:val="both"/>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Metodologjia e përditësuar krijon gjithashtu një lidhje më të qartë midis procesit të buxhetimit bashkiak dhe zhvillimit të Planit Lokal Social, duke përfshirë kosto njësi më të sakta për ofrimin e shërbimeve.</w:t>
      </w:r>
    </w:p>
    <w:p w14:paraId="3B9ECE67" w14:textId="77777777" w:rsidR="005F2AC9" w:rsidRDefault="00B56839">
      <w:pPr>
        <w:spacing w:after="0"/>
        <w:jc w:val="both"/>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Një nga mësimet kryesore të nxjerra nga zbatimi i kësaj metodologjie është nevoja për dialog më të fortë ndërbashkiak dhe ndër-rajonal mbi planifikimin e shërbimeve dhe shpërndarjen e burimeve, në përputhje me ndryshimet e kuadrit ligjor mbi funksionimin e Fondit Social. Në këtë kuadër, filloi procesi në qarkun e Korçës dhe Tiranë, një proces i posaçëm dialogu ndërbashkiak mes bashkive, i cili u finalizua në Qarkun Tiranë gjatë vitit 2025.</w:t>
      </w:r>
    </w:p>
    <w:p w14:paraId="56612806" w14:textId="77777777" w:rsidR="005F2AC9" w:rsidRDefault="00B56839">
      <w:pPr>
        <w:spacing w:after="0"/>
        <w:jc w:val="both"/>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 xml:space="preserve">Kjo nismë është menduar të hapë rrugën për planifikimin social rajonal, një koncept i ri në Shqipëri, dhe hapat e parë tashmë kanë nisur. Metodologjia e propozuar për planet sociale rajonale ndjek një qasje të strukturuar, me hapin e parë mbledhjen e Planeve Lokale Sociale dhe kryerjen e një analizë tërthore - proces që është aktualisht në zhvillim. Këshilli Rajonal kryeson komitetin drejtues që mbikëqyr zhvillimin e Planit Social Rajonal, me pjesëmarrjen aktive të kryetarëve të bashkive. </w:t>
      </w:r>
    </w:p>
    <w:p w14:paraId="68494984" w14:textId="77777777" w:rsidR="005F2AC9" w:rsidRDefault="00B56839">
      <w:pPr>
        <w:spacing w:after="0"/>
        <w:jc w:val="both"/>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Zbatimi i planeve të përmirësuara të kujdesit social lokal ka sjellë përmirësime në ofrimin e shërbimeve, duke harmonizuar nevojat sociale me buxhetimin dhe planifikimin e burimeve bashkiake. Bashkitë kanë rritur aftësinë për të prioritetizuar grupet vulnerabël, kanë përmirësuar përdorimin efikas të fondeve dhe kanë forcuar koordinimin mes ofruesve të shërbimeve. Procesi ka rritur gjithashtu llogaridhënien vendore dhe angazhimin e komunitetit, duke kontribuar në shërbime sociale më të qëlluara dhe më të qëndrueshme.</w:t>
      </w:r>
    </w:p>
    <w:p w14:paraId="5E9636E6" w14:textId="77777777" w:rsidR="005F2AC9" w:rsidRDefault="005F2AC9">
      <w:pPr>
        <w:spacing w:line="240" w:lineRule="auto"/>
        <w:jc w:val="both"/>
        <w:rPr>
          <w:color w:val="000000" w:themeColor="text1"/>
          <w:sz w:val="24"/>
          <w:szCs w:val="24"/>
          <w:u w:val="single"/>
          <w:lang w:val="pt-BR"/>
        </w:rPr>
      </w:pPr>
    </w:p>
    <w:p w14:paraId="12973528" w14:textId="77777777" w:rsidR="00497703" w:rsidRDefault="00497703">
      <w:pPr>
        <w:spacing w:line="240" w:lineRule="auto"/>
        <w:jc w:val="both"/>
        <w:rPr>
          <w:color w:val="000000" w:themeColor="text1"/>
          <w:sz w:val="24"/>
          <w:szCs w:val="24"/>
          <w:u w:val="single"/>
          <w:lang w:val="pt-BR"/>
        </w:rPr>
      </w:pPr>
    </w:p>
    <w:p w14:paraId="4DDEFD7F" w14:textId="77777777" w:rsidR="00497703" w:rsidRDefault="00497703">
      <w:pPr>
        <w:spacing w:line="240" w:lineRule="auto"/>
        <w:jc w:val="both"/>
        <w:rPr>
          <w:color w:val="000000" w:themeColor="text1"/>
          <w:sz w:val="24"/>
          <w:szCs w:val="24"/>
          <w:u w:val="single"/>
          <w:lang w:val="pt-BR"/>
        </w:rPr>
      </w:pPr>
    </w:p>
    <w:p w14:paraId="43C50F9D" w14:textId="77777777" w:rsidR="005F2AC9" w:rsidRDefault="00B56839">
      <w:pPr>
        <w:pStyle w:val="NoSpacing"/>
        <w:jc w:val="both"/>
        <w:rPr>
          <w:rFonts w:ascii="Times New Roman" w:hAnsi="Times New Roman" w:cs="Times New Roman"/>
          <w:b/>
          <w:bCs/>
          <w:color w:val="000000" w:themeColor="text1"/>
          <w:sz w:val="24"/>
          <w:szCs w:val="24"/>
          <w:u w:val="single"/>
          <w:lang w:val="sq-AL"/>
        </w:rPr>
      </w:pPr>
      <w:bookmarkStart w:id="37" w:name="_Toc150809632"/>
      <w:r>
        <w:rPr>
          <w:rFonts w:ascii="Times New Roman" w:hAnsi="Times New Roman" w:cs="Times New Roman"/>
          <w:b/>
          <w:bCs/>
          <w:color w:val="000000" w:themeColor="text1"/>
          <w:sz w:val="24"/>
          <w:szCs w:val="24"/>
          <w:u w:val="single"/>
          <w:lang w:val="sq-AL"/>
        </w:rPr>
        <w:t>B.1.2 Të përmirësohet mbulimi gjeografik, diversifikimi dhe aksesueshmëria, dixhitalizimi dhe ndjeshmëria gjinore e shërbimeve të kujdesit social.</w:t>
      </w:r>
      <w:bookmarkEnd w:id="37"/>
    </w:p>
    <w:p w14:paraId="79F4CFC0" w14:textId="77777777" w:rsidR="005F2AC9" w:rsidRDefault="005F2AC9">
      <w:pPr>
        <w:pStyle w:val="NoSpacing"/>
        <w:jc w:val="both"/>
        <w:rPr>
          <w:rFonts w:ascii="Times New Roman" w:hAnsi="Times New Roman" w:cs="Times New Roman"/>
          <w:b/>
          <w:bCs/>
          <w:iCs/>
          <w:color w:val="000000" w:themeColor="text1"/>
          <w:sz w:val="24"/>
          <w:szCs w:val="24"/>
          <w:lang w:val="pt-BR"/>
        </w:rPr>
      </w:pPr>
    </w:p>
    <w:p w14:paraId="1A7A87D7" w14:textId="7EAFD34A" w:rsidR="005F2AC9" w:rsidRDefault="00B56839">
      <w:pPr>
        <w:pStyle w:val="NormalWeb"/>
        <w:spacing w:before="0" w:beforeAutospacing="0" w:after="0" w:afterAutospacing="0"/>
        <w:rPr>
          <w:b/>
          <w:bCs/>
          <w:color w:val="000000" w:themeColor="text1"/>
          <w:lang w:val="sq-AL"/>
        </w:rPr>
      </w:pPr>
      <w:r>
        <w:rPr>
          <w:b/>
          <w:bCs/>
          <w:color w:val="000000" w:themeColor="text1"/>
          <w:lang w:val="sq-AL"/>
        </w:rPr>
        <w:t xml:space="preserve">Aktivitetet prioritare për periudhën e raportimit: </w:t>
      </w:r>
    </w:p>
    <w:p w14:paraId="69BA03B1" w14:textId="77777777" w:rsidR="005F2AC9" w:rsidRDefault="00B56839">
      <w:pPr>
        <w:pStyle w:val="NormalWeb"/>
        <w:numPr>
          <w:ilvl w:val="0"/>
          <w:numId w:val="8"/>
        </w:numPr>
        <w:spacing w:before="280" w:after="0" w:line="276" w:lineRule="auto"/>
        <w:jc w:val="both"/>
        <w:rPr>
          <w:color w:val="000000" w:themeColor="text1"/>
          <w:lang w:val="sq-AL"/>
        </w:rPr>
      </w:pPr>
      <w:r>
        <w:rPr>
          <w:color w:val="000000" w:themeColor="text1"/>
          <w:lang w:val="sq-AL"/>
        </w:rPr>
        <w:t xml:space="preserve">Trajnimi i përdoruesve për popullimin dhe mirëfunksionimin e hartës dixhitale; </w:t>
      </w:r>
    </w:p>
    <w:p w14:paraId="202C8D2C" w14:textId="77777777" w:rsidR="005F2AC9" w:rsidRDefault="00B56839">
      <w:pPr>
        <w:pStyle w:val="NormalWeb"/>
        <w:numPr>
          <w:ilvl w:val="0"/>
          <w:numId w:val="8"/>
        </w:numPr>
        <w:spacing w:before="0" w:after="0" w:line="276" w:lineRule="auto"/>
        <w:jc w:val="both"/>
        <w:rPr>
          <w:color w:val="000000" w:themeColor="text1"/>
          <w:lang w:val="sq-AL"/>
        </w:rPr>
      </w:pPr>
      <w:r>
        <w:rPr>
          <w:color w:val="000000" w:themeColor="text1"/>
          <w:lang w:val="sq-AL"/>
        </w:rPr>
        <w:t xml:space="preserve">Trajnim i vazhduar i personelit/përdoruesve për popullimin dhe mirëfunksionimin e regjistrit elektronik të shërbimeve të kujdesit social; </w:t>
      </w:r>
    </w:p>
    <w:p w14:paraId="68308BBA" w14:textId="77777777" w:rsidR="005F2AC9" w:rsidRDefault="00B56839">
      <w:pPr>
        <w:pStyle w:val="NormalWeb"/>
        <w:numPr>
          <w:ilvl w:val="0"/>
          <w:numId w:val="8"/>
        </w:numPr>
        <w:spacing w:before="0" w:after="0" w:line="276" w:lineRule="auto"/>
        <w:jc w:val="both"/>
        <w:rPr>
          <w:color w:val="000000" w:themeColor="text1"/>
          <w:lang w:val="sq-AL"/>
        </w:rPr>
      </w:pPr>
      <w:r>
        <w:rPr>
          <w:color w:val="000000" w:themeColor="text1"/>
          <w:lang w:val="sq-AL"/>
        </w:rPr>
        <w:t xml:space="preserve">Monitorimi i rregullt i hedhjes dhe përdorimit të të dhënave të ndara sipas përkatësisë gjinore; Zhvillimi i një sistemi të unifikuar të manaxhimit dhe analizës periodike të të dhënave për të gjurmuar ndikimin dhe rezultatet e shërbimeve të integruara të kujdesit social; </w:t>
      </w:r>
    </w:p>
    <w:p w14:paraId="296D47FF" w14:textId="77777777" w:rsidR="005F2AC9" w:rsidRDefault="00B56839">
      <w:pPr>
        <w:pStyle w:val="NormalWeb"/>
        <w:numPr>
          <w:ilvl w:val="0"/>
          <w:numId w:val="8"/>
        </w:numPr>
        <w:spacing w:before="0" w:after="0" w:line="276" w:lineRule="auto"/>
        <w:jc w:val="both"/>
        <w:rPr>
          <w:color w:val="000000" w:themeColor="text1"/>
          <w:lang w:val="sq-AL"/>
        </w:rPr>
      </w:pPr>
      <w:r>
        <w:rPr>
          <w:color w:val="000000" w:themeColor="text1"/>
          <w:lang w:val="sq-AL"/>
        </w:rPr>
        <w:t xml:space="preserve">Ngritja dhe funksionimi i Njësive të Vlerësimit dhe Referimit të Nevojave në nivel NJA dhe me personel të dedikuar në zbatim të legjislacionit; </w:t>
      </w:r>
    </w:p>
    <w:p w14:paraId="606FCAEA" w14:textId="77777777" w:rsidR="005F2AC9" w:rsidRDefault="00B56839">
      <w:pPr>
        <w:pStyle w:val="NormalWeb"/>
        <w:numPr>
          <w:ilvl w:val="0"/>
          <w:numId w:val="8"/>
        </w:numPr>
        <w:spacing w:before="0" w:after="0" w:line="276" w:lineRule="auto"/>
        <w:jc w:val="both"/>
        <w:rPr>
          <w:color w:val="000000" w:themeColor="text1"/>
          <w:lang w:val="sq-AL"/>
        </w:rPr>
      </w:pPr>
      <w:r>
        <w:rPr>
          <w:color w:val="000000" w:themeColor="text1"/>
          <w:lang w:val="sq-AL"/>
        </w:rPr>
        <w:t>Rishikimi i manualit/ udhëzuesit dhe trajnimi i vazhdueshëm i personelit të NJVRN lidhur me manaxhimin e rasteve dhe bashkëpunimin ndërsektorial;</w:t>
      </w:r>
    </w:p>
    <w:p w14:paraId="3BC86593" w14:textId="77777777" w:rsidR="005F2AC9" w:rsidRDefault="00B56839">
      <w:pPr>
        <w:pStyle w:val="NormalWeb"/>
        <w:numPr>
          <w:ilvl w:val="0"/>
          <w:numId w:val="8"/>
        </w:numPr>
        <w:spacing w:before="0" w:after="0" w:line="276" w:lineRule="auto"/>
        <w:jc w:val="both"/>
        <w:rPr>
          <w:color w:val="000000" w:themeColor="text1"/>
          <w:lang w:val="sq-AL"/>
        </w:rPr>
      </w:pPr>
      <w:r>
        <w:rPr>
          <w:color w:val="000000" w:themeColor="text1"/>
          <w:lang w:val="sq-AL"/>
        </w:rPr>
        <w:t xml:space="preserve">Zhvillimi i modeleve të reja të shërbimeve sociale, të integruara dhe të aksesueshme, në përgjigje të planeve lokale sociale dhe dinamikave në vulnerabilitete, në përputhje me gjetjet e analizave dhe analizës vjetore të planeve lokale sociale dhe duke përdorur qasjen gjinore; Promovimi i këtyre modeleve të shërbimeve; Nxitja e partneritetit me organizatat e shoqërisë civile; </w:t>
      </w:r>
    </w:p>
    <w:p w14:paraId="6080982B" w14:textId="706B232C" w:rsidR="005F2AC9" w:rsidRPr="00497703" w:rsidRDefault="00B56839" w:rsidP="00497703">
      <w:pPr>
        <w:pStyle w:val="NormalWeb"/>
        <w:numPr>
          <w:ilvl w:val="0"/>
          <w:numId w:val="8"/>
        </w:numPr>
        <w:spacing w:before="0" w:after="280" w:line="276" w:lineRule="auto"/>
        <w:jc w:val="both"/>
        <w:rPr>
          <w:color w:val="000000" w:themeColor="text1"/>
          <w:lang w:val="sq-AL"/>
        </w:rPr>
      </w:pPr>
      <w:r>
        <w:rPr>
          <w:color w:val="000000" w:themeColor="text1"/>
          <w:lang w:val="sq-AL"/>
        </w:rPr>
        <w:t xml:space="preserve">Fushata të rregullta e të targetuara ndërgjegjësimi dhe komunikimi për shërbimet e kujdesit social dhe të drejtën e përfituesve për t’i përdorur ato; </w:t>
      </w:r>
    </w:p>
    <w:p w14:paraId="405AA6C0" w14:textId="77777777" w:rsidR="005F2AC9" w:rsidRDefault="00B56839">
      <w:pPr>
        <w:spacing w:after="0"/>
        <w:jc w:val="both"/>
        <w:rPr>
          <w:rFonts w:ascii="Times New Roman" w:eastAsia="Times New Roman" w:hAnsi="Times New Roman" w:cs="Times New Roman"/>
          <w:b/>
          <w:bCs/>
          <w:color w:val="000000" w:themeColor="text1"/>
          <w:sz w:val="24"/>
          <w:szCs w:val="24"/>
          <w:lang w:val="pt-BR"/>
        </w:rPr>
      </w:pPr>
      <w:r>
        <w:rPr>
          <w:rFonts w:ascii="Times New Roman" w:eastAsia="Times New Roman" w:hAnsi="Times New Roman" w:cs="Times New Roman"/>
          <w:b/>
          <w:bCs/>
          <w:color w:val="000000" w:themeColor="text1"/>
          <w:sz w:val="24"/>
          <w:szCs w:val="24"/>
          <w:lang w:val="it-IT"/>
        </w:rPr>
        <w:t>Tabela:</w:t>
      </w:r>
      <w:r>
        <w:rPr>
          <w:rFonts w:eastAsia="Garamond" w:cs="Garamond"/>
          <w:b/>
          <w:bCs/>
          <w:color w:val="000000" w:themeColor="text1"/>
          <w:lang w:val="it-IT"/>
        </w:rPr>
        <w:t xml:space="preserve"> </w:t>
      </w:r>
      <w:r>
        <w:rPr>
          <w:rFonts w:ascii="Times New Roman" w:eastAsia="Times New Roman" w:hAnsi="Times New Roman" w:cs="Times New Roman"/>
          <w:b/>
          <w:bCs/>
          <w:color w:val="000000" w:themeColor="text1"/>
          <w:sz w:val="24"/>
          <w:szCs w:val="24"/>
          <w:lang w:val="pt-BR"/>
        </w:rPr>
        <w:t>Indikatorët e Pasaportës për Objektivin specifik B.1.2</w:t>
      </w:r>
    </w:p>
    <w:p w14:paraId="70BBFAA0" w14:textId="77777777" w:rsidR="005F2AC9" w:rsidRDefault="005F2AC9">
      <w:pPr>
        <w:spacing w:after="0"/>
        <w:jc w:val="both"/>
        <w:rPr>
          <w:rFonts w:ascii="Times New Roman" w:hAnsi="Times New Roman"/>
          <w:b/>
          <w:bCs/>
          <w:color w:val="000000" w:themeColor="text1"/>
          <w:sz w:val="24"/>
          <w:szCs w:val="24"/>
          <w:lang w:val="it-IT"/>
        </w:rPr>
      </w:pPr>
    </w:p>
    <w:tbl>
      <w:tblPr>
        <w:tblStyle w:val="TableGrid"/>
        <w:tblW w:w="9034" w:type="dxa"/>
        <w:tblLayout w:type="fixed"/>
        <w:tblLook w:val="04A0" w:firstRow="1" w:lastRow="0" w:firstColumn="1" w:lastColumn="0" w:noHBand="0" w:noVBand="1"/>
      </w:tblPr>
      <w:tblGrid>
        <w:gridCol w:w="1111"/>
        <w:gridCol w:w="1679"/>
        <w:gridCol w:w="2221"/>
        <w:gridCol w:w="840"/>
        <w:gridCol w:w="750"/>
        <w:gridCol w:w="765"/>
        <w:gridCol w:w="1668"/>
      </w:tblGrid>
      <w:tr w:rsidR="005F2AC9" w14:paraId="72CB6BA8" w14:textId="77777777">
        <w:trPr>
          <w:trHeight w:val="300"/>
        </w:trPr>
        <w:tc>
          <w:tcPr>
            <w:tcW w:w="1110" w:type="dxa"/>
            <w:tcBorders>
              <w:top w:val="single" w:sz="8" w:space="0" w:color="000000"/>
              <w:left w:val="single" w:sz="8" w:space="0" w:color="000000"/>
              <w:bottom w:val="single" w:sz="8" w:space="0" w:color="000000"/>
              <w:right w:val="single" w:sz="8" w:space="0" w:color="000000"/>
            </w:tcBorders>
            <w:vAlign w:val="center"/>
          </w:tcPr>
          <w:p w14:paraId="768AB506" w14:textId="77777777" w:rsidR="005F2AC9" w:rsidRDefault="005F2AC9">
            <w:pPr>
              <w:spacing w:before="0" w:after="0" w:line="240" w:lineRule="auto"/>
              <w:rPr>
                <w:rFonts w:ascii="Times New Roman" w:eastAsia="Times New Roman" w:hAnsi="Times New Roman" w:cs="Times New Roman"/>
                <w:color w:val="000000" w:themeColor="text1"/>
                <w:lang w:val="it-IT"/>
              </w:rPr>
            </w:pPr>
          </w:p>
        </w:tc>
        <w:tc>
          <w:tcPr>
            <w:tcW w:w="1679" w:type="dxa"/>
            <w:tcBorders>
              <w:top w:val="single" w:sz="8" w:space="0" w:color="000000"/>
              <w:left w:val="single" w:sz="8" w:space="0" w:color="000000"/>
              <w:bottom w:val="single" w:sz="8" w:space="0" w:color="000000"/>
              <w:right w:val="single" w:sz="8" w:space="0" w:color="000000"/>
            </w:tcBorders>
          </w:tcPr>
          <w:p w14:paraId="424F8C68"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B1.2. Përmirësimi i mbulimit gjeografik, diversifikimit, aksesueshmërisë, dixhitalizimit, ndjeshmërisë gjinore të shërbimeve të integruara të kujdesit social, në përputhje me nevojat.</w:t>
            </w:r>
          </w:p>
        </w:tc>
        <w:tc>
          <w:tcPr>
            <w:tcW w:w="2221" w:type="dxa"/>
            <w:tcBorders>
              <w:top w:val="single" w:sz="8" w:space="0" w:color="000000"/>
              <w:left w:val="single" w:sz="8" w:space="0" w:color="000000"/>
              <w:bottom w:val="single" w:sz="8" w:space="0" w:color="000000"/>
              <w:right w:val="single" w:sz="8" w:space="0" w:color="000000"/>
            </w:tcBorders>
          </w:tcPr>
          <w:p w14:paraId="00CA5AE9"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CH"/>
              </w:rPr>
              <w:t xml:space="preserve">Numri i bashkive që përdorin rregjistrin elektronik të Shërbimeve Sociale </w:t>
            </w:r>
          </w:p>
          <w:p w14:paraId="6E0E4A0C"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CH"/>
              </w:rPr>
              <w:t xml:space="preserve"> </w:t>
            </w:r>
          </w:p>
          <w:p w14:paraId="353BB169"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CH"/>
              </w:rPr>
              <w:t xml:space="preserve"> </w:t>
            </w:r>
          </w:p>
          <w:p w14:paraId="4E11E2AF"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CH"/>
              </w:rPr>
              <w:t xml:space="preserve"> </w:t>
            </w:r>
          </w:p>
          <w:p w14:paraId="1F322FBD"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CH"/>
              </w:rPr>
              <w:t xml:space="preserve"> </w:t>
            </w:r>
          </w:p>
          <w:p w14:paraId="635E292B"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CH"/>
              </w:rPr>
              <w:t xml:space="preserve">Numri i bashkive ku operojnë Njësitë e Vlerësimit dhe Referimit të Rasteve </w:t>
            </w:r>
          </w:p>
        </w:tc>
        <w:tc>
          <w:tcPr>
            <w:tcW w:w="840" w:type="dxa"/>
            <w:tcBorders>
              <w:top w:val="single" w:sz="8" w:space="0" w:color="000000"/>
              <w:left w:val="single" w:sz="8" w:space="0" w:color="000000"/>
              <w:bottom w:val="single" w:sz="8" w:space="0" w:color="000000"/>
              <w:right w:val="single" w:sz="8" w:space="0" w:color="000000"/>
            </w:tcBorders>
          </w:tcPr>
          <w:p w14:paraId="2E5E49B6"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20 bashki (viti 2023)</w:t>
            </w:r>
          </w:p>
          <w:p w14:paraId="723EA4F4"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684B1CAC"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2497F264"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743A9C20"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07846181"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6 bashki (viti 2021)</w:t>
            </w:r>
          </w:p>
        </w:tc>
        <w:tc>
          <w:tcPr>
            <w:tcW w:w="750" w:type="dxa"/>
            <w:tcBorders>
              <w:top w:val="single" w:sz="8" w:space="0" w:color="000000"/>
              <w:left w:val="single" w:sz="8" w:space="0" w:color="000000"/>
              <w:bottom w:val="single" w:sz="8" w:space="0" w:color="000000"/>
              <w:right w:val="single" w:sz="8" w:space="0" w:color="000000"/>
            </w:tcBorders>
          </w:tcPr>
          <w:p w14:paraId="7C9D384C" w14:textId="77777777" w:rsidR="005F2AC9" w:rsidRDefault="00B56839">
            <w:pPr>
              <w:spacing w:before="0" w:after="0" w:line="240" w:lineRule="auto"/>
              <w:rPr>
                <w:rFonts w:ascii="Times New Roman" w:eastAsia="Times New Roman" w:hAnsi="Times New Roman" w:cs="Times New Roman"/>
                <w:color w:val="000000" w:themeColor="text1"/>
                <w:lang w:val="it-IT"/>
              </w:rPr>
            </w:pPr>
            <w:r>
              <w:rPr>
                <w:rFonts w:ascii="Times New Roman" w:eastAsia="Times New Roman" w:hAnsi="Times New Roman" w:cs="Times New Roman"/>
                <w:color w:val="000000" w:themeColor="text1"/>
                <w:lang w:val="it-IT"/>
              </w:rPr>
              <w:t>45 bashki</w:t>
            </w:r>
          </w:p>
          <w:p w14:paraId="3685C2C8"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448E4035"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20420B05"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20AD8986"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3C8190D4"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519DE2DE"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31152DEC" w14:textId="77777777" w:rsidR="005F2AC9" w:rsidRDefault="00B56839">
            <w:pPr>
              <w:spacing w:before="0" w:after="0" w:line="240" w:lineRule="auto"/>
              <w:rPr>
                <w:rFonts w:ascii="Times New Roman" w:eastAsia="Times New Roman" w:hAnsi="Times New Roman" w:cs="Times New Roman"/>
                <w:color w:val="000000" w:themeColor="text1"/>
                <w:lang w:val="it-IT"/>
              </w:rPr>
            </w:pPr>
            <w:r>
              <w:rPr>
                <w:rFonts w:ascii="Times New Roman" w:eastAsia="Times New Roman" w:hAnsi="Times New Roman" w:cs="Times New Roman"/>
                <w:color w:val="000000" w:themeColor="text1"/>
                <w:lang w:val="it-IT"/>
              </w:rPr>
              <w:t>15</w:t>
            </w:r>
          </w:p>
          <w:p w14:paraId="148F9752"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63ACDD6F"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79B7D173"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1BEB18B9"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25203312"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5F54066A"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tc>
        <w:tc>
          <w:tcPr>
            <w:tcW w:w="765" w:type="dxa"/>
            <w:tcBorders>
              <w:top w:val="single" w:sz="8" w:space="0" w:color="000000"/>
              <w:left w:val="single" w:sz="8" w:space="0" w:color="000000"/>
              <w:bottom w:val="single" w:sz="8" w:space="0" w:color="000000"/>
              <w:right w:val="single" w:sz="8" w:space="0" w:color="000000"/>
            </w:tcBorders>
          </w:tcPr>
          <w:p w14:paraId="3586F849" w14:textId="77777777" w:rsidR="005F2AC9" w:rsidRDefault="00B56839">
            <w:pPr>
              <w:spacing w:before="0" w:after="0" w:line="240" w:lineRule="auto"/>
              <w:rPr>
                <w:rFonts w:ascii="Times New Roman" w:eastAsia="Times New Roman" w:hAnsi="Times New Roman" w:cs="Times New Roman"/>
                <w:color w:val="000000" w:themeColor="text1"/>
                <w:lang w:val="it-IT"/>
              </w:rPr>
            </w:pPr>
            <w:r>
              <w:rPr>
                <w:rFonts w:ascii="Times New Roman" w:eastAsia="Times New Roman" w:hAnsi="Times New Roman" w:cs="Times New Roman"/>
                <w:color w:val="000000" w:themeColor="text1"/>
                <w:lang w:val="it-IT"/>
              </w:rPr>
              <w:t>61 bashki</w:t>
            </w:r>
          </w:p>
          <w:p w14:paraId="15EFD1F4"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2C56316B"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01B29D0F"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3C3FEAFE"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7B26E1FF" w14:textId="77777777" w:rsidR="005F2AC9" w:rsidRDefault="00B56839">
            <w:pPr>
              <w:spacing w:before="0" w:after="0" w:line="240" w:lineRule="auto"/>
              <w:rPr>
                <w:rFonts w:ascii="Times New Roman" w:eastAsia="Times New Roman" w:hAnsi="Times New Roman" w:cs="Times New Roman"/>
                <w:color w:val="000000" w:themeColor="text1"/>
                <w:lang w:val="it-IT"/>
              </w:rPr>
            </w:pPr>
            <w:r>
              <w:rPr>
                <w:rFonts w:ascii="Times New Roman" w:eastAsia="Times New Roman" w:hAnsi="Times New Roman" w:cs="Times New Roman"/>
                <w:color w:val="000000" w:themeColor="text1"/>
                <w:lang w:val="it-IT"/>
              </w:rPr>
              <w:t xml:space="preserve"> </w:t>
            </w:r>
          </w:p>
          <w:p w14:paraId="68588A9A" w14:textId="77777777" w:rsidR="004860B6" w:rsidRDefault="004860B6">
            <w:pPr>
              <w:spacing w:before="0" w:after="0" w:line="240" w:lineRule="auto"/>
              <w:rPr>
                <w:color w:val="000000" w:themeColor="text1"/>
              </w:rPr>
            </w:pPr>
          </w:p>
          <w:p w14:paraId="1DB8EEAC" w14:textId="77777777" w:rsidR="005F2AC9" w:rsidRDefault="00B56839">
            <w:pPr>
              <w:spacing w:before="0" w:after="0" w:line="240" w:lineRule="auto"/>
              <w:rPr>
                <w:rFonts w:ascii="Times New Roman" w:eastAsia="Times New Roman" w:hAnsi="Times New Roman" w:cs="Times New Roman"/>
                <w:color w:val="000000" w:themeColor="text1"/>
                <w:lang w:val="it-IT"/>
              </w:rPr>
            </w:pPr>
            <w:r>
              <w:rPr>
                <w:rFonts w:ascii="Times New Roman" w:eastAsia="Times New Roman" w:hAnsi="Times New Roman" w:cs="Times New Roman"/>
                <w:color w:val="000000" w:themeColor="text1"/>
                <w:lang w:val="it-IT"/>
              </w:rPr>
              <w:t>35</w:t>
            </w:r>
          </w:p>
        </w:tc>
        <w:tc>
          <w:tcPr>
            <w:tcW w:w="1668" w:type="dxa"/>
            <w:tcBorders>
              <w:top w:val="single" w:sz="8" w:space="0" w:color="000000"/>
              <w:left w:val="single" w:sz="8" w:space="0" w:color="000000"/>
              <w:bottom w:val="single" w:sz="8" w:space="0" w:color="000000"/>
              <w:right w:val="single" w:sz="8" w:space="0" w:color="000000"/>
            </w:tcBorders>
          </w:tcPr>
          <w:p w14:paraId="5AA8F9D9" w14:textId="77777777" w:rsidR="005F2AC9" w:rsidRDefault="005F2AC9">
            <w:pPr>
              <w:spacing w:before="0" w:after="0" w:line="240" w:lineRule="auto"/>
              <w:rPr>
                <w:rFonts w:ascii="Times New Roman" w:eastAsia="Times New Roman" w:hAnsi="Times New Roman" w:cs="Times New Roman"/>
                <w:color w:val="000000" w:themeColor="text1"/>
                <w:lang w:val="it-CH"/>
              </w:rPr>
            </w:pPr>
          </w:p>
          <w:p w14:paraId="1F85F0F8" w14:textId="77777777" w:rsidR="005F2AC9" w:rsidRDefault="005F2AC9">
            <w:pPr>
              <w:spacing w:before="0" w:after="0" w:line="240" w:lineRule="auto"/>
              <w:rPr>
                <w:rFonts w:ascii="Times New Roman" w:eastAsia="Times New Roman" w:hAnsi="Times New Roman" w:cs="Times New Roman"/>
                <w:color w:val="000000" w:themeColor="text1"/>
                <w:lang w:val="it-CH"/>
              </w:rPr>
            </w:pPr>
          </w:p>
          <w:p w14:paraId="707A2C96" w14:textId="77777777" w:rsidR="005F2AC9" w:rsidRDefault="005F2AC9">
            <w:pPr>
              <w:spacing w:before="0" w:after="0" w:line="240" w:lineRule="auto"/>
              <w:rPr>
                <w:rFonts w:ascii="Times New Roman" w:eastAsia="Times New Roman" w:hAnsi="Times New Roman" w:cs="Times New Roman"/>
                <w:color w:val="000000" w:themeColor="text1"/>
                <w:lang w:val="it-CH"/>
              </w:rPr>
            </w:pPr>
          </w:p>
          <w:p w14:paraId="1A0D762C"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CH"/>
              </w:rPr>
              <w:t>SHSSH/ të dhëna administrative/ raporti i monitorimit te strategjise se MS</w:t>
            </w:r>
          </w:p>
          <w:p w14:paraId="117B3D3F"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CH"/>
              </w:rPr>
              <w:t xml:space="preserve"> </w:t>
            </w:r>
          </w:p>
          <w:p w14:paraId="3FE94366" w14:textId="77777777" w:rsidR="005F2AC9" w:rsidRDefault="005F2AC9">
            <w:pPr>
              <w:spacing w:before="0" w:after="0" w:line="240" w:lineRule="auto"/>
              <w:rPr>
                <w:rFonts w:ascii="Times New Roman" w:eastAsia="Times New Roman" w:hAnsi="Times New Roman" w:cs="Times New Roman"/>
                <w:color w:val="000000" w:themeColor="text1"/>
                <w:lang w:val="it-CH"/>
              </w:rPr>
            </w:pPr>
          </w:p>
        </w:tc>
      </w:tr>
    </w:tbl>
    <w:p w14:paraId="59313749" w14:textId="77777777" w:rsidR="00497703" w:rsidRDefault="00497703">
      <w:pPr>
        <w:spacing w:after="0"/>
        <w:jc w:val="both"/>
        <w:rPr>
          <w:rFonts w:ascii="Times New Roman" w:hAnsi="Times New Roman"/>
          <w:b/>
          <w:bCs/>
          <w:color w:val="000000" w:themeColor="text1"/>
          <w:sz w:val="24"/>
          <w:szCs w:val="24"/>
          <w:lang w:val="it-IT"/>
        </w:rPr>
      </w:pPr>
    </w:p>
    <w:p w14:paraId="5022BF5D" w14:textId="77777777" w:rsidR="00497703" w:rsidRDefault="00497703">
      <w:pPr>
        <w:spacing w:after="0"/>
        <w:jc w:val="both"/>
        <w:rPr>
          <w:rFonts w:ascii="Times New Roman" w:hAnsi="Times New Roman"/>
          <w:b/>
          <w:bCs/>
          <w:color w:val="000000" w:themeColor="text1"/>
          <w:sz w:val="24"/>
          <w:szCs w:val="24"/>
          <w:lang w:val="it-IT"/>
        </w:rPr>
      </w:pPr>
    </w:p>
    <w:p w14:paraId="432DBB73" w14:textId="77777777" w:rsidR="005F2AC9" w:rsidRDefault="00B56839">
      <w:pPr>
        <w:spacing w:after="0"/>
        <w:jc w:val="both"/>
        <w:rPr>
          <w:rFonts w:ascii="Times New Roman" w:hAnsi="Times New Roman"/>
          <w:b/>
          <w:bCs/>
          <w:color w:val="000000" w:themeColor="text1"/>
          <w:sz w:val="24"/>
          <w:szCs w:val="24"/>
          <w:lang w:val="it-IT"/>
        </w:rPr>
      </w:pPr>
      <w:r>
        <w:rPr>
          <w:rFonts w:ascii="Times New Roman" w:hAnsi="Times New Roman"/>
          <w:b/>
          <w:bCs/>
          <w:color w:val="000000" w:themeColor="text1"/>
          <w:sz w:val="24"/>
          <w:szCs w:val="24"/>
          <w:lang w:val="it-IT"/>
        </w:rPr>
        <w:t>Përshkrimi i objektivit dhe rezultatet e monitorimit</w:t>
      </w:r>
    </w:p>
    <w:p w14:paraId="4C7CFE8C" w14:textId="77777777" w:rsidR="005F2AC9" w:rsidRDefault="00B56839">
      <w:pPr>
        <w:spacing w:beforeAutospacing="1" w:afterAutospacing="1"/>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ë kuadër të reformës për forcimin e sistemeve të raportimit dhe monitorimit, Regjistri Elektronik i Shërbimeve Sociale (MIS-SHKSH) ka filluar të përdoret gjerësisht nga bashkitë dhe institucionet e kujdesit shoqëror, duke mundësuar për herë të parë gjenerimin automatik të të dhënave mbi menaxhimin e rasteve dhe ofrimin e shërbimeve. Ky sistem është një instrument kyç për rritjen e transparencës, përmirësimin e planifikimit dhe lehtësimin e raportimit periodik në nivel vendor dhe qendror.</w:t>
      </w:r>
    </w:p>
    <w:p w14:paraId="723E2902" w14:textId="77777777" w:rsidR="005F2AC9" w:rsidRDefault="00B56839">
      <w:pPr>
        <w:spacing w:beforeAutospacing="1" w:afterAutospacing="1"/>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Të dhënat e vitit 2025 tregojnë se se sistemi po popullohet (1,567 raste të regjistruara), nga të cilat 159 kanë përshkruar të gjithë ëorkfloë-n, duke treguar se, përveç rritjes së aksesit, nevojitet forcimi i zbatimit të plotë të hapave të sistemit.</w:t>
      </w:r>
    </w:p>
    <w:p w14:paraId="55B81DFF" w14:textId="77777777" w:rsidR="005F2AC9" w:rsidRDefault="00B56839">
      <w:pPr>
        <w:spacing w:beforeAutospacing="1" w:afterAutospacing="1"/>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Janë evidentuar përmirësime si rritja e njohjes së sistemit nga bashkitë, përfshirja e IPSH-ve me përdorues aktivë, përmirësime teknike në ëorkfloë dhe trajnimi i 253 përdoruesve, si dhe një shtysë pozitive nga monitorimi në kuadër të Fondit Social. Megjithatë, funksionimi i plotë i sistemit vijon të ndikohet nga problematika të përsëritura, përfshirë mungesën e mirëmbajtjes teknike, infrastrukturën e pamjaftueshme, monitorimin jo të rregullt, menaxhimin joefektiv të përdoruesve, kapacitetet e kufizuara të stafit dhe mungesën e ndërveprimit ndërmjet sistemeve, faktorë që së bashku kufizojnë përshkrimin e plotë të ëorkfloë-it dhe shfrytëzimin optimal të potencialit të SHKSH-së.</w:t>
      </w:r>
    </w:p>
    <w:p w14:paraId="1363AB9D" w14:textId="77777777" w:rsidR="005F2AC9" w:rsidRDefault="00B56839">
      <w:pPr>
        <w:spacing w:beforeAutospacing="1" w:afterAutospacing="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Megjithatë, janë shënuar edhe disa arritje të rëndësishme: të gjitha 61 bashkitë janë tashmë përdoruese aktive të sistemit; është përmirësuar rrjedha e punës në bazë të kërkesave të shërbimit social për menaxhimin e rasteve; institucionet e kujdesit shoqëror kanë filluar të popullojnë sistemin me të dhëna; dhe gjatë procesit të monitorimit të shërbimeve të mbështetura nga Fondi Social, të gjitha bashkitë janë nxitur të përdorin dhe të vijojnë përdorimin e sistemit MIS-SHKSH.</w:t>
      </w:r>
    </w:p>
    <w:p w14:paraId="71BB4FB1" w14:textId="77777777" w:rsidR="005F2AC9" w:rsidRDefault="00B56839">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Në fushën e burimeve njerëzore, është zhvilluar një analizë gjithëpërfshirëse e kapaciteteve njerëzore të angazhuara në ofrimin e shërbimeve sociale. Në Shqipëri aktualisht janë të punësuar 3,753 persona në sektorin e kujdesit social, ku 78% e tyre janë të angazhuar drejtpërdrejt në ofrimin e shërbimeve dhe 22% mbështesin funksionimin e sistemit në nivel vendor. Shumica e punonjësve (81%) janë femra. Nga 61 bashki, vetëm 29 kanë ngritur departamente të posaçme për shërbimet sociale, ndërsa pjesa tjetër funksionon përmes sektorëve socialë. </w:t>
      </w:r>
    </w:p>
    <w:p w14:paraId="39ED3934" w14:textId="77777777" w:rsidR="005F2AC9" w:rsidRDefault="00B56839">
      <w:pPr>
        <w:pStyle w:val="NormalWeb"/>
        <w:spacing w:before="280" w:after="280" w:line="276" w:lineRule="auto"/>
        <w:jc w:val="both"/>
        <w:rPr>
          <w:color w:val="000000" w:themeColor="text1"/>
          <w:lang w:val="en-US" w:eastAsia="en-US"/>
        </w:rPr>
      </w:pPr>
      <w:r>
        <w:rPr>
          <w:color w:val="000000" w:themeColor="text1"/>
          <w:lang w:val="en-US" w:eastAsia="en-US"/>
        </w:rPr>
        <w:t>Deri në fund të vitit 2025 janë ngritur dhe funksionojnë 66 Njësi të Vlerësimit të Nevojave dhe Referimit (NJVNR) në 15 bashki. Modeli i NJVNR-ve është konceptuar dhe zbatohet në nivel të njësisë administrative; për rrjedhojë, të gjitha NJVNR-të e raportuara operojnë në këtë nivel. Në rastin e bashkive me territor dhe popullsi më të vogël, një NJVNR mund të mbulojë më shumë se një njësi administrative, në varësi të nevojave dhe organizimit vendor.</w:t>
      </w:r>
    </w:p>
    <w:p w14:paraId="5CB85C20" w14:textId="69FE21B7" w:rsidR="005F2AC9" w:rsidRDefault="00B56839">
      <w:pPr>
        <w:pStyle w:val="NormalWeb"/>
        <w:spacing w:before="280" w:after="280" w:line="276" w:lineRule="auto"/>
        <w:jc w:val="both"/>
        <w:rPr>
          <w:color w:val="000000" w:themeColor="text1"/>
          <w:lang w:val="en-US" w:eastAsia="en-US"/>
        </w:rPr>
      </w:pPr>
      <w:r>
        <w:rPr>
          <w:color w:val="000000" w:themeColor="text1"/>
          <w:lang w:val="en-US" w:eastAsia="en-US"/>
        </w:rPr>
        <w:t xml:space="preserve">Në drejtim të përmirësimit të kuadrit rregullator, Ministria e Shëndetësisë dhe </w:t>
      </w:r>
      <w:r w:rsidR="00BA4B59" w:rsidRPr="00BA4B59">
        <w:rPr>
          <w:color w:val="000000" w:themeColor="text1"/>
          <w:lang w:val="en-US" w:eastAsia="en-US"/>
        </w:rPr>
        <w:t>Mirëqenies</w:t>
      </w:r>
      <w:r>
        <w:rPr>
          <w:color w:val="000000" w:themeColor="text1"/>
          <w:lang w:val="en-US" w:eastAsia="en-US"/>
        </w:rPr>
        <w:t xml:space="preserve"> Sociale, me mbështetjen e UNICEF-it, ka hartuar Udhërrëfyesin për ngritjen dhe organizimin e NJVNR-ve, i cili parashikon përshkrime të detajuara të detyrave, udhëzime ndërsektoriale dhe modele bashkëpunimi, organizimin e menaxhimit të integruar të rastit, aspektet ligjore të funksionimit, si dhe elementë të licencimit dhe monitorimit. </w:t>
      </w:r>
    </w:p>
    <w:p w14:paraId="27B32878" w14:textId="77777777" w:rsidR="005F2AC9" w:rsidRDefault="00B56839">
      <w:pPr>
        <w:pStyle w:val="NormalWeb"/>
        <w:spacing w:before="280" w:after="280" w:line="276" w:lineRule="auto"/>
        <w:jc w:val="both"/>
        <w:rPr>
          <w:color w:val="000000" w:themeColor="text1"/>
          <w:lang w:val="en-US" w:eastAsia="en-US"/>
        </w:rPr>
      </w:pPr>
      <w:r>
        <w:rPr>
          <w:color w:val="000000" w:themeColor="text1"/>
          <w:lang w:val="en-US" w:eastAsia="en-US"/>
        </w:rPr>
        <w:t>Sa i takon procesit të konsultimit dhe sigurimit të angazhimit vendor, nga viti 2019 e në vijim janë zhvilluar konsultime në të 61 bashkitë e vendit. Në kuadër të programit EU4SocialCare janë realizuar 15 sesione mentorimi për drejtorë dhe sektorë të shërbimeve sociale, me rreth 150 pjesëmarrës (drejtorë, përgjegjës sektorësh dhe staf teknik), të fokusuara në rolin dhe funksionet e tyre në fushën e mbrojtjes dhe kujdesit social, si dhe në ngritjen dhe funksionimin e NJVNR-ve.</w:t>
      </w:r>
    </w:p>
    <w:p w14:paraId="1F244C34" w14:textId="77777777" w:rsidR="005F2AC9" w:rsidRDefault="00B56839">
      <w:pPr>
        <w:pStyle w:val="NormalWeb"/>
        <w:spacing w:before="280" w:after="280" w:line="276" w:lineRule="auto"/>
        <w:jc w:val="both"/>
        <w:rPr>
          <w:color w:val="000000" w:themeColor="text1"/>
          <w:lang w:val="en-US" w:eastAsia="en-US"/>
        </w:rPr>
      </w:pPr>
      <w:r>
        <w:rPr>
          <w:color w:val="000000" w:themeColor="text1"/>
          <w:lang w:val="en-US" w:eastAsia="en-US"/>
        </w:rPr>
        <w:t>Në zbatim të planit kombëtar të zhvillimit të kapaciteteve, të 61 bashkitë janë mbështetur përmes trajnimit në vendin e punës, mentorimit dhe udhëzimit teknik. Gjatë kësaj periudhe, 489 punonjës të bashkive, ofrues shërbimesh, drejtues të strukturave sociale dhe përfaqësues të organizatave partnere të shoqërisë civile kanë marrë pjesë në këto procese, duke forcuar njohuritë mbi mandatin, rolin dhe përgjegjësitë e NJVNR-ve, si dhe duke kontribuar me komente në hartimin e Udhërrëfyesit.</w:t>
      </w:r>
    </w:p>
    <w:p w14:paraId="4E8C1ABE" w14:textId="77777777" w:rsidR="005F2AC9" w:rsidRDefault="00B56839">
      <w:pPr>
        <w:pStyle w:val="NormalWeb"/>
        <w:spacing w:before="280" w:after="280" w:line="276" w:lineRule="auto"/>
        <w:jc w:val="both"/>
        <w:rPr>
          <w:color w:val="000000" w:themeColor="text1"/>
          <w:lang w:val="en-US" w:eastAsia="en-US"/>
        </w:rPr>
      </w:pPr>
      <w:r>
        <w:rPr>
          <w:color w:val="000000" w:themeColor="text1"/>
          <w:lang w:val="en-US" w:eastAsia="en-US"/>
        </w:rPr>
        <w:t>Për vitin 2026 parashikohet vijimi i procesit të shtrirjes së NJVNR-ve në bashkitë e mbetura, me asistencë teknike nga UNICEF, duke i dhënë prioritet atyre bashkive ku strukturat nuk janë ngritur ende formalisht ose ku kërkohet konsolidim i mëtejshëm. Një plan i detajuar për shtrirjen kombëtare është në përgatitje dhe pritet të finalizohet brenda shkurtit 2026, me synim mbulimin dhe funksionalizimin e plotë të NJVNR-ve në të gjitha bashkitë gjatë vitit 2026. Paralelisht, do të vijojë puna për forcimin e funksionalizimit të tyre në nivel njësie administrative, përmes qartësimit të roleve dhe përgjegjësive, forcimit të burimeve njerëzore dhe përmirësimit të koordinimit me strukturat e mbrojtjes së fëmijës dhe shërbime të tjera sociale, në përputhje me Ligjin nr. 121/2016.</w:t>
      </w:r>
    </w:p>
    <w:p w14:paraId="1ACEB822" w14:textId="4DB6E04C" w:rsidR="005F2AC9" w:rsidRPr="004860B6" w:rsidRDefault="00B56839">
      <w:pPr>
        <w:pStyle w:val="NormalWeb"/>
        <w:spacing w:before="280" w:after="280" w:line="276" w:lineRule="auto"/>
        <w:jc w:val="both"/>
        <w:rPr>
          <w:color w:val="000000" w:themeColor="text1"/>
          <w:lang w:val="en-US"/>
        </w:rPr>
      </w:pPr>
      <w:r>
        <w:rPr>
          <w:color w:val="000000" w:themeColor="text1"/>
          <w:lang w:val="en-US"/>
        </w:rPr>
        <w:t xml:space="preserve">Në kuadër të zbatimit të Strategjisë së Mbrojtjes Sociale 2024–2030, Ministria e Shëndetësisë dhe </w:t>
      </w:r>
      <w:r w:rsidR="00BA4B59" w:rsidRPr="00BA4B59">
        <w:rPr>
          <w:color w:val="000000" w:themeColor="text1"/>
          <w:lang w:val="en-US"/>
        </w:rPr>
        <w:t>Mirëqenies</w:t>
      </w:r>
      <w:r>
        <w:rPr>
          <w:color w:val="000000" w:themeColor="text1"/>
          <w:lang w:val="en-US"/>
        </w:rPr>
        <w:t xml:space="preserve"> Sociale ka intensifikuar përpjekjet për komunikim dhe rritje të dukshmërisë së shërbimeve sociale, me qëllim informimin dhe fuqizimin e përfituesve për të ushtruar të drejtën e tyre për akses në kujdesin social.</w:t>
      </w:r>
      <w:r w:rsidR="004860B6">
        <w:rPr>
          <w:color w:val="000000" w:themeColor="text1"/>
          <w:lang w:val="en-US"/>
        </w:rPr>
        <w:t xml:space="preserve"> </w:t>
      </w:r>
      <w:r>
        <w:rPr>
          <w:color w:val="000000" w:themeColor="text1"/>
          <w:lang w:val="it-IT"/>
        </w:rPr>
        <w:t>Janë zhvilluar fushata informuese dhe aktivitete ndërgjegjësuese për të rritur kuptueshmërinë mbi Fondin Social dhe mundësitë që ai ofron për njësitë vendore dhe grupet vulnerabël. Këto përpjekje janë konkretizuar permes një aktiviteti kombëtar në muajin Shkurt 2024 dhe tjetri në Shkurt 2025.</w:t>
      </w:r>
    </w:p>
    <w:p w14:paraId="077AC09B" w14:textId="77777777" w:rsidR="005F2AC9" w:rsidRDefault="00B56839">
      <w:pPr>
        <w:pStyle w:val="NormalWeb"/>
        <w:spacing w:before="280" w:after="280" w:line="276" w:lineRule="auto"/>
        <w:jc w:val="both"/>
        <w:rPr>
          <w:i/>
          <w:iCs/>
          <w:color w:val="000000" w:themeColor="text1"/>
          <w:lang w:val="sq-AL"/>
        </w:rPr>
      </w:pPr>
      <w:bookmarkStart w:id="38" w:name="_Toc156593610"/>
      <w:r>
        <w:rPr>
          <w:color w:val="000000" w:themeColor="text1"/>
        </w:rPr>
        <w:t xml:space="preserve">Përpjekjet e komunikimit të </w:t>
      </w:r>
      <w:r>
        <w:rPr>
          <w:rStyle w:val="whitespace-normal"/>
          <w:color w:val="000000" w:themeColor="text1"/>
        </w:rPr>
        <w:t>EU4SocialCare</w:t>
      </w:r>
      <w:r>
        <w:rPr>
          <w:color w:val="000000" w:themeColor="text1"/>
        </w:rPr>
        <w:t xml:space="preserve"> kontaktuan rreth 1.2 milionë persona përmes katër platformave dixhitale, duke siguruar një shtrirje të gjerë të informacionit mbi rezultatet dhe ndikimin konkret të shërbimeve sociale të mbështetura nga Bashkimi Evropian. Publikimi i historive me fokus njerëzor, veçanërisht në kuadër të ditëve ndërkombëtare të të drejtave të njeriut, kontribuoi në paraqitjen e efekteve të tyre në jetën e përfituesve. Këto përpjekje shërbyen gjithashtu si bazë për reflektim dhe orientim strategjik, duke ndihmuar në identifikimin e prioriteteve dhe për planifikimet e ardhshme të ndërhyrjeve në fushën e mbrojtjes sociale.</w:t>
      </w:r>
    </w:p>
    <w:p w14:paraId="35C45C9B" w14:textId="77777777" w:rsidR="005F2AC9" w:rsidRDefault="00B56839">
      <w:pPr>
        <w:pStyle w:val="NormalWeb"/>
        <w:spacing w:before="280" w:after="280" w:line="276" w:lineRule="auto"/>
        <w:jc w:val="both"/>
        <w:rPr>
          <w:i/>
          <w:iCs/>
          <w:color w:val="000000" w:themeColor="text1"/>
          <w:lang w:val="sq-AL"/>
        </w:rPr>
      </w:pPr>
      <w:r>
        <w:rPr>
          <w:b/>
          <w:bCs/>
          <w:color w:val="000000" w:themeColor="text1"/>
          <w:lang w:val="pt-BR"/>
        </w:rPr>
        <w:t xml:space="preserve">Objektivi Specifik B2: </w:t>
      </w:r>
      <w:r>
        <w:rPr>
          <w:color w:val="000000" w:themeColor="text1"/>
          <w:lang w:val="sq-AL"/>
        </w:rPr>
        <w:t xml:space="preserve"> </w:t>
      </w:r>
      <w:r>
        <w:rPr>
          <w:b/>
          <w:bCs/>
          <w:color w:val="000000" w:themeColor="text1"/>
          <w:lang w:val="sq-AL"/>
        </w:rPr>
        <w:t>Zbatimi i standardeve dhe forcimi i kapaciteteve njerëzore të personelit të shërbimeve të kujdesit social për shërbime, cilësore dhe të përgjegjshme gjinore.</w:t>
      </w:r>
      <w:bookmarkEnd w:id="38"/>
      <w:r>
        <w:rPr>
          <w:b/>
          <w:bCs/>
          <w:color w:val="000000" w:themeColor="text1"/>
          <w:lang w:val="sq-AL"/>
        </w:rPr>
        <w:t xml:space="preserve"> </w:t>
      </w:r>
    </w:p>
    <w:p w14:paraId="49216878" w14:textId="77777777" w:rsidR="005F2AC9" w:rsidRDefault="00B56839">
      <w:pPr>
        <w:pStyle w:val="NormalWeb"/>
        <w:spacing w:before="280" w:after="280"/>
        <w:rPr>
          <w:color w:val="000000" w:themeColor="text1"/>
          <w:lang w:val="sq-AL"/>
        </w:rPr>
      </w:pPr>
      <w:r>
        <w:rPr>
          <w:i/>
          <w:iCs/>
          <w:color w:val="000000" w:themeColor="text1"/>
          <w:u w:val="single"/>
          <w:lang w:val="sq-AL"/>
        </w:rPr>
        <w:t>Masat prioritare</w:t>
      </w:r>
      <w:r>
        <w:rPr>
          <w:color w:val="000000" w:themeColor="text1"/>
          <w:lang w:val="sq-AL"/>
        </w:rPr>
        <w:t>:</w:t>
      </w:r>
    </w:p>
    <w:p w14:paraId="21B1AC58" w14:textId="77777777" w:rsidR="005F2AC9" w:rsidRDefault="00B56839">
      <w:pPr>
        <w:pStyle w:val="NormalWeb"/>
        <w:spacing w:before="280" w:after="280" w:line="276" w:lineRule="auto"/>
        <w:rPr>
          <w:color w:val="000000" w:themeColor="text1"/>
          <w:u w:val="single"/>
          <w:lang w:val="sq-AL"/>
        </w:rPr>
      </w:pPr>
      <w:bookmarkStart w:id="39" w:name="_Toc150809633"/>
      <w:r>
        <w:rPr>
          <w:color w:val="000000" w:themeColor="text1"/>
          <w:u w:val="single"/>
          <w:lang w:val="sq-AL"/>
        </w:rPr>
        <w:t xml:space="preserve">B.2.1 </w:t>
      </w:r>
      <w:bookmarkStart w:id="40" w:name="_Hlk156580832"/>
      <w:r>
        <w:rPr>
          <w:color w:val="000000" w:themeColor="text1"/>
          <w:u w:val="single"/>
          <w:lang w:val="sq-AL"/>
        </w:rPr>
        <w:t>Përmirësimi i cilësisë së shërbimeve ekzistuese dhe të reja përmes zbatimit, monitorimit dhe inspektimit të standardeve si dhe të përgjegjshme nga pikëpamja gjinore.</w:t>
      </w:r>
      <w:bookmarkEnd w:id="39"/>
      <w:bookmarkEnd w:id="40"/>
    </w:p>
    <w:p w14:paraId="382D8343" w14:textId="77777777" w:rsidR="005F2AC9" w:rsidRDefault="00B56839">
      <w:pPr>
        <w:pStyle w:val="NormalWeb"/>
        <w:spacing w:before="280" w:after="280"/>
        <w:rPr>
          <w:color w:val="000000" w:themeColor="text1"/>
          <w:lang w:val="pt-BR"/>
        </w:rPr>
      </w:pPr>
      <w:r>
        <w:rPr>
          <w:b/>
          <w:bCs/>
          <w:color w:val="000000" w:themeColor="text1"/>
          <w:lang w:val="sq-AL"/>
        </w:rPr>
        <w:t>Aktivitetet prioritare për periudhën e raportimit</w:t>
      </w:r>
      <w:r>
        <w:rPr>
          <w:color w:val="000000" w:themeColor="text1"/>
          <w:lang w:val="sq-AL"/>
        </w:rPr>
        <w:t>:</w:t>
      </w:r>
    </w:p>
    <w:p w14:paraId="45116C45" w14:textId="77777777" w:rsidR="005F2AC9" w:rsidRDefault="00B56839">
      <w:pPr>
        <w:pStyle w:val="NormalWeb"/>
        <w:numPr>
          <w:ilvl w:val="0"/>
          <w:numId w:val="9"/>
        </w:numPr>
        <w:spacing w:before="0" w:after="0" w:line="276" w:lineRule="auto"/>
        <w:jc w:val="both"/>
        <w:rPr>
          <w:color w:val="000000" w:themeColor="text1"/>
          <w:lang w:val="sq-AL"/>
        </w:rPr>
      </w:pPr>
      <w:r>
        <w:rPr>
          <w:color w:val="000000" w:themeColor="text1"/>
          <w:lang w:val="sq-AL"/>
        </w:rPr>
        <w:t>Plotësimi dhe/apo rishikimi i kornizës së standardeve të shërbimeve sociale me standarde të përgjithshme dhe specifike (për shërbimet ekzistuese dhe të reja; përfshirë shërbimin rezidencial për të moshuarit e fëmijët; për të rinjtë për jetesë të pavarur; shërbimet ditore dhe rezidenciale për kategoritë PAK, viktima dhune apo trafikimi); Harmonizimi i vazhdueshëm i protokolleve të ndjekura nga ofruesit publikë dhe jopublikë me standardet funksionale dhe të cilësisë së shërbimeve të kujdesit social;</w:t>
      </w:r>
    </w:p>
    <w:p w14:paraId="48735F1E" w14:textId="77777777" w:rsidR="005F2AC9" w:rsidRDefault="00B56839">
      <w:pPr>
        <w:pStyle w:val="NormalWeb"/>
        <w:numPr>
          <w:ilvl w:val="0"/>
          <w:numId w:val="9"/>
        </w:numPr>
        <w:spacing w:before="0" w:after="0" w:line="276" w:lineRule="auto"/>
        <w:jc w:val="both"/>
        <w:rPr>
          <w:color w:val="000000" w:themeColor="text1"/>
          <w:lang w:val="sq-AL"/>
        </w:rPr>
      </w:pPr>
      <w:r>
        <w:rPr>
          <w:color w:val="000000" w:themeColor="text1"/>
          <w:lang w:val="sq-AL"/>
        </w:rPr>
        <w:t xml:space="preserve">Ndarja dhe qartësimi i roleve të institucioneve lidhur me monitorimin dhe inspektimin e shërbimeve të kujdesit social; </w:t>
      </w:r>
    </w:p>
    <w:p w14:paraId="0D14E9C1" w14:textId="77777777" w:rsidR="005F2AC9" w:rsidRDefault="00B56839">
      <w:pPr>
        <w:pStyle w:val="NormalWeb"/>
        <w:numPr>
          <w:ilvl w:val="0"/>
          <w:numId w:val="9"/>
        </w:numPr>
        <w:spacing w:before="0" w:after="0" w:line="276" w:lineRule="auto"/>
        <w:jc w:val="both"/>
        <w:rPr>
          <w:color w:val="000000" w:themeColor="text1"/>
          <w:lang w:val="sq-AL"/>
        </w:rPr>
      </w:pPr>
      <w:r>
        <w:rPr>
          <w:color w:val="000000" w:themeColor="text1"/>
          <w:lang w:val="sq-AL"/>
        </w:rPr>
        <w:t>Hartimi dhe/apo rishikimi i metodologjisë dhe udhëzimeve për monitorimin dhe inspektimin e shërbimeve, përfshirë monitorimin nga vetë niveli vendor;</w:t>
      </w:r>
    </w:p>
    <w:p w14:paraId="44C6C435" w14:textId="4DEFB3F1" w:rsidR="005F2AC9" w:rsidRPr="00497703" w:rsidRDefault="00B56839" w:rsidP="00497703">
      <w:pPr>
        <w:pStyle w:val="NormalWeb"/>
        <w:numPr>
          <w:ilvl w:val="0"/>
          <w:numId w:val="9"/>
        </w:numPr>
        <w:spacing w:before="0" w:beforeAutospacing="0" w:after="0" w:afterAutospacing="0" w:line="276" w:lineRule="auto"/>
        <w:jc w:val="both"/>
        <w:rPr>
          <w:color w:val="000000" w:themeColor="text1"/>
          <w:lang w:val="sq-AL"/>
        </w:rPr>
      </w:pPr>
      <w:r>
        <w:rPr>
          <w:color w:val="000000" w:themeColor="text1"/>
          <w:lang w:val="sq-AL"/>
        </w:rPr>
        <w:t xml:space="preserve">Kryerja e inspektimeve dhe analizave periodike;  </w:t>
      </w:r>
    </w:p>
    <w:p w14:paraId="18621101" w14:textId="77777777" w:rsidR="005F2AC9" w:rsidRDefault="00B56839">
      <w:pPr>
        <w:spacing w:after="0"/>
        <w:jc w:val="both"/>
        <w:rPr>
          <w:rFonts w:ascii="Times New Roman" w:eastAsia="Times New Roman" w:hAnsi="Times New Roman" w:cs="Times New Roman"/>
          <w:b/>
          <w:bCs/>
          <w:color w:val="000000" w:themeColor="text1"/>
          <w:sz w:val="24"/>
          <w:szCs w:val="24"/>
          <w:lang w:val="pt-BR"/>
        </w:rPr>
      </w:pPr>
      <w:r>
        <w:rPr>
          <w:rFonts w:ascii="Times New Roman" w:eastAsia="Times New Roman" w:hAnsi="Times New Roman" w:cs="Times New Roman"/>
          <w:b/>
          <w:bCs/>
          <w:color w:val="000000" w:themeColor="text1"/>
          <w:sz w:val="24"/>
          <w:szCs w:val="24"/>
          <w:lang w:val="it-IT"/>
        </w:rPr>
        <w:t>Tabela:</w:t>
      </w:r>
      <w:r>
        <w:rPr>
          <w:rFonts w:eastAsia="Garamond" w:cs="Garamond"/>
          <w:b/>
          <w:bCs/>
          <w:color w:val="000000" w:themeColor="text1"/>
          <w:lang w:val="it-IT"/>
        </w:rPr>
        <w:t xml:space="preserve"> </w:t>
      </w:r>
      <w:r>
        <w:rPr>
          <w:rFonts w:ascii="Times New Roman" w:eastAsia="Times New Roman" w:hAnsi="Times New Roman" w:cs="Times New Roman"/>
          <w:b/>
          <w:bCs/>
          <w:color w:val="000000" w:themeColor="text1"/>
          <w:sz w:val="24"/>
          <w:szCs w:val="24"/>
          <w:lang w:val="pt-BR"/>
        </w:rPr>
        <w:t>Indikatorët e Pasaportës për Objektivin specifik B.2.1</w:t>
      </w:r>
    </w:p>
    <w:p w14:paraId="05330E7C" w14:textId="77777777" w:rsidR="005F2AC9" w:rsidRDefault="005F2AC9">
      <w:pPr>
        <w:spacing w:after="0"/>
        <w:jc w:val="both"/>
        <w:rPr>
          <w:rFonts w:ascii="Times New Roman" w:hAnsi="Times New Roman"/>
          <w:b/>
          <w:bCs/>
          <w:color w:val="000000" w:themeColor="text1"/>
          <w:sz w:val="24"/>
          <w:szCs w:val="24"/>
          <w:lang w:val="it-IT"/>
        </w:rPr>
      </w:pPr>
    </w:p>
    <w:tbl>
      <w:tblPr>
        <w:tblStyle w:val="TableGrid"/>
        <w:tblW w:w="9250" w:type="dxa"/>
        <w:tblLayout w:type="fixed"/>
        <w:tblLook w:val="04A0" w:firstRow="1" w:lastRow="0" w:firstColumn="1" w:lastColumn="0" w:noHBand="0" w:noVBand="1"/>
      </w:tblPr>
      <w:tblGrid>
        <w:gridCol w:w="2130"/>
        <w:gridCol w:w="2325"/>
        <w:gridCol w:w="1263"/>
        <w:gridCol w:w="1058"/>
        <w:gridCol w:w="1058"/>
        <w:gridCol w:w="1416"/>
      </w:tblGrid>
      <w:tr w:rsidR="005F2AC9" w14:paraId="5172F59E" w14:textId="77777777">
        <w:trPr>
          <w:trHeight w:val="300"/>
        </w:trPr>
        <w:tc>
          <w:tcPr>
            <w:tcW w:w="2129" w:type="dxa"/>
            <w:tcBorders>
              <w:top w:val="single" w:sz="8" w:space="0" w:color="000000"/>
              <w:left w:val="single" w:sz="8" w:space="0" w:color="000000"/>
              <w:bottom w:val="single" w:sz="8" w:space="0" w:color="000000"/>
              <w:right w:val="single" w:sz="8" w:space="0" w:color="000000"/>
            </w:tcBorders>
          </w:tcPr>
          <w:p w14:paraId="12BF6A97"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B2.1 Përmirësimi i cilësisë dhe ndjeshmërisë gjinore të shërbimeve ekzistuese dhe të reja përmes zbatimit, monitorimit dhe inspektimit të standardeve.</w:t>
            </w:r>
          </w:p>
        </w:tc>
        <w:tc>
          <w:tcPr>
            <w:tcW w:w="2325" w:type="dxa"/>
            <w:tcBorders>
              <w:top w:val="single" w:sz="8" w:space="0" w:color="000000"/>
              <w:left w:val="single" w:sz="8" w:space="0" w:color="000000"/>
              <w:bottom w:val="single" w:sz="8" w:space="0" w:color="000000"/>
              <w:right w:val="single" w:sz="8" w:space="0" w:color="000000"/>
            </w:tcBorders>
          </w:tcPr>
          <w:p w14:paraId="793334DC" w14:textId="49E6A34E" w:rsidR="005F2AC9" w:rsidRDefault="00B56839" w:rsidP="00497703">
            <w:pPr>
              <w:spacing w:before="0" w:after="0" w:line="240" w:lineRule="auto"/>
              <w:jc w:val="both"/>
              <w:rPr>
                <w:color w:val="000000" w:themeColor="text1"/>
              </w:rPr>
            </w:pPr>
            <w:r>
              <w:rPr>
                <w:rFonts w:ascii="Times New Roman" w:eastAsia="Times New Roman" w:hAnsi="Times New Roman" w:cs="Times New Roman"/>
                <w:color w:val="000000" w:themeColor="text1"/>
                <w:lang w:val="it-IT"/>
              </w:rPr>
              <w:t xml:space="preserve">Numri i inspektimeve të kryera në bazë të standarteve dhe kornizës së inspektimit për subjektet publike dhe jo publike  </w:t>
            </w:r>
            <w:r w:rsidR="00497703">
              <w:rPr>
                <w:rFonts w:ascii="Times New Roman" w:eastAsia="Times New Roman" w:hAnsi="Times New Roman" w:cs="Times New Roman"/>
                <w:color w:val="000000" w:themeColor="text1"/>
                <w:lang w:val="it-IT"/>
              </w:rPr>
              <w:t>(sipas tipologjisë së shërbimeve.</w:t>
            </w:r>
          </w:p>
          <w:p w14:paraId="3C7FD681"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0F54F300"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48FAFC33"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tc>
        <w:tc>
          <w:tcPr>
            <w:tcW w:w="1263" w:type="dxa"/>
            <w:tcBorders>
              <w:top w:val="single" w:sz="8" w:space="0" w:color="000000"/>
              <w:left w:val="single" w:sz="8" w:space="0" w:color="000000"/>
              <w:bottom w:val="single" w:sz="8" w:space="0" w:color="000000"/>
              <w:right w:val="single" w:sz="8" w:space="0" w:color="000000"/>
            </w:tcBorders>
          </w:tcPr>
          <w:p w14:paraId="5FAA0904"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145 (viti 2022)</w:t>
            </w:r>
          </w:p>
          <w:p w14:paraId="1928CC27"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4D2CA4A5"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44B53BC9"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4F3AE8A5" w14:textId="323D4323" w:rsidR="005F2AC9" w:rsidRDefault="005F2AC9">
            <w:pPr>
              <w:spacing w:before="0" w:after="0" w:line="240" w:lineRule="auto"/>
              <w:rPr>
                <w:color w:val="000000" w:themeColor="text1"/>
              </w:rPr>
            </w:pPr>
          </w:p>
          <w:p w14:paraId="21FBE081"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56E0712E"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tc>
        <w:tc>
          <w:tcPr>
            <w:tcW w:w="1058" w:type="dxa"/>
            <w:tcBorders>
              <w:top w:val="single" w:sz="8" w:space="0" w:color="000000"/>
              <w:left w:val="single" w:sz="8" w:space="0" w:color="000000"/>
              <w:bottom w:val="single" w:sz="8" w:space="0" w:color="000000"/>
              <w:right w:val="single" w:sz="8" w:space="0" w:color="000000"/>
            </w:tcBorders>
          </w:tcPr>
          <w:p w14:paraId="7B62D403"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163</w:t>
            </w:r>
          </w:p>
        </w:tc>
        <w:tc>
          <w:tcPr>
            <w:tcW w:w="1058" w:type="dxa"/>
            <w:tcBorders>
              <w:top w:val="single" w:sz="8" w:space="0" w:color="000000"/>
              <w:left w:val="single" w:sz="8" w:space="0" w:color="000000"/>
              <w:bottom w:val="single" w:sz="8" w:space="0" w:color="000000"/>
              <w:right w:val="single" w:sz="8" w:space="0" w:color="000000"/>
            </w:tcBorders>
          </w:tcPr>
          <w:p w14:paraId="196C8349"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265</w:t>
            </w:r>
          </w:p>
        </w:tc>
        <w:tc>
          <w:tcPr>
            <w:tcW w:w="1416" w:type="dxa"/>
            <w:tcBorders>
              <w:top w:val="single" w:sz="8" w:space="0" w:color="000000"/>
              <w:left w:val="single" w:sz="8" w:space="0" w:color="000000"/>
              <w:bottom w:val="single" w:sz="8" w:space="0" w:color="000000"/>
              <w:right w:val="single" w:sz="8" w:space="0" w:color="000000"/>
            </w:tcBorders>
          </w:tcPr>
          <w:p w14:paraId="72F5354C" w14:textId="0405E62E"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Drejtoria e Inspektimit të Shërbieve Sociale/ raporti i monitorimit të strategjisë së M</w:t>
            </w:r>
            <w:r w:rsidR="00497703">
              <w:rPr>
                <w:rFonts w:ascii="Times New Roman" w:eastAsia="Times New Roman" w:hAnsi="Times New Roman" w:cs="Times New Roman"/>
                <w:color w:val="000000" w:themeColor="text1"/>
                <w:lang w:val="it-IT"/>
              </w:rPr>
              <w:t>S</w:t>
            </w:r>
          </w:p>
          <w:p w14:paraId="6747B28C" w14:textId="4A70A546"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CH"/>
              </w:rPr>
              <w:t xml:space="preserve"> </w:t>
            </w:r>
          </w:p>
          <w:p w14:paraId="44998AE9" w14:textId="60143670" w:rsidR="005F2AC9" w:rsidRDefault="005F2AC9">
            <w:pPr>
              <w:spacing w:before="0" w:after="0" w:line="240" w:lineRule="auto"/>
              <w:rPr>
                <w:color w:val="000000" w:themeColor="text1"/>
              </w:rPr>
            </w:pPr>
          </w:p>
        </w:tc>
      </w:tr>
    </w:tbl>
    <w:p w14:paraId="13E7E4FC" w14:textId="77777777" w:rsidR="005F2AC9" w:rsidRDefault="00B56839">
      <w:pPr>
        <w:spacing w:after="0"/>
        <w:jc w:val="both"/>
        <w:rPr>
          <w:rFonts w:ascii="Times New Roman" w:hAnsi="Times New Roman"/>
          <w:b/>
          <w:bCs/>
          <w:color w:val="000000" w:themeColor="text1"/>
          <w:sz w:val="24"/>
          <w:szCs w:val="24"/>
          <w:lang w:val="it-IT"/>
        </w:rPr>
      </w:pPr>
      <w:r>
        <w:rPr>
          <w:rFonts w:ascii="Times New Roman" w:hAnsi="Times New Roman"/>
          <w:b/>
          <w:bCs/>
          <w:color w:val="000000" w:themeColor="text1"/>
          <w:sz w:val="24"/>
          <w:szCs w:val="24"/>
          <w:lang w:val="it-IT"/>
        </w:rPr>
        <w:t>Përshkrimi i objektivit dhe rezultatet e monitorimit</w:t>
      </w:r>
    </w:p>
    <w:p w14:paraId="42484E79" w14:textId="77777777" w:rsidR="005F2AC9" w:rsidRDefault="00B56839">
      <w:pPr>
        <w:pStyle w:val="NormalWeb"/>
        <w:spacing w:before="280" w:after="280" w:line="276" w:lineRule="auto"/>
        <w:jc w:val="both"/>
        <w:rPr>
          <w:color w:val="000000" w:themeColor="text1"/>
          <w:lang w:val="it-IT"/>
        </w:rPr>
      </w:pPr>
      <w:r>
        <w:rPr>
          <w:color w:val="000000" w:themeColor="text1"/>
          <w:lang w:val="it-IT"/>
        </w:rPr>
        <w:t>Ky objektiv synon të garantojë një nivel më të lartë cilësie në ofrimin e shërbimeve sociale, si ato ekzistuese ashtu edhe ato të reja, përmes zbatimit të standardeve të qarta dhe të matshme, monitorimit të vazhdueshëm dhe inspektimit sistematik të tyre. Në qendër të këtij procesi qëndron parimi i përgjegjshmërisë gjinore, duke siguruar që shërbimet të jenë të ndjeshme ndaj nevojave të ndryshme të grave, burrave, vajzave dhe djemve, dhe të kontribuojnë në reduktimin e pabarazive gjinore. Kjo qasje synon jo vetëm përmirësimin e performancës institucionale, por edhe rritjen e besimit të qytetarëve në sistemin e mbrojtjes sociale, duke e bërë atë më të drejtë, më gjithëpërfshirës dhe më efektiv.</w:t>
      </w:r>
    </w:p>
    <w:p w14:paraId="6AF747E7" w14:textId="77777777" w:rsidR="005F2AC9" w:rsidRDefault="00B56839">
      <w:pPr>
        <w:pStyle w:val="NormalWeb"/>
        <w:spacing w:before="280" w:after="280" w:line="276" w:lineRule="auto"/>
        <w:jc w:val="both"/>
        <w:rPr>
          <w:color w:val="000000" w:themeColor="text1"/>
          <w:lang w:val="it-IT"/>
        </w:rPr>
      </w:pPr>
      <w:r>
        <w:rPr>
          <w:color w:val="000000" w:themeColor="text1"/>
          <w:lang w:val="it-IT"/>
        </w:rPr>
        <w:t>Në kuadër të zbatimit të Ligjit Nr. 121/2016 “Për Shërbimet e Kujdesit Shoqëror në Republikën e Shqipërisë” dhe të reformës së mbrojtjes shoqërore, është ndërmarrë një proces i strukturuar për ndërtimin e një metodologjie të qëndrueshme për monitorimin e shërbimeve të përkujdesit shoqëror. Ky proces ka pasur si qëllim garantimin e cilësisë, përputhshmërisë me standardet ligjore dhe rritjen e efektivitetit të shërbimeve për individët dhe familjet në nevojë.</w:t>
      </w:r>
    </w:p>
    <w:p w14:paraId="2B8E61DB" w14:textId="77777777" w:rsidR="005F2AC9" w:rsidRDefault="00B56839">
      <w:pPr>
        <w:pStyle w:val="NormalWeb"/>
        <w:spacing w:before="280" w:after="280" w:line="276" w:lineRule="auto"/>
        <w:jc w:val="both"/>
        <w:rPr>
          <w:color w:val="000000" w:themeColor="text1"/>
          <w:lang w:val="it-IT"/>
        </w:rPr>
      </w:pPr>
      <w:r>
        <w:rPr>
          <w:color w:val="000000" w:themeColor="text1"/>
          <w:lang w:val="it-IT"/>
        </w:rPr>
        <w:t xml:space="preserve">Në kushtet e decentralizimit të kompetencave drejt pushtetit vendor dhe rritjes së diversitetit të ofruesve të shërbimeve (publikë, jo-publikë dhe të përzier), është evidentuar nevoja për një instrument të unifikuar që të mundësojë vlerësimin e performancës së institucioneve, kapaciteteve të tyre teknike dhe përputhjen me standardet ekzistuese. </w:t>
      </w:r>
    </w:p>
    <w:p w14:paraId="104CC8A2" w14:textId="77777777" w:rsidR="005F2AC9" w:rsidRDefault="00B56839">
      <w:pPr>
        <w:pStyle w:val="NormalWeb"/>
        <w:spacing w:before="280" w:after="280" w:line="276" w:lineRule="auto"/>
        <w:jc w:val="both"/>
        <w:rPr>
          <w:color w:val="000000" w:themeColor="text1"/>
          <w:lang w:val="it-IT"/>
        </w:rPr>
      </w:pPr>
      <w:r>
        <w:rPr>
          <w:color w:val="000000" w:themeColor="text1"/>
          <w:lang w:val="it-IT"/>
        </w:rPr>
        <w:t>Në këtë kontekst, Shërbimi Shoqëror Shtetëror, me mbështetjen e programit “Askush të mos mbetet pas” të UNDP, ka hartuar një metodologjie të re për monitorimin e shërbimeve, e cila synon të vlerësojë jo vetëm cilësinë e shërbimeve të ofruara, por edhe kapacitetet institucionale të ofruesve dhe njësive vendore për të zgjeruar gamën e shërbimeve në përputhje me nevojat e grupeve vulnerabël. Ky instrument shërben si bazë për përmirësimin e politikave të deinstitucionalizimit, decentralizimit dhe integrimit të shërbimeve në nivel komunitar. Ajo përfshin një sërë metodash dhe teknikash për të identifikuar problematikat kritike, për të këshilluar pushtetin vendor mbi përmirësimin dhe zgjerimin e shërbimeve, si dhe për të orientuar zhvillimin e politikave sociale në nivel kombëtar. Monitorimi i vazhdueshëm dhe periodik, i ndërtuar mbi një plan të mirëpërcaktuar dhe standarde të unifikuara, mundëson mbledhjen e të dhënave statistikore, vlerësimin e ndryshimeve në kohë dhe përgatitjen e raporteve analitike për institucionet përgjegjëse.</w:t>
      </w:r>
    </w:p>
    <w:p w14:paraId="6CB9998F" w14:textId="77777777" w:rsidR="005F2AC9" w:rsidRDefault="00B56839">
      <w:pPr>
        <w:spacing w:beforeAutospacing="1" w:afterAutospacing="1"/>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Metodologjia e monitorimit të shërbimeve të përkujdesit shoqëror është një instrument që do të përdoret nga SHSSH në nivel qendror dhe rajonal për të vlerësuar performancën e shërbimeve të ofruara nga aktorë publikë dhe jo publikë, si dhe nga strukturat lokale si Strukturat e Shërbimeve të Përkujdesit Shoqëror dhe Njësitë e Vlerësimit të Nevojave dhe Referimit.</w:t>
      </w:r>
    </w:p>
    <w:p w14:paraId="2744F152" w14:textId="21D24453" w:rsidR="005F2AC9" w:rsidRDefault="00B56839">
      <w:pPr>
        <w:pStyle w:val="ListParagraph"/>
        <w:spacing w:after="0" w:line="240" w:lineRule="auto"/>
        <w:ind w:left="0"/>
        <w:jc w:val="both"/>
        <w:rPr>
          <w:rFonts w:ascii="Times New Roman" w:hAnsi="Times New Roman"/>
          <w:color w:val="000000" w:themeColor="text1"/>
          <w:sz w:val="24"/>
          <w:szCs w:val="24"/>
        </w:rPr>
      </w:pPr>
      <w:r>
        <w:rPr>
          <w:rFonts w:ascii="Times New Roman" w:hAnsi="Times New Roman"/>
          <w:b/>
          <w:color w:val="000000" w:themeColor="text1"/>
          <w:sz w:val="24"/>
          <w:szCs w:val="24"/>
        </w:rPr>
        <w:t>Pë</w:t>
      </w:r>
      <w:r w:rsidR="00497703">
        <w:rPr>
          <w:rFonts w:ascii="Times New Roman" w:hAnsi="Times New Roman"/>
          <w:b/>
          <w:color w:val="000000" w:themeColor="text1"/>
          <w:sz w:val="24"/>
          <w:szCs w:val="24"/>
        </w:rPr>
        <w:t>r vitin 2025 u realizuan, gjith</w:t>
      </w:r>
      <w:r>
        <w:rPr>
          <w:rFonts w:ascii="Times New Roman" w:hAnsi="Times New Roman"/>
          <w:b/>
          <w:color w:val="000000" w:themeColor="text1"/>
          <w:sz w:val="24"/>
          <w:szCs w:val="24"/>
        </w:rPr>
        <w:t>sej, 134 kontrolle</w:t>
      </w:r>
      <w:r>
        <w:rPr>
          <w:rFonts w:ascii="Times New Roman" w:hAnsi="Times New Roman"/>
          <w:color w:val="000000" w:themeColor="text1"/>
          <w:sz w:val="24"/>
          <w:szCs w:val="24"/>
        </w:rPr>
        <w:t xml:space="preserve"> të Qendrave/Shërbimeve të përkujdesit shoqëror, duke mbajtur një trend mesatar vjetor prej 128 inspektimesh në një vit, (shiko tabelën në vijim).</w:t>
      </w:r>
    </w:p>
    <w:p w14:paraId="1AEA9FB2" w14:textId="77777777" w:rsidR="005F2AC9" w:rsidRDefault="005F2AC9">
      <w:pPr>
        <w:pStyle w:val="ListParagraph"/>
        <w:spacing w:after="0" w:line="240" w:lineRule="auto"/>
        <w:ind w:left="0"/>
        <w:jc w:val="both"/>
        <w:rPr>
          <w:rFonts w:ascii="Times New Roman" w:hAnsi="Times New Roman"/>
          <w:color w:val="000000" w:themeColor="text1"/>
          <w:sz w:val="24"/>
          <w:szCs w:val="24"/>
        </w:rPr>
      </w:pPr>
    </w:p>
    <w:tbl>
      <w:tblPr>
        <w:tblW w:w="8019" w:type="dxa"/>
        <w:jc w:val="center"/>
        <w:tblLayout w:type="fixed"/>
        <w:tblLook w:val="04A0" w:firstRow="1" w:lastRow="0" w:firstColumn="1" w:lastColumn="0" w:noHBand="0" w:noVBand="1"/>
      </w:tblPr>
      <w:tblGrid>
        <w:gridCol w:w="4120"/>
        <w:gridCol w:w="960"/>
        <w:gridCol w:w="959"/>
        <w:gridCol w:w="960"/>
        <w:gridCol w:w="1020"/>
      </w:tblGrid>
      <w:tr w:rsidR="005F2AC9" w14:paraId="6E14A8EB" w14:textId="77777777">
        <w:trPr>
          <w:trHeight w:val="288"/>
          <w:jc w:val="center"/>
        </w:trPr>
        <w:tc>
          <w:tcPr>
            <w:tcW w:w="4120" w:type="dxa"/>
            <w:vMerge w:val="restart"/>
            <w:tcBorders>
              <w:top w:val="single" w:sz="4" w:space="0" w:color="000000"/>
              <w:left w:val="single" w:sz="4" w:space="0" w:color="000000"/>
              <w:bottom w:val="single" w:sz="4" w:space="0" w:color="000000"/>
              <w:right w:val="single" w:sz="4" w:space="0" w:color="000000"/>
            </w:tcBorders>
            <w:shd w:val="clear" w:color="auto" w:fill="C6BFAB" w:themeFill="accent5" w:themeFillTint="99"/>
            <w:vAlign w:val="center"/>
          </w:tcPr>
          <w:p w14:paraId="35FD3F64" w14:textId="77777777" w:rsidR="005F2AC9" w:rsidRDefault="00B56839">
            <w:pPr>
              <w:spacing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Treguesi</w:t>
            </w:r>
          </w:p>
        </w:tc>
        <w:tc>
          <w:tcPr>
            <w:tcW w:w="3899" w:type="dxa"/>
            <w:gridSpan w:val="4"/>
            <w:tcBorders>
              <w:top w:val="single" w:sz="4" w:space="0" w:color="000000"/>
              <w:bottom w:val="single" w:sz="4" w:space="0" w:color="000000"/>
              <w:right w:val="single" w:sz="4" w:space="0" w:color="000000"/>
            </w:tcBorders>
            <w:shd w:val="clear" w:color="auto" w:fill="C6BFAB" w:themeFill="accent5" w:themeFillTint="99"/>
            <w:vAlign w:val="center"/>
          </w:tcPr>
          <w:p w14:paraId="4F759CFE" w14:textId="77777777" w:rsidR="005F2AC9" w:rsidRDefault="00B56839">
            <w:pPr>
              <w:spacing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Viti</w:t>
            </w:r>
          </w:p>
        </w:tc>
      </w:tr>
      <w:tr w:rsidR="005F2AC9" w14:paraId="72D77F36" w14:textId="77777777">
        <w:trPr>
          <w:trHeight w:val="288"/>
          <w:jc w:val="center"/>
        </w:trPr>
        <w:tc>
          <w:tcPr>
            <w:tcW w:w="4120" w:type="dxa"/>
            <w:vMerge/>
            <w:tcBorders>
              <w:top w:val="single" w:sz="4" w:space="0" w:color="000000"/>
              <w:left w:val="single" w:sz="4" w:space="0" w:color="000000"/>
              <w:bottom w:val="single" w:sz="4" w:space="0" w:color="000000"/>
              <w:right w:val="single" w:sz="4" w:space="0" w:color="000000"/>
            </w:tcBorders>
            <w:shd w:val="clear" w:color="auto" w:fill="C6BFAB" w:themeFill="accent5" w:themeFillTint="99"/>
            <w:vAlign w:val="center"/>
          </w:tcPr>
          <w:p w14:paraId="29A127BF" w14:textId="77777777" w:rsidR="005F2AC9" w:rsidRDefault="005F2AC9">
            <w:pPr>
              <w:spacing w:after="0" w:line="240" w:lineRule="auto"/>
              <w:rPr>
                <w:rFonts w:ascii="Times New Roman" w:eastAsia="Times New Roman" w:hAnsi="Times New Roman"/>
                <w:color w:val="000000" w:themeColor="text1"/>
              </w:rPr>
            </w:pPr>
          </w:p>
        </w:tc>
        <w:tc>
          <w:tcPr>
            <w:tcW w:w="960" w:type="dxa"/>
            <w:tcBorders>
              <w:bottom w:val="single" w:sz="4" w:space="0" w:color="000000"/>
              <w:right w:val="single" w:sz="4" w:space="0" w:color="000000"/>
            </w:tcBorders>
            <w:shd w:val="clear" w:color="auto" w:fill="C6BFAB" w:themeFill="accent5" w:themeFillTint="99"/>
            <w:vAlign w:val="center"/>
          </w:tcPr>
          <w:p w14:paraId="267EA547" w14:textId="77777777" w:rsidR="005F2AC9" w:rsidRDefault="00B56839">
            <w:pPr>
              <w:spacing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2022</w:t>
            </w:r>
          </w:p>
        </w:tc>
        <w:tc>
          <w:tcPr>
            <w:tcW w:w="959" w:type="dxa"/>
            <w:tcBorders>
              <w:bottom w:val="single" w:sz="4" w:space="0" w:color="000000"/>
              <w:right w:val="single" w:sz="4" w:space="0" w:color="000000"/>
            </w:tcBorders>
            <w:shd w:val="clear" w:color="auto" w:fill="C6BFAB" w:themeFill="accent5" w:themeFillTint="99"/>
            <w:vAlign w:val="center"/>
          </w:tcPr>
          <w:p w14:paraId="639754EE" w14:textId="77777777" w:rsidR="005F2AC9" w:rsidRDefault="00B56839">
            <w:pPr>
              <w:spacing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2023</w:t>
            </w:r>
          </w:p>
        </w:tc>
        <w:tc>
          <w:tcPr>
            <w:tcW w:w="960" w:type="dxa"/>
            <w:tcBorders>
              <w:bottom w:val="single" w:sz="4" w:space="0" w:color="000000"/>
              <w:right w:val="single" w:sz="4" w:space="0" w:color="000000"/>
            </w:tcBorders>
            <w:shd w:val="clear" w:color="auto" w:fill="C6BFAB" w:themeFill="accent5" w:themeFillTint="99"/>
            <w:vAlign w:val="center"/>
          </w:tcPr>
          <w:p w14:paraId="3FA21AE2" w14:textId="77777777" w:rsidR="005F2AC9" w:rsidRDefault="00B56839">
            <w:pPr>
              <w:spacing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2024</w:t>
            </w:r>
          </w:p>
        </w:tc>
        <w:tc>
          <w:tcPr>
            <w:tcW w:w="1020" w:type="dxa"/>
            <w:tcBorders>
              <w:bottom w:val="single" w:sz="4" w:space="0" w:color="000000"/>
              <w:right w:val="single" w:sz="4" w:space="0" w:color="000000"/>
            </w:tcBorders>
            <w:shd w:val="clear" w:color="auto" w:fill="C6BFAB" w:themeFill="accent5" w:themeFillTint="99"/>
          </w:tcPr>
          <w:p w14:paraId="48EE2392" w14:textId="77777777" w:rsidR="005F2AC9" w:rsidRDefault="00B56839">
            <w:pPr>
              <w:spacing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2025</w:t>
            </w:r>
          </w:p>
        </w:tc>
      </w:tr>
      <w:tr w:rsidR="005F2AC9" w14:paraId="023373FC" w14:textId="77777777">
        <w:trPr>
          <w:trHeight w:val="288"/>
          <w:jc w:val="center"/>
        </w:trPr>
        <w:tc>
          <w:tcPr>
            <w:tcW w:w="4120" w:type="dxa"/>
            <w:tcBorders>
              <w:left w:val="single" w:sz="4" w:space="0" w:color="000000"/>
              <w:bottom w:val="single" w:sz="4" w:space="0" w:color="000000"/>
              <w:right w:val="single" w:sz="4" w:space="0" w:color="000000"/>
            </w:tcBorders>
            <w:vAlign w:val="center"/>
          </w:tcPr>
          <w:p w14:paraId="50383F64" w14:textId="77777777" w:rsidR="005F2AC9" w:rsidRDefault="005F2AC9">
            <w:pPr>
              <w:spacing w:after="0" w:line="240" w:lineRule="auto"/>
              <w:rPr>
                <w:rFonts w:ascii="Times New Roman" w:eastAsia="Times New Roman" w:hAnsi="Times New Roman"/>
                <w:color w:val="000000" w:themeColor="text1"/>
              </w:rPr>
            </w:pPr>
          </w:p>
          <w:p w14:paraId="18E4B413" w14:textId="77777777" w:rsidR="005F2AC9" w:rsidRDefault="00B56839">
            <w:pPr>
              <w:spacing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Numri i Inspektimeve vjetore të realizuara</w:t>
            </w:r>
          </w:p>
          <w:p w14:paraId="18DD0117" w14:textId="77777777" w:rsidR="005F2AC9" w:rsidRDefault="005F2AC9">
            <w:pPr>
              <w:spacing w:after="0" w:line="240" w:lineRule="auto"/>
              <w:rPr>
                <w:rFonts w:ascii="Times New Roman" w:eastAsia="Times New Roman" w:hAnsi="Times New Roman"/>
                <w:color w:val="000000" w:themeColor="text1"/>
              </w:rPr>
            </w:pPr>
          </w:p>
        </w:tc>
        <w:tc>
          <w:tcPr>
            <w:tcW w:w="960" w:type="dxa"/>
            <w:tcBorders>
              <w:bottom w:val="single" w:sz="4" w:space="0" w:color="000000"/>
              <w:right w:val="single" w:sz="4" w:space="0" w:color="000000"/>
            </w:tcBorders>
            <w:vAlign w:val="center"/>
          </w:tcPr>
          <w:p w14:paraId="717F8E11" w14:textId="77777777" w:rsidR="005F2AC9" w:rsidRDefault="00B56839">
            <w:pPr>
              <w:spacing w:after="0" w:line="240" w:lineRule="auto"/>
              <w:jc w:val="center"/>
              <w:rPr>
                <w:rFonts w:ascii="Times New Roman" w:eastAsia="Times New Roman" w:hAnsi="Times New Roman"/>
                <w:b/>
                <w:color w:val="000000" w:themeColor="text1"/>
              </w:rPr>
            </w:pPr>
            <w:r>
              <w:rPr>
                <w:rFonts w:ascii="Times New Roman" w:eastAsia="Times New Roman" w:hAnsi="Times New Roman"/>
                <w:b/>
                <w:color w:val="000000" w:themeColor="text1"/>
              </w:rPr>
              <w:t>145</w:t>
            </w:r>
          </w:p>
        </w:tc>
        <w:tc>
          <w:tcPr>
            <w:tcW w:w="959" w:type="dxa"/>
            <w:tcBorders>
              <w:bottom w:val="single" w:sz="4" w:space="0" w:color="000000"/>
              <w:right w:val="single" w:sz="4" w:space="0" w:color="000000"/>
            </w:tcBorders>
            <w:vAlign w:val="center"/>
          </w:tcPr>
          <w:p w14:paraId="457A23A7" w14:textId="77777777" w:rsidR="005F2AC9" w:rsidRDefault="00B56839">
            <w:pPr>
              <w:spacing w:after="0" w:line="240" w:lineRule="auto"/>
              <w:jc w:val="center"/>
              <w:rPr>
                <w:rFonts w:ascii="Times New Roman" w:eastAsia="Times New Roman" w:hAnsi="Times New Roman"/>
                <w:b/>
                <w:color w:val="000000" w:themeColor="text1"/>
              </w:rPr>
            </w:pPr>
            <w:r>
              <w:rPr>
                <w:rFonts w:ascii="Times New Roman" w:eastAsia="Times New Roman" w:hAnsi="Times New Roman"/>
                <w:b/>
                <w:color w:val="000000" w:themeColor="text1"/>
              </w:rPr>
              <w:t>108</w:t>
            </w:r>
          </w:p>
        </w:tc>
        <w:tc>
          <w:tcPr>
            <w:tcW w:w="960" w:type="dxa"/>
            <w:tcBorders>
              <w:bottom w:val="single" w:sz="4" w:space="0" w:color="000000"/>
              <w:right w:val="single" w:sz="4" w:space="0" w:color="000000"/>
            </w:tcBorders>
            <w:vAlign w:val="center"/>
          </w:tcPr>
          <w:p w14:paraId="79B692B5" w14:textId="77777777" w:rsidR="005F2AC9" w:rsidRDefault="00B56839">
            <w:pPr>
              <w:spacing w:after="0" w:line="240" w:lineRule="auto"/>
              <w:jc w:val="center"/>
              <w:rPr>
                <w:rFonts w:ascii="Times New Roman" w:eastAsia="Times New Roman" w:hAnsi="Times New Roman"/>
                <w:b/>
                <w:color w:val="000000" w:themeColor="text1"/>
              </w:rPr>
            </w:pPr>
            <w:r>
              <w:rPr>
                <w:rFonts w:ascii="Times New Roman" w:eastAsia="Times New Roman" w:hAnsi="Times New Roman"/>
                <w:b/>
                <w:color w:val="000000" w:themeColor="text1"/>
              </w:rPr>
              <w:t>126</w:t>
            </w:r>
          </w:p>
        </w:tc>
        <w:tc>
          <w:tcPr>
            <w:tcW w:w="1020" w:type="dxa"/>
            <w:tcBorders>
              <w:bottom w:val="single" w:sz="4" w:space="0" w:color="000000"/>
              <w:right w:val="single" w:sz="4" w:space="0" w:color="000000"/>
            </w:tcBorders>
          </w:tcPr>
          <w:p w14:paraId="6C27302C" w14:textId="77777777" w:rsidR="005F2AC9" w:rsidRDefault="005F2AC9">
            <w:pPr>
              <w:spacing w:after="0" w:line="240" w:lineRule="auto"/>
              <w:jc w:val="center"/>
              <w:rPr>
                <w:rFonts w:ascii="Times New Roman" w:eastAsia="Times New Roman" w:hAnsi="Times New Roman"/>
                <w:b/>
                <w:color w:val="000000" w:themeColor="text1"/>
              </w:rPr>
            </w:pPr>
          </w:p>
          <w:p w14:paraId="36700318" w14:textId="77777777" w:rsidR="005F2AC9" w:rsidRDefault="00B56839">
            <w:pPr>
              <w:spacing w:after="0" w:line="240" w:lineRule="auto"/>
              <w:jc w:val="center"/>
              <w:rPr>
                <w:rFonts w:ascii="Times New Roman" w:eastAsia="Times New Roman" w:hAnsi="Times New Roman"/>
                <w:b/>
                <w:color w:val="000000" w:themeColor="text1"/>
              </w:rPr>
            </w:pPr>
            <w:r>
              <w:rPr>
                <w:rFonts w:ascii="Times New Roman" w:eastAsia="Times New Roman" w:hAnsi="Times New Roman"/>
                <w:b/>
                <w:color w:val="000000" w:themeColor="text1"/>
              </w:rPr>
              <w:t>134</w:t>
            </w:r>
          </w:p>
        </w:tc>
      </w:tr>
    </w:tbl>
    <w:p w14:paraId="03A97FFE" w14:textId="77777777" w:rsidR="005F2AC9" w:rsidRDefault="005F2AC9">
      <w:pPr>
        <w:pStyle w:val="ListParagraph"/>
        <w:spacing w:after="0" w:line="240" w:lineRule="auto"/>
        <w:ind w:left="0"/>
        <w:jc w:val="both"/>
        <w:rPr>
          <w:rFonts w:ascii="Times New Roman" w:hAnsi="Times New Roman"/>
          <w:color w:val="000000" w:themeColor="text1"/>
          <w:sz w:val="24"/>
          <w:szCs w:val="24"/>
        </w:rPr>
      </w:pPr>
    </w:p>
    <w:p w14:paraId="189FF789" w14:textId="77777777" w:rsidR="005F2AC9" w:rsidRDefault="00B56839">
      <w:pPr>
        <w:pStyle w:val="ListParagraph"/>
        <w:spacing w:after="0" w:line="24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Kontrollet e ushtruara përgjatë vitit 2025 të grupuara </w:t>
      </w:r>
      <w:r>
        <w:rPr>
          <w:rFonts w:ascii="Times New Roman" w:hAnsi="Times New Roman"/>
          <w:b/>
          <w:color w:val="000000" w:themeColor="text1"/>
          <w:sz w:val="24"/>
          <w:szCs w:val="24"/>
        </w:rPr>
        <w:t>sipas objektivave dhe indikatorëve të Planifikimit janë si më poshtë</w:t>
      </w:r>
      <w:r>
        <w:rPr>
          <w:rFonts w:ascii="Times New Roman" w:hAnsi="Times New Roman"/>
          <w:color w:val="000000" w:themeColor="text1"/>
          <w:sz w:val="24"/>
          <w:szCs w:val="24"/>
        </w:rPr>
        <w:t>:</w:t>
      </w:r>
    </w:p>
    <w:p w14:paraId="1F992122" w14:textId="77777777" w:rsidR="005F2AC9" w:rsidRDefault="005F2AC9">
      <w:pPr>
        <w:pStyle w:val="ListParagraph"/>
        <w:spacing w:after="0" w:line="240" w:lineRule="auto"/>
        <w:ind w:left="0"/>
        <w:jc w:val="both"/>
        <w:rPr>
          <w:rFonts w:ascii="Times New Roman" w:hAnsi="Times New Roman"/>
          <w:color w:val="000000" w:themeColor="text1"/>
          <w:sz w:val="24"/>
          <w:szCs w:val="24"/>
        </w:rPr>
      </w:pPr>
    </w:p>
    <w:tbl>
      <w:tblPr>
        <w:tblStyle w:val="TableGrid"/>
        <w:tblW w:w="9360" w:type="dxa"/>
        <w:tblInd w:w="108" w:type="dxa"/>
        <w:tblLayout w:type="fixed"/>
        <w:tblLook w:val="04A0" w:firstRow="1" w:lastRow="0" w:firstColumn="1" w:lastColumn="0" w:noHBand="0" w:noVBand="1"/>
      </w:tblPr>
      <w:tblGrid>
        <w:gridCol w:w="540"/>
        <w:gridCol w:w="540"/>
        <w:gridCol w:w="6390"/>
        <w:gridCol w:w="720"/>
        <w:gridCol w:w="1170"/>
      </w:tblGrid>
      <w:tr w:rsidR="005F2AC9" w14:paraId="12D4B399" w14:textId="77777777">
        <w:tc>
          <w:tcPr>
            <w:tcW w:w="540" w:type="dxa"/>
            <w:shd w:val="clear" w:color="auto" w:fill="C6BFAB" w:themeFill="accent5" w:themeFillTint="99"/>
            <w:vAlign w:val="center"/>
          </w:tcPr>
          <w:p w14:paraId="5098EAC5" w14:textId="77777777" w:rsidR="005F2AC9" w:rsidRDefault="00B56839">
            <w:pPr>
              <w:spacing w:before="0" w:after="0" w:line="240" w:lineRule="auto"/>
              <w:jc w:val="center"/>
              <w:rPr>
                <w:rFonts w:ascii="Times New Roman" w:hAnsi="Times New Roman"/>
                <w:b/>
                <w:bCs/>
                <w:color w:val="000000" w:themeColor="text1"/>
              </w:rPr>
            </w:pPr>
            <w:r>
              <w:rPr>
                <w:rFonts w:ascii="Times New Roman" w:eastAsia="MS PMincho" w:hAnsi="Times New Roman"/>
                <w:b/>
                <w:bCs/>
                <w:color w:val="000000" w:themeColor="text1"/>
              </w:rPr>
              <w:t>Nr.</w:t>
            </w:r>
          </w:p>
        </w:tc>
        <w:tc>
          <w:tcPr>
            <w:tcW w:w="7650" w:type="dxa"/>
            <w:gridSpan w:val="3"/>
            <w:shd w:val="clear" w:color="auto" w:fill="C6BFAB" w:themeFill="accent5" w:themeFillTint="99"/>
          </w:tcPr>
          <w:p w14:paraId="1573641B" w14:textId="77777777" w:rsidR="005F2AC9" w:rsidRDefault="00B56839">
            <w:pPr>
              <w:spacing w:before="0" w:after="0" w:line="240" w:lineRule="auto"/>
              <w:jc w:val="center"/>
              <w:rPr>
                <w:rFonts w:ascii="Times New Roman" w:hAnsi="Times New Roman"/>
                <w:b/>
                <w:bCs/>
                <w:color w:val="000000" w:themeColor="text1"/>
              </w:rPr>
            </w:pPr>
            <w:r>
              <w:rPr>
                <w:rFonts w:ascii="Times New Roman" w:eastAsia="MS PMincho" w:hAnsi="Times New Roman"/>
                <w:b/>
                <w:bCs/>
                <w:color w:val="000000" w:themeColor="text1"/>
              </w:rPr>
              <w:t>Treguesi</w:t>
            </w:r>
          </w:p>
        </w:tc>
        <w:tc>
          <w:tcPr>
            <w:tcW w:w="1170" w:type="dxa"/>
            <w:shd w:val="clear" w:color="auto" w:fill="C6BFAB" w:themeFill="accent5" w:themeFillTint="99"/>
            <w:vAlign w:val="center"/>
          </w:tcPr>
          <w:p w14:paraId="06D41FCD" w14:textId="77777777" w:rsidR="005F2AC9" w:rsidRDefault="00B56839">
            <w:pPr>
              <w:spacing w:before="0" w:after="0" w:line="240" w:lineRule="auto"/>
              <w:jc w:val="center"/>
              <w:rPr>
                <w:rFonts w:ascii="Times New Roman" w:hAnsi="Times New Roman"/>
                <w:b/>
                <w:bCs/>
                <w:color w:val="000000" w:themeColor="text1"/>
                <w:sz w:val="24"/>
                <w:szCs w:val="24"/>
              </w:rPr>
            </w:pPr>
            <w:r>
              <w:rPr>
                <w:rFonts w:ascii="Times New Roman" w:eastAsia="MS PMincho" w:hAnsi="Times New Roman"/>
                <w:b/>
                <w:bCs/>
                <w:color w:val="000000" w:themeColor="text1"/>
              </w:rPr>
              <w:t>Realizuar</w:t>
            </w:r>
          </w:p>
        </w:tc>
      </w:tr>
      <w:tr w:rsidR="005F2AC9" w14:paraId="4D2F10F6" w14:textId="77777777">
        <w:tc>
          <w:tcPr>
            <w:tcW w:w="540" w:type="dxa"/>
            <w:vAlign w:val="center"/>
          </w:tcPr>
          <w:p w14:paraId="04FAA9EF" w14:textId="77777777" w:rsidR="005F2AC9" w:rsidRDefault="00B56839">
            <w:pPr>
              <w:spacing w:before="0" w:after="0" w:line="240" w:lineRule="auto"/>
              <w:jc w:val="center"/>
              <w:rPr>
                <w:rFonts w:ascii="Times New Roman" w:hAnsi="Times New Roman"/>
                <w:b/>
                <w:bCs/>
                <w:color w:val="000000" w:themeColor="text1"/>
              </w:rPr>
            </w:pPr>
            <w:r>
              <w:rPr>
                <w:rFonts w:ascii="Times New Roman" w:eastAsia="MS PMincho" w:hAnsi="Times New Roman"/>
                <w:b/>
                <w:bCs/>
                <w:color w:val="000000" w:themeColor="text1"/>
              </w:rPr>
              <w:t>1</w:t>
            </w:r>
          </w:p>
        </w:tc>
        <w:tc>
          <w:tcPr>
            <w:tcW w:w="7650" w:type="dxa"/>
            <w:gridSpan w:val="3"/>
          </w:tcPr>
          <w:p w14:paraId="1F55F5E4" w14:textId="77777777" w:rsidR="005F2AC9" w:rsidRDefault="00B56839">
            <w:pPr>
              <w:spacing w:before="0" w:after="0" w:line="240" w:lineRule="auto"/>
              <w:rPr>
                <w:rFonts w:ascii="Times New Roman" w:hAnsi="Times New Roman"/>
                <w:b/>
                <w:bCs/>
                <w:color w:val="000000" w:themeColor="text1"/>
              </w:rPr>
            </w:pPr>
            <w:r>
              <w:rPr>
                <w:rFonts w:ascii="Times New Roman" w:eastAsia="MS PMincho" w:hAnsi="Times New Roman"/>
                <w:b/>
                <w:bCs/>
                <w:color w:val="000000" w:themeColor="text1"/>
              </w:rPr>
              <w:t>Inspektime të planifikuara</w:t>
            </w:r>
            <w:r>
              <w:rPr>
                <w:rFonts w:ascii="Times New Roman" w:eastAsia="MS PMincho" w:hAnsi="Times New Roman"/>
                <w:color w:val="000000" w:themeColor="text1"/>
              </w:rPr>
              <w:t xml:space="preserve"> të Qendrave/Sh të përkujdesit social</w:t>
            </w:r>
          </w:p>
        </w:tc>
        <w:tc>
          <w:tcPr>
            <w:tcW w:w="1170" w:type="dxa"/>
            <w:vAlign w:val="center"/>
          </w:tcPr>
          <w:p w14:paraId="3FC6EAEB" w14:textId="77777777" w:rsidR="005F2AC9" w:rsidRDefault="00B56839">
            <w:pPr>
              <w:spacing w:before="0" w:after="0" w:line="240" w:lineRule="auto"/>
              <w:jc w:val="center"/>
              <w:rPr>
                <w:rFonts w:ascii="Times New Roman" w:hAnsi="Times New Roman"/>
                <w:color w:val="000000" w:themeColor="text1"/>
              </w:rPr>
            </w:pPr>
            <w:r>
              <w:rPr>
                <w:rFonts w:ascii="Times New Roman" w:eastAsia="MS PMincho" w:hAnsi="Times New Roman"/>
                <w:color w:val="000000" w:themeColor="text1"/>
              </w:rPr>
              <w:t>119</w:t>
            </w:r>
          </w:p>
        </w:tc>
      </w:tr>
      <w:tr w:rsidR="005F2AC9" w14:paraId="0BA743E4" w14:textId="77777777">
        <w:tc>
          <w:tcPr>
            <w:tcW w:w="540" w:type="dxa"/>
            <w:vAlign w:val="center"/>
          </w:tcPr>
          <w:p w14:paraId="21AA942C" w14:textId="77777777" w:rsidR="005F2AC9" w:rsidRDefault="005F2AC9">
            <w:pPr>
              <w:spacing w:before="0" w:after="0" w:line="240" w:lineRule="auto"/>
              <w:jc w:val="center"/>
              <w:rPr>
                <w:rFonts w:ascii="Times New Roman" w:hAnsi="Times New Roman"/>
                <w:color w:val="000000" w:themeColor="text1"/>
              </w:rPr>
            </w:pPr>
          </w:p>
        </w:tc>
        <w:tc>
          <w:tcPr>
            <w:tcW w:w="540" w:type="dxa"/>
          </w:tcPr>
          <w:p w14:paraId="2803178E" w14:textId="77777777" w:rsidR="005F2AC9" w:rsidRDefault="00B56839">
            <w:pPr>
              <w:spacing w:before="0" w:after="0" w:line="240" w:lineRule="auto"/>
              <w:rPr>
                <w:rFonts w:ascii="Times New Roman" w:hAnsi="Times New Roman"/>
                <w:color w:val="000000" w:themeColor="text1"/>
              </w:rPr>
            </w:pPr>
            <w:r>
              <w:rPr>
                <w:rFonts w:ascii="Times New Roman" w:eastAsia="MS PMincho" w:hAnsi="Times New Roman"/>
                <w:color w:val="000000" w:themeColor="text1"/>
              </w:rPr>
              <w:t>1.1</w:t>
            </w:r>
          </w:p>
        </w:tc>
        <w:tc>
          <w:tcPr>
            <w:tcW w:w="6390" w:type="dxa"/>
          </w:tcPr>
          <w:p w14:paraId="19AB6593" w14:textId="77777777" w:rsidR="005F2AC9" w:rsidRDefault="00B56839">
            <w:pPr>
              <w:spacing w:before="0" w:after="0" w:line="240" w:lineRule="auto"/>
              <w:rPr>
                <w:rFonts w:ascii="Times New Roman" w:hAnsi="Times New Roman"/>
                <w:b/>
                <w:bCs/>
                <w:color w:val="000000" w:themeColor="text1"/>
              </w:rPr>
            </w:pPr>
            <w:r>
              <w:rPr>
                <w:rFonts w:ascii="Times New Roman" w:eastAsia="MS PMincho" w:hAnsi="Times New Roman"/>
                <w:i/>
                <w:iCs/>
                <w:color w:val="000000" w:themeColor="text1"/>
              </w:rPr>
              <w:t>Qendra përkujdesi (publike dhe jopublik), të planifikuar mbi bazë historiku</w:t>
            </w:r>
          </w:p>
        </w:tc>
        <w:tc>
          <w:tcPr>
            <w:tcW w:w="720" w:type="dxa"/>
          </w:tcPr>
          <w:p w14:paraId="5F647AB6" w14:textId="77777777" w:rsidR="005F2AC9" w:rsidRDefault="00B56839">
            <w:pPr>
              <w:spacing w:before="0" w:after="0" w:line="240" w:lineRule="auto"/>
              <w:jc w:val="center"/>
              <w:rPr>
                <w:rFonts w:ascii="Times New Roman" w:hAnsi="Times New Roman"/>
                <w:color w:val="000000" w:themeColor="text1"/>
              </w:rPr>
            </w:pPr>
            <w:r>
              <w:rPr>
                <w:rFonts w:ascii="Times New Roman" w:eastAsia="MS PMincho" w:hAnsi="Times New Roman"/>
                <w:color w:val="000000" w:themeColor="text1"/>
              </w:rPr>
              <w:t>34</w:t>
            </w:r>
          </w:p>
        </w:tc>
        <w:tc>
          <w:tcPr>
            <w:tcW w:w="1170" w:type="dxa"/>
            <w:vAlign w:val="center"/>
          </w:tcPr>
          <w:p w14:paraId="2CC48ECE" w14:textId="77777777" w:rsidR="005F2AC9" w:rsidRDefault="005F2AC9">
            <w:pPr>
              <w:spacing w:before="0" w:after="0" w:line="240" w:lineRule="auto"/>
              <w:jc w:val="center"/>
              <w:rPr>
                <w:rFonts w:ascii="Times New Roman" w:hAnsi="Times New Roman"/>
                <w:b/>
                <w:bCs/>
                <w:color w:val="000000" w:themeColor="text1"/>
              </w:rPr>
            </w:pPr>
          </w:p>
        </w:tc>
      </w:tr>
      <w:tr w:rsidR="005F2AC9" w14:paraId="3F4B30E6" w14:textId="77777777">
        <w:tc>
          <w:tcPr>
            <w:tcW w:w="540" w:type="dxa"/>
            <w:vAlign w:val="center"/>
          </w:tcPr>
          <w:p w14:paraId="2AE42725" w14:textId="77777777" w:rsidR="005F2AC9" w:rsidRDefault="005F2AC9">
            <w:pPr>
              <w:spacing w:before="0" w:after="0" w:line="240" w:lineRule="auto"/>
              <w:jc w:val="center"/>
              <w:rPr>
                <w:rFonts w:ascii="Times New Roman" w:hAnsi="Times New Roman"/>
                <w:color w:val="000000" w:themeColor="text1"/>
              </w:rPr>
            </w:pPr>
          </w:p>
        </w:tc>
        <w:tc>
          <w:tcPr>
            <w:tcW w:w="540" w:type="dxa"/>
          </w:tcPr>
          <w:p w14:paraId="0DBE7B74" w14:textId="77777777" w:rsidR="005F2AC9" w:rsidRDefault="00B56839">
            <w:pPr>
              <w:spacing w:before="0" w:after="0" w:line="240" w:lineRule="auto"/>
              <w:rPr>
                <w:rFonts w:ascii="Times New Roman" w:hAnsi="Times New Roman"/>
                <w:color w:val="000000" w:themeColor="text1"/>
              </w:rPr>
            </w:pPr>
            <w:r>
              <w:rPr>
                <w:rFonts w:ascii="Times New Roman" w:eastAsia="MS PMincho" w:hAnsi="Times New Roman"/>
                <w:color w:val="000000" w:themeColor="text1"/>
              </w:rPr>
              <w:t>1.2</w:t>
            </w:r>
          </w:p>
        </w:tc>
        <w:tc>
          <w:tcPr>
            <w:tcW w:w="6390" w:type="dxa"/>
          </w:tcPr>
          <w:p w14:paraId="5F92CFC7" w14:textId="77777777" w:rsidR="005F2AC9" w:rsidRDefault="00B56839">
            <w:pPr>
              <w:spacing w:before="0" w:after="0" w:line="240" w:lineRule="auto"/>
              <w:rPr>
                <w:rFonts w:ascii="Times New Roman" w:hAnsi="Times New Roman"/>
                <w:b/>
                <w:bCs/>
                <w:color w:val="000000" w:themeColor="text1"/>
              </w:rPr>
            </w:pPr>
            <w:r>
              <w:rPr>
                <w:rFonts w:ascii="Times New Roman" w:eastAsia="MS PMincho" w:hAnsi="Times New Roman"/>
                <w:i/>
                <w:iCs/>
                <w:color w:val="000000" w:themeColor="text1"/>
              </w:rPr>
              <w:t>Qendra përkujdesi të mbështetura me Fond Social në vijimësi</w:t>
            </w:r>
          </w:p>
        </w:tc>
        <w:tc>
          <w:tcPr>
            <w:tcW w:w="720" w:type="dxa"/>
          </w:tcPr>
          <w:p w14:paraId="1E39FFCE" w14:textId="77777777" w:rsidR="005F2AC9" w:rsidRDefault="00B56839">
            <w:pPr>
              <w:spacing w:before="0" w:after="0" w:line="240" w:lineRule="auto"/>
              <w:jc w:val="center"/>
              <w:rPr>
                <w:rFonts w:ascii="Times New Roman" w:hAnsi="Times New Roman"/>
                <w:color w:val="000000" w:themeColor="text1"/>
              </w:rPr>
            </w:pPr>
            <w:r>
              <w:rPr>
                <w:rFonts w:ascii="Times New Roman" w:eastAsia="MS PMincho" w:hAnsi="Times New Roman"/>
                <w:color w:val="000000" w:themeColor="text1"/>
              </w:rPr>
              <w:t>45</w:t>
            </w:r>
          </w:p>
        </w:tc>
        <w:tc>
          <w:tcPr>
            <w:tcW w:w="1170" w:type="dxa"/>
            <w:vAlign w:val="center"/>
          </w:tcPr>
          <w:p w14:paraId="321734A3" w14:textId="77777777" w:rsidR="005F2AC9" w:rsidRDefault="005F2AC9">
            <w:pPr>
              <w:spacing w:before="0" w:after="0" w:line="240" w:lineRule="auto"/>
              <w:jc w:val="center"/>
              <w:rPr>
                <w:rFonts w:ascii="Times New Roman" w:hAnsi="Times New Roman"/>
                <w:b/>
                <w:bCs/>
                <w:color w:val="000000" w:themeColor="text1"/>
              </w:rPr>
            </w:pPr>
          </w:p>
        </w:tc>
      </w:tr>
      <w:tr w:rsidR="005F2AC9" w14:paraId="73C10887" w14:textId="77777777">
        <w:tc>
          <w:tcPr>
            <w:tcW w:w="540" w:type="dxa"/>
            <w:vAlign w:val="center"/>
          </w:tcPr>
          <w:p w14:paraId="429FBFAC" w14:textId="77777777" w:rsidR="005F2AC9" w:rsidRDefault="005F2AC9">
            <w:pPr>
              <w:spacing w:before="0" w:after="0" w:line="240" w:lineRule="auto"/>
              <w:jc w:val="center"/>
              <w:rPr>
                <w:rFonts w:ascii="Times New Roman" w:hAnsi="Times New Roman"/>
                <w:color w:val="000000" w:themeColor="text1"/>
              </w:rPr>
            </w:pPr>
          </w:p>
        </w:tc>
        <w:tc>
          <w:tcPr>
            <w:tcW w:w="540" w:type="dxa"/>
          </w:tcPr>
          <w:p w14:paraId="0588F457" w14:textId="77777777" w:rsidR="005F2AC9" w:rsidRDefault="00B56839">
            <w:pPr>
              <w:spacing w:before="0" w:after="0" w:line="240" w:lineRule="auto"/>
              <w:rPr>
                <w:rFonts w:ascii="Times New Roman" w:hAnsi="Times New Roman"/>
                <w:color w:val="000000" w:themeColor="text1"/>
              </w:rPr>
            </w:pPr>
            <w:r>
              <w:rPr>
                <w:rFonts w:ascii="Times New Roman" w:eastAsia="MS PMincho" w:hAnsi="Times New Roman"/>
                <w:color w:val="000000" w:themeColor="text1"/>
              </w:rPr>
              <w:t>1.3</w:t>
            </w:r>
          </w:p>
        </w:tc>
        <w:tc>
          <w:tcPr>
            <w:tcW w:w="6390" w:type="dxa"/>
          </w:tcPr>
          <w:p w14:paraId="721272B0" w14:textId="77777777" w:rsidR="005F2AC9" w:rsidRDefault="00B56839">
            <w:pPr>
              <w:spacing w:before="0" w:after="0" w:line="240" w:lineRule="auto"/>
              <w:rPr>
                <w:rFonts w:ascii="Times New Roman" w:hAnsi="Times New Roman"/>
                <w:b/>
                <w:bCs/>
                <w:color w:val="000000" w:themeColor="text1"/>
              </w:rPr>
            </w:pPr>
            <w:r>
              <w:rPr>
                <w:rFonts w:ascii="Times New Roman" w:eastAsia="MS PMincho" w:hAnsi="Times New Roman"/>
                <w:i/>
                <w:iCs/>
                <w:color w:val="000000" w:themeColor="text1"/>
              </w:rPr>
              <w:t>Qendra përkujdesi të mbështetura me Fond Social për here të parë</w:t>
            </w:r>
          </w:p>
        </w:tc>
        <w:tc>
          <w:tcPr>
            <w:tcW w:w="720" w:type="dxa"/>
          </w:tcPr>
          <w:p w14:paraId="48C6B5E9" w14:textId="77777777" w:rsidR="005F2AC9" w:rsidRDefault="00B56839">
            <w:pPr>
              <w:spacing w:before="0" w:after="0" w:line="240" w:lineRule="auto"/>
              <w:jc w:val="center"/>
              <w:rPr>
                <w:rFonts w:ascii="Times New Roman" w:hAnsi="Times New Roman"/>
                <w:color w:val="000000" w:themeColor="text1"/>
              </w:rPr>
            </w:pPr>
            <w:r>
              <w:rPr>
                <w:rFonts w:ascii="Times New Roman" w:eastAsia="MS PMincho" w:hAnsi="Times New Roman"/>
                <w:color w:val="000000" w:themeColor="text1"/>
              </w:rPr>
              <w:t>23</w:t>
            </w:r>
          </w:p>
        </w:tc>
        <w:tc>
          <w:tcPr>
            <w:tcW w:w="1170" w:type="dxa"/>
            <w:vAlign w:val="center"/>
          </w:tcPr>
          <w:p w14:paraId="0A3D7BBF" w14:textId="77777777" w:rsidR="005F2AC9" w:rsidRDefault="005F2AC9">
            <w:pPr>
              <w:spacing w:before="0" w:after="0" w:line="240" w:lineRule="auto"/>
              <w:jc w:val="center"/>
              <w:rPr>
                <w:rFonts w:ascii="Times New Roman" w:hAnsi="Times New Roman"/>
                <w:b/>
                <w:bCs/>
                <w:color w:val="000000" w:themeColor="text1"/>
              </w:rPr>
            </w:pPr>
          </w:p>
        </w:tc>
      </w:tr>
      <w:tr w:rsidR="005F2AC9" w14:paraId="2FDB4BD1" w14:textId="77777777">
        <w:tc>
          <w:tcPr>
            <w:tcW w:w="540" w:type="dxa"/>
            <w:vAlign w:val="center"/>
          </w:tcPr>
          <w:p w14:paraId="4F712172" w14:textId="77777777" w:rsidR="005F2AC9" w:rsidRDefault="005F2AC9">
            <w:pPr>
              <w:spacing w:before="0" w:after="0" w:line="240" w:lineRule="auto"/>
              <w:jc w:val="center"/>
              <w:rPr>
                <w:rFonts w:ascii="Times New Roman" w:hAnsi="Times New Roman"/>
                <w:color w:val="000000" w:themeColor="text1"/>
              </w:rPr>
            </w:pPr>
          </w:p>
        </w:tc>
        <w:tc>
          <w:tcPr>
            <w:tcW w:w="540" w:type="dxa"/>
          </w:tcPr>
          <w:p w14:paraId="421CFCBD" w14:textId="77777777" w:rsidR="005F2AC9" w:rsidRDefault="00B56839">
            <w:pPr>
              <w:spacing w:before="0" w:after="0" w:line="240" w:lineRule="auto"/>
              <w:rPr>
                <w:rFonts w:ascii="Times New Roman" w:hAnsi="Times New Roman"/>
                <w:color w:val="000000" w:themeColor="text1"/>
              </w:rPr>
            </w:pPr>
            <w:r>
              <w:rPr>
                <w:rFonts w:ascii="Times New Roman" w:eastAsia="MS PMincho" w:hAnsi="Times New Roman"/>
                <w:color w:val="000000" w:themeColor="text1"/>
              </w:rPr>
              <w:t>1.4</w:t>
            </w:r>
          </w:p>
        </w:tc>
        <w:tc>
          <w:tcPr>
            <w:tcW w:w="6390" w:type="dxa"/>
          </w:tcPr>
          <w:p w14:paraId="6D18AED5" w14:textId="77777777" w:rsidR="005F2AC9" w:rsidRDefault="00B56839">
            <w:pPr>
              <w:spacing w:before="0" w:after="0" w:line="240" w:lineRule="auto"/>
              <w:rPr>
                <w:rFonts w:ascii="Times New Roman" w:hAnsi="Times New Roman"/>
                <w:b/>
                <w:bCs/>
                <w:color w:val="000000" w:themeColor="text1"/>
              </w:rPr>
            </w:pPr>
            <w:r>
              <w:rPr>
                <w:rFonts w:ascii="Times New Roman" w:eastAsia="MS PMincho" w:hAnsi="Times New Roman"/>
                <w:i/>
                <w:iCs/>
                <w:color w:val="000000" w:themeColor="text1"/>
              </w:rPr>
              <w:t>Qendra për fëmijë në kuadër të bashkëp. me Min. e Arsimit dhe QKB-në</w:t>
            </w:r>
          </w:p>
        </w:tc>
        <w:tc>
          <w:tcPr>
            <w:tcW w:w="720" w:type="dxa"/>
          </w:tcPr>
          <w:p w14:paraId="66F808DA" w14:textId="77777777" w:rsidR="005F2AC9" w:rsidRDefault="00B56839">
            <w:pPr>
              <w:spacing w:before="0" w:after="0" w:line="240" w:lineRule="auto"/>
              <w:jc w:val="center"/>
              <w:rPr>
                <w:rFonts w:ascii="Times New Roman" w:hAnsi="Times New Roman"/>
                <w:color w:val="000000" w:themeColor="text1"/>
              </w:rPr>
            </w:pPr>
            <w:r>
              <w:rPr>
                <w:rFonts w:ascii="Times New Roman" w:eastAsia="MS PMincho" w:hAnsi="Times New Roman"/>
                <w:color w:val="000000" w:themeColor="text1"/>
              </w:rPr>
              <w:t>17</w:t>
            </w:r>
          </w:p>
        </w:tc>
        <w:tc>
          <w:tcPr>
            <w:tcW w:w="1170" w:type="dxa"/>
            <w:vAlign w:val="center"/>
          </w:tcPr>
          <w:p w14:paraId="54788D8D" w14:textId="77777777" w:rsidR="005F2AC9" w:rsidRDefault="005F2AC9">
            <w:pPr>
              <w:spacing w:before="0" w:after="0" w:line="240" w:lineRule="auto"/>
              <w:rPr>
                <w:rFonts w:ascii="Times New Roman" w:hAnsi="Times New Roman"/>
                <w:b/>
                <w:bCs/>
                <w:color w:val="000000" w:themeColor="text1"/>
              </w:rPr>
            </w:pPr>
          </w:p>
        </w:tc>
      </w:tr>
      <w:tr w:rsidR="005F2AC9" w14:paraId="2366EFCF" w14:textId="77777777">
        <w:tc>
          <w:tcPr>
            <w:tcW w:w="540" w:type="dxa"/>
            <w:vAlign w:val="center"/>
          </w:tcPr>
          <w:p w14:paraId="0AF8527E" w14:textId="77777777" w:rsidR="005F2AC9" w:rsidRDefault="00B56839">
            <w:pPr>
              <w:spacing w:before="0" w:after="0" w:line="240" w:lineRule="auto"/>
              <w:jc w:val="center"/>
              <w:rPr>
                <w:rFonts w:ascii="Times New Roman" w:hAnsi="Times New Roman"/>
                <w:color w:val="000000" w:themeColor="text1"/>
              </w:rPr>
            </w:pPr>
            <w:r>
              <w:rPr>
                <w:rFonts w:ascii="Times New Roman" w:eastAsia="MS PMincho" w:hAnsi="Times New Roman"/>
                <w:color w:val="000000" w:themeColor="text1"/>
              </w:rPr>
              <w:t>2</w:t>
            </w:r>
          </w:p>
        </w:tc>
        <w:tc>
          <w:tcPr>
            <w:tcW w:w="7650" w:type="dxa"/>
            <w:gridSpan w:val="3"/>
          </w:tcPr>
          <w:p w14:paraId="73815CC6" w14:textId="77777777" w:rsidR="005F2AC9" w:rsidRDefault="00B56839">
            <w:pPr>
              <w:spacing w:before="0" w:after="0" w:line="240" w:lineRule="auto"/>
              <w:rPr>
                <w:rFonts w:ascii="Times New Roman" w:hAnsi="Times New Roman"/>
                <w:b/>
                <w:bCs/>
                <w:color w:val="000000" w:themeColor="text1"/>
              </w:rPr>
            </w:pPr>
            <w:r>
              <w:rPr>
                <w:rFonts w:ascii="Times New Roman" w:eastAsia="MS PMincho" w:hAnsi="Times New Roman"/>
                <w:b/>
                <w:bCs/>
                <w:color w:val="000000" w:themeColor="text1"/>
              </w:rPr>
              <w:t>Inspektime të paplanifikuara (</w:t>
            </w:r>
            <w:r>
              <w:rPr>
                <w:rFonts w:ascii="Times New Roman" w:eastAsia="MS PMincho" w:hAnsi="Times New Roman"/>
                <w:i/>
                <w:iCs/>
                <w:color w:val="000000" w:themeColor="text1"/>
              </w:rPr>
              <w:t>ankesa dhe liçensime</w:t>
            </w:r>
            <w:r>
              <w:rPr>
                <w:rFonts w:ascii="Times New Roman" w:eastAsia="MS PMincho" w:hAnsi="Times New Roman"/>
                <w:b/>
                <w:bCs/>
                <w:color w:val="000000" w:themeColor="text1"/>
              </w:rPr>
              <w:t>)</w:t>
            </w:r>
          </w:p>
        </w:tc>
        <w:tc>
          <w:tcPr>
            <w:tcW w:w="1170" w:type="dxa"/>
            <w:vAlign w:val="center"/>
          </w:tcPr>
          <w:p w14:paraId="44D11031" w14:textId="77777777" w:rsidR="005F2AC9" w:rsidRDefault="00B56839">
            <w:pPr>
              <w:spacing w:before="0" w:after="0" w:line="240" w:lineRule="auto"/>
              <w:jc w:val="center"/>
              <w:rPr>
                <w:rFonts w:ascii="Times New Roman" w:hAnsi="Times New Roman"/>
                <w:color w:val="000000" w:themeColor="text1"/>
              </w:rPr>
            </w:pPr>
            <w:r>
              <w:rPr>
                <w:rFonts w:ascii="Times New Roman" w:eastAsia="MS PMincho" w:hAnsi="Times New Roman"/>
                <w:b/>
                <w:bCs/>
                <w:color w:val="000000" w:themeColor="text1"/>
              </w:rPr>
              <w:t xml:space="preserve">  </w:t>
            </w:r>
            <w:r>
              <w:rPr>
                <w:rFonts w:ascii="Times New Roman" w:eastAsia="MS PMincho" w:hAnsi="Times New Roman"/>
                <w:color w:val="000000" w:themeColor="text1"/>
              </w:rPr>
              <w:t>15</w:t>
            </w:r>
          </w:p>
        </w:tc>
      </w:tr>
      <w:tr w:rsidR="005F2AC9" w14:paraId="360D67C5" w14:textId="77777777">
        <w:tc>
          <w:tcPr>
            <w:tcW w:w="540" w:type="dxa"/>
            <w:vAlign w:val="center"/>
          </w:tcPr>
          <w:p w14:paraId="3F0AA108" w14:textId="77777777" w:rsidR="005F2AC9" w:rsidRDefault="00B56839">
            <w:pPr>
              <w:spacing w:before="0" w:after="0" w:line="240" w:lineRule="auto"/>
              <w:jc w:val="center"/>
              <w:rPr>
                <w:rFonts w:ascii="Times New Roman" w:hAnsi="Times New Roman"/>
                <w:color w:val="000000" w:themeColor="text1"/>
              </w:rPr>
            </w:pPr>
            <w:r>
              <w:rPr>
                <w:rFonts w:ascii="Times New Roman" w:eastAsia="MS PMincho" w:hAnsi="Times New Roman"/>
                <w:color w:val="000000" w:themeColor="text1"/>
              </w:rPr>
              <w:t>3</w:t>
            </w:r>
          </w:p>
        </w:tc>
        <w:tc>
          <w:tcPr>
            <w:tcW w:w="7650" w:type="dxa"/>
            <w:gridSpan w:val="3"/>
            <w:shd w:val="clear" w:color="auto" w:fill="F0E7E5" w:themeFill="accent3" w:themeFillTint="33"/>
          </w:tcPr>
          <w:p w14:paraId="15D078AA" w14:textId="77777777" w:rsidR="005F2AC9" w:rsidRDefault="00B56839">
            <w:pPr>
              <w:spacing w:before="0" w:after="0" w:line="240" w:lineRule="auto"/>
              <w:rPr>
                <w:rFonts w:ascii="Times New Roman" w:hAnsi="Times New Roman"/>
                <w:b/>
                <w:bCs/>
                <w:color w:val="000000" w:themeColor="text1"/>
              </w:rPr>
            </w:pPr>
            <w:r>
              <w:rPr>
                <w:rFonts w:ascii="Times New Roman" w:eastAsia="MS PMincho" w:hAnsi="Times New Roman"/>
                <w:b/>
                <w:bCs/>
                <w:color w:val="000000" w:themeColor="text1"/>
              </w:rPr>
              <w:t>Inspektime gjithsej</w:t>
            </w:r>
          </w:p>
        </w:tc>
        <w:tc>
          <w:tcPr>
            <w:tcW w:w="1170" w:type="dxa"/>
            <w:shd w:val="clear" w:color="auto" w:fill="F0E7E5" w:themeFill="accent3" w:themeFillTint="33"/>
            <w:vAlign w:val="center"/>
          </w:tcPr>
          <w:p w14:paraId="79B1D38B" w14:textId="77777777" w:rsidR="005F2AC9" w:rsidRDefault="00B56839">
            <w:pPr>
              <w:spacing w:before="0" w:after="0" w:line="240" w:lineRule="auto"/>
              <w:jc w:val="center"/>
              <w:rPr>
                <w:rFonts w:ascii="Times New Roman" w:hAnsi="Times New Roman"/>
                <w:b/>
                <w:bCs/>
                <w:color w:val="000000" w:themeColor="text1"/>
              </w:rPr>
            </w:pPr>
            <w:r>
              <w:rPr>
                <w:rFonts w:ascii="Times New Roman" w:eastAsia="MS PMincho" w:hAnsi="Times New Roman"/>
                <w:b/>
                <w:bCs/>
                <w:color w:val="000000" w:themeColor="text1"/>
              </w:rPr>
              <w:t>134</w:t>
            </w:r>
          </w:p>
        </w:tc>
      </w:tr>
    </w:tbl>
    <w:p w14:paraId="3B52B62D" w14:textId="77777777" w:rsidR="005F2AC9" w:rsidRDefault="00B56839">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Qendrat/Shërbimet e mbështetura nga Fondi Social janë treguesi kryesor i zhvillimit të shërbimeve të përkujdesit shoqëror në Shqipëri. Qendrat/Shërbimet e mbështetura nga Fondi Social janë treguesi kryesor i zhvillimit të shërbimeve të përkujdesit shoqëror në Shqipëri. Për rrjedhojë edhe kontrolli i tyre është një nga kërkesat prioritare të MSHMS-së ndaj Drejtorisë së Inspektimit të Standarteve të Shërbimeve Shoqërore.</w:t>
      </w:r>
    </w:p>
    <w:p w14:paraId="6F23AC5E" w14:textId="77777777" w:rsidR="005F2AC9" w:rsidRDefault="00B56839">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Nëse i referohemi Qendrave/Shërbimeve të mbështetura me Fond Social për vitin 2024, të cilat ishin objekt i punës së Drejtorisë për vitin e marrë në analizë, (2025), konstatohet se janë 23 shërbime të reja krahasuar me një vit më parë. Gjithashtu, nga këto shërbime të reja, konstatohet se 12 janë krijuar pikërisht në sajë të financimit me Fond Social. Për herë të parë në 7 bashki krijohet një Qendër apo Shërbim i përkujdesit shoqëror, pra zgjerohet harta e territorele. </w:t>
      </w:r>
    </w:p>
    <w:p w14:paraId="6627D8F5" w14:textId="1A93F18E" w:rsidR="005F2AC9" w:rsidRDefault="00B56839" w:rsidP="00497703">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Për ilustrim, në grafikun e mëposhtëm paraqitet ecuria në numër dhe lloje përkujdesi të Qendrave/Shëprbimeve të mbështetura me Fond Social.</w:t>
      </w:r>
    </w:p>
    <w:p w14:paraId="21BB1FD9" w14:textId="77777777" w:rsidR="005F2AC9" w:rsidRDefault="00B56839">
      <w:pPr>
        <w:spacing w:after="0" w:line="240" w:lineRule="auto"/>
        <w:jc w:val="center"/>
        <w:rPr>
          <w:rFonts w:ascii="Times New Roman" w:hAnsi="Times New Roman"/>
          <w:color w:val="000000" w:themeColor="text1"/>
          <w:sz w:val="24"/>
          <w:szCs w:val="24"/>
        </w:rPr>
      </w:pPr>
      <w:r>
        <w:rPr>
          <w:noProof/>
        </w:rPr>
        <w:drawing>
          <wp:inline distT="0" distB="0" distL="0" distR="0" wp14:anchorId="73D3A709" wp14:editId="33156055">
            <wp:extent cx="4254500" cy="2514600"/>
            <wp:effectExtent l="0" t="0" r="0" b="0"/>
            <wp:docPr id="1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2C19071" w14:textId="77777777" w:rsidR="005F2AC9" w:rsidRDefault="00B56839">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Edhe për vitin 2025, numri i subjektet publike të kontrolluara është më i lartë se numri i subjekteve jopublike, (70 publike përkundrejt 58 shërbimeve jopublike), por krahasuar me 2 vitet pararendës, diferenca është ulur. Kjo ka ndodhur për të nëjtin faktor, Fondin Social, sepse është në rritje numri i Qendrave/Shërbimeve të klasifikuara shërbime Publike dhe për rrjedhojë edhe numri subjekteve publike të inspektuara në këto 4 vite në analizë.</w:t>
      </w:r>
    </w:p>
    <w:p w14:paraId="76CEF2E6" w14:textId="77777777" w:rsidR="005F2AC9" w:rsidRDefault="00B56839">
      <w:pPr>
        <w:spacing w:after="0" w:line="240" w:lineRule="auto"/>
        <w:jc w:val="center"/>
        <w:rPr>
          <w:color w:val="000000" w:themeColor="text1"/>
        </w:rPr>
      </w:pPr>
      <w:r>
        <w:rPr>
          <w:noProof/>
        </w:rPr>
        <w:drawing>
          <wp:inline distT="0" distB="0" distL="0" distR="0" wp14:anchorId="5DCD9EA6" wp14:editId="344C3919">
            <wp:extent cx="4572000" cy="2209800"/>
            <wp:effectExtent l="0" t="0" r="0" b="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477B566" w14:textId="77777777" w:rsidR="005F2AC9" w:rsidRDefault="00B56839">
      <w:pPr>
        <w:spacing w:after="24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Përsa i përket tipologjisë së përkujdesit, për vitin 2025 Qendrat/Shërbimet komunitare janë shërbimet më të kontrolluara, konkretisht ato janë në masën 77% të gjithë kontrolleve. Në tabelën në vijim paraqitet % e kontrolleve të ushtruara sipas tipologjisë së shërbimit.</w:t>
      </w:r>
    </w:p>
    <w:p w14:paraId="1F76E133" w14:textId="77777777" w:rsidR="005F2AC9" w:rsidRDefault="00B56839">
      <w:pPr>
        <w:spacing w:after="24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Rrita e numrit të kontrolleve të shërbimeve komunitare, është ndikuar drejtëpërdrejtë nga rritja e shërbimeve komunitare të mbështetura/krijuara me Fond Social, (89% ose për 2025 kontrolluar 60 nga 68 Qendra/Shërbime me mbështetje me Fond Social).</w:t>
      </w:r>
    </w:p>
    <w:p w14:paraId="2EAA1E85" w14:textId="77777777" w:rsidR="005F2AC9" w:rsidRDefault="00B56839">
      <w:pPr>
        <w:spacing w:after="240" w:line="240" w:lineRule="auto"/>
        <w:jc w:val="both"/>
        <w:rPr>
          <w:rFonts w:ascii="Times New Roman" w:eastAsia="Times New Roman" w:hAnsi="Times New Roman" w:cs="Times New Roman"/>
          <w:color w:val="000000" w:themeColor="text1"/>
          <w:sz w:val="24"/>
          <w:szCs w:val="24"/>
        </w:rPr>
      </w:pPr>
      <w:r>
        <w:rPr>
          <w:rFonts w:ascii="Times New Roman" w:hAnsi="Times New Roman"/>
          <w:color w:val="000000" w:themeColor="text1"/>
          <w:sz w:val="24"/>
          <w:szCs w:val="24"/>
        </w:rPr>
        <w:t>Nga Analiza Vjetore e SHSSH, raportohet se p</w:t>
      </w:r>
      <w:r>
        <w:rPr>
          <w:rFonts w:ascii="Times New Roman" w:eastAsia="Times New Roman" w:hAnsi="Times New Roman" w:cs="Times New Roman"/>
          <w:color w:val="000000" w:themeColor="text1"/>
          <w:sz w:val="24"/>
          <w:szCs w:val="24"/>
        </w:rPr>
        <w:t>ër vitin 2025 janë realizuar nga sektori i shërbimeve për fëmijë, 5 monitorime në institucionet e përkujdesit për fëmijë; 6 monitorime në IPSH rezidenciale publike për të moshuar, në Fier, Poliçan, Tiranë, Gjirokastër dhe Shkodër; 3 monitorime në qendra zhvillimi në Vlorë, Korçë dhe Qendrën e Zhvillimit Pëllumbat.</w:t>
      </w:r>
    </w:p>
    <w:p w14:paraId="4F61A89C" w14:textId="77777777" w:rsidR="005F2AC9" w:rsidRDefault="00B56839">
      <w:pPr>
        <w:pStyle w:val="NormalWeb"/>
        <w:spacing w:before="280" w:after="280" w:line="276" w:lineRule="auto"/>
        <w:jc w:val="both"/>
        <w:rPr>
          <w:color w:val="000000" w:themeColor="text1"/>
          <w:lang w:val="en-US"/>
        </w:rPr>
      </w:pPr>
      <w:r>
        <w:rPr>
          <w:color w:val="000000" w:themeColor="text1"/>
          <w:lang w:val="en-US"/>
        </w:rPr>
        <w:t>Në përmbushje të përgjegjësisë së përcaktuar në të kuadrit rregullator dhe metodologjisë së llogaritjes së fondeve për financimin e shërbimeve të kujdesit social, Drejtoria e Shërbimeve Sociale ka kryer vlerësimin e shërbimeve të përkujdesit shoqëror në 15 qendra/projekte të përkujdesit shoqëror, të cilat janë mbështetur me Fond Social për vitin 2024 për vitin e parë të financimit. Konkretisht:</w:t>
      </w:r>
    </w:p>
    <w:p w14:paraId="708E4FC5" w14:textId="77777777" w:rsidR="005F2AC9" w:rsidRDefault="00B56839">
      <w:pPr>
        <w:pStyle w:val="NormalWeb"/>
        <w:spacing w:before="280" w:after="280" w:line="276" w:lineRule="auto"/>
        <w:jc w:val="both"/>
        <w:rPr>
          <w:color w:val="000000" w:themeColor="text1"/>
        </w:rPr>
      </w:pPr>
      <w:r>
        <w:rPr>
          <w:color w:val="000000" w:themeColor="text1"/>
        </w:rPr>
        <w:t>Nga këto shërbime kanë përfituar direkt 458 përfitues me AK, 651 përfitues të moshuar dhe 366 përfitues në qendrat multifunksionale; 9 shërbime janë për PAK, 5 shërbime janë për të moshuar, 3 shërbime janë multifunksionale ku përfshihen edhe 2 qendra e emergjencës (2 bashki ofrojnë shërbime edhe PAK, edhe për të moshuar);</w:t>
      </w:r>
    </w:p>
    <w:p w14:paraId="1E973660" w14:textId="77777777" w:rsidR="005F2AC9" w:rsidRDefault="00B56839">
      <w:pPr>
        <w:pStyle w:val="NormalWeb"/>
        <w:spacing w:before="280" w:after="280" w:line="276" w:lineRule="auto"/>
        <w:jc w:val="both"/>
        <w:rPr>
          <w:color w:val="000000" w:themeColor="text1"/>
        </w:rPr>
      </w:pPr>
      <w:r>
        <w:rPr>
          <w:color w:val="000000" w:themeColor="text1"/>
          <w:lang w:val="en-US"/>
        </w:rPr>
        <w:t>Vlerësimi u realizua në:</w:t>
      </w:r>
    </w:p>
    <w:p w14:paraId="2A0DB374" w14:textId="0DB48632" w:rsidR="005F2AC9" w:rsidRDefault="00B56839" w:rsidP="000346C2">
      <w:pPr>
        <w:pStyle w:val="NormalWeb"/>
        <w:numPr>
          <w:ilvl w:val="0"/>
          <w:numId w:val="19"/>
        </w:numPr>
        <w:spacing w:before="0" w:beforeAutospacing="0" w:after="0" w:afterAutospacing="0" w:line="360" w:lineRule="auto"/>
        <w:jc w:val="both"/>
        <w:rPr>
          <w:color w:val="000000" w:themeColor="text1"/>
        </w:rPr>
      </w:pPr>
      <w:r>
        <w:rPr>
          <w:color w:val="000000" w:themeColor="text1"/>
          <w:lang w:val="en-US"/>
        </w:rPr>
        <w:t>14 qendra/shërbime publike, ku ofrues dhe administrues është Bashkia;</w:t>
      </w:r>
    </w:p>
    <w:p w14:paraId="6AAA33EB" w14:textId="3ABA6AE3" w:rsidR="005F2AC9" w:rsidRDefault="00B56839" w:rsidP="000346C2">
      <w:pPr>
        <w:pStyle w:val="NormalWeb"/>
        <w:numPr>
          <w:ilvl w:val="0"/>
          <w:numId w:val="19"/>
        </w:numPr>
        <w:spacing w:before="0" w:beforeAutospacing="0" w:after="0" w:afterAutospacing="0" w:line="360" w:lineRule="auto"/>
        <w:jc w:val="both"/>
        <w:rPr>
          <w:color w:val="000000" w:themeColor="text1"/>
        </w:rPr>
      </w:pPr>
      <w:r>
        <w:rPr>
          <w:color w:val="000000" w:themeColor="text1"/>
          <w:lang w:val="en-US"/>
        </w:rPr>
        <w:t>1 qendër publike, ku ofrues dhe administrues është institucioni i Këshillit të Qarkut;</w:t>
      </w:r>
    </w:p>
    <w:p w14:paraId="1E96A2DA" w14:textId="77777777" w:rsidR="005F2AC9" w:rsidRDefault="00B56839" w:rsidP="000346C2">
      <w:pPr>
        <w:pStyle w:val="NormalWeb"/>
        <w:numPr>
          <w:ilvl w:val="0"/>
          <w:numId w:val="19"/>
        </w:numPr>
        <w:spacing w:before="0" w:beforeAutospacing="0" w:after="0" w:afterAutospacing="0" w:line="360" w:lineRule="auto"/>
        <w:jc w:val="both"/>
        <w:rPr>
          <w:color w:val="000000" w:themeColor="text1"/>
        </w:rPr>
      </w:pPr>
      <w:r>
        <w:rPr>
          <w:color w:val="000000" w:themeColor="text1"/>
          <w:lang w:val="en-US"/>
        </w:rPr>
        <w:t>Për nga lloji i përkujdesit, 15 qendrat/shërbimet e vlerësuara klasifikohen si më poshtë:</w:t>
      </w:r>
    </w:p>
    <w:p w14:paraId="13F24EEE" w14:textId="1CA35046" w:rsidR="005F2AC9" w:rsidRDefault="00B56839" w:rsidP="000346C2">
      <w:pPr>
        <w:pStyle w:val="NormalWeb"/>
        <w:numPr>
          <w:ilvl w:val="0"/>
          <w:numId w:val="19"/>
        </w:numPr>
        <w:spacing w:before="0" w:beforeAutospacing="0" w:after="0" w:afterAutospacing="0" w:line="360" w:lineRule="auto"/>
        <w:jc w:val="both"/>
        <w:rPr>
          <w:color w:val="000000" w:themeColor="text1"/>
        </w:rPr>
      </w:pPr>
      <w:proofErr w:type="gramStart"/>
      <w:r>
        <w:rPr>
          <w:color w:val="000000" w:themeColor="text1"/>
          <w:lang w:val="en-US"/>
        </w:rPr>
        <w:t>shërbime</w:t>
      </w:r>
      <w:proofErr w:type="gramEnd"/>
      <w:r>
        <w:rPr>
          <w:color w:val="000000" w:themeColor="text1"/>
          <w:lang w:val="en-US"/>
        </w:rPr>
        <w:t xml:space="preserve"> të strehimit emergjent;</w:t>
      </w:r>
    </w:p>
    <w:p w14:paraId="51CAA9BF" w14:textId="404B3DAF" w:rsidR="005F2AC9" w:rsidRDefault="00B56839" w:rsidP="000346C2">
      <w:pPr>
        <w:pStyle w:val="NormalWeb"/>
        <w:numPr>
          <w:ilvl w:val="0"/>
          <w:numId w:val="19"/>
        </w:numPr>
        <w:spacing w:before="0" w:beforeAutospacing="0" w:after="0" w:afterAutospacing="0" w:line="360" w:lineRule="auto"/>
        <w:jc w:val="both"/>
        <w:rPr>
          <w:color w:val="000000" w:themeColor="text1"/>
        </w:rPr>
      </w:pPr>
      <w:proofErr w:type="gramStart"/>
      <w:r>
        <w:rPr>
          <w:color w:val="000000" w:themeColor="text1"/>
          <w:lang w:val="en-US"/>
        </w:rPr>
        <w:t>shërbime</w:t>
      </w:r>
      <w:proofErr w:type="gramEnd"/>
      <w:r>
        <w:rPr>
          <w:color w:val="000000" w:themeColor="text1"/>
          <w:lang w:val="en-US"/>
        </w:rPr>
        <w:t xml:space="preserve"> të përkujdesit ditor dhe gjysmëditor në qendër;</w:t>
      </w:r>
    </w:p>
    <w:p w14:paraId="66DEE172" w14:textId="218A3B84" w:rsidR="005F2AC9" w:rsidRDefault="00B56839" w:rsidP="000346C2">
      <w:pPr>
        <w:pStyle w:val="NormalWeb"/>
        <w:numPr>
          <w:ilvl w:val="0"/>
          <w:numId w:val="19"/>
        </w:numPr>
        <w:spacing w:before="0" w:beforeAutospacing="0" w:after="0" w:afterAutospacing="0" w:line="360" w:lineRule="auto"/>
        <w:jc w:val="both"/>
        <w:rPr>
          <w:color w:val="000000" w:themeColor="text1"/>
        </w:rPr>
      </w:pPr>
      <w:r>
        <w:rPr>
          <w:color w:val="000000" w:themeColor="text1"/>
          <w:lang w:val="en-US"/>
        </w:rPr>
        <w:t>9 shërbime të përkujdesit në banesë;</w:t>
      </w:r>
    </w:p>
    <w:p w14:paraId="19FBA3B7" w14:textId="4F1A01BB" w:rsidR="005F2AC9" w:rsidRPr="004860B6" w:rsidRDefault="00B56839" w:rsidP="000346C2">
      <w:pPr>
        <w:pStyle w:val="NormalWeb"/>
        <w:numPr>
          <w:ilvl w:val="0"/>
          <w:numId w:val="19"/>
        </w:numPr>
        <w:spacing w:before="0" w:beforeAutospacing="0" w:after="0" w:afterAutospacing="0" w:line="360" w:lineRule="auto"/>
        <w:jc w:val="both"/>
        <w:rPr>
          <w:color w:val="000000" w:themeColor="text1"/>
        </w:rPr>
      </w:pPr>
      <w:r>
        <w:rPr>
          <w:color w:val="000000" w:themeColor="text1"/>
          <w:lang w:val="en-US"/>
        </w:rPr>
        <w:t>shërbime komunitare/multifunksionale.</w:t>
      </w:r>
    </w:p>
    <w:tbl>
      <w:tblPr>
        <w:tblStyle w:val="TableGrid"/>
        <w:tblW w:w="8820" w:type="dxa"/>
        <w:tblInd w:w="108" w:type="dxa"/>
        <w:tblLayout w:type="fixed"/>
        <w:tblLook w:val="04A0" w:firstRow="1" w:lastRow="0" w:firstColumn="1" w:lastColumn="0" w:noHBand="0" w:noVBand="1"/>
      </w:tblPr>
      <w:tblGrid>
        <w:gridCol w:w="539"/>
        <w:gridCol w:w="6390"/>
        <w:gridCol w:w="720"/>
        <w:gridCol w:w="1171"/>
      </w:tblGrid>
      <w:tr w:rsidR="005F2AC9" w14:paraId="337B85AE" w14:textId="77777777">
        <w:trPr>
          <w:trHeight w:val="300"/>
        </w:trPr>
        <w:tc>
          <w:tcPr>
            <w:tcW w:w="7649" w:type="dxa"/>
            <w:gridSpan w:val="3"/>
            <w:shd w:val="clear" w:color="auto" w:fill="C6BFAB" w:themeFill="accent5" w:themeFillTint="99"/>
          </w:tcPr>
          <w:p w14:paraId="65C45B73" w14:textId="77777777" w:rsidR="005F2AC9" w:rsidRDefault="00B56839">
            <w:pPr>
              <w:spacing w:before="0" w:after="0" w:line="240" w:lineRule="auto"/>
              <w:jc w:val="center"/>
              <w:rPr>
                <w:rFonts w:ascii="Times New Roman" w:hAnsi="Times New Roman"/>
                <w:b/>
                <w:bCs/>
                <w:color w:val="000000" w:themeColor="text1"/>
              </w:rPr>
            </w:pPr>
            <w:r>
              <w:rPr>
                <w:rFonts w:ascii="Times New Roman" w:eastAsia="MS PMincho" w:hAnsi="Times New Roman"/>
                <w:b/>
                <w:bCs/>
                <w:color w:val="000000" w:themeColor="text1"/>
              </w:rPr>
              <w:t>Treguesi</w:t>
            </w:r>
          </w:p>
        </w:tc>
        <w:tc>
          <w:tcPr>
            <w:tcW w:w="1171" w:type="dxa"/>
            <w:shd w:val="clear" w:color="auto" w:fill="C6BFAB" w:themeFill="accent5" w:themeFillTint="99"/>
            <w:vAlign w:val="center"/>
          </w:tcPr>
          <w:p w14:paraId="38F53EEB" w14:textId="77777777" w:rsidR="005F2AC9" w:rsidRDefault="00B56839">
            <w:pPr>
              <w:spacing w:before="0" w:after="0" w:line="240" w:lineRule="auto"/>
              <w:jc w:val="center"/>
              <w:rPr>
                <w:rFonts w:ascii="Times New Roman" w:hAnsi="Times New Roman"/>
                <w:b/>
                <w:bCs/>
                <w:color w:val="000000" w:themeColor="text1"/>
                <w:sz w:val="24"/>
                <w:szCs w:val="24"/>
              </w:rPr>
            </w:pPr>
            <w:r>
              <w:rPr>
                <w:rFonts w:ascii="Times New Roman" w:eastAsia="MS PMincho" w:hAnsi="Times New Roman"/>
                <w:b/>
                <w:bCs/>
                <w:color w:val="000000" w:themeColor="text1"/>
              </w:rPr>
              <w:t>Realizuar</w:t>
            </w:r>
          </w:p>
        </w:tc>
      </w:tr>
      <w:tr w:rsidR="005F2AC9" w14:paraId="136E59DC" w14:textId="77777777">
        <w:trPr>
          <w:trHeight w:val="360"/>
        </w:trPr>
        <w:tc>
          <w:tcPr>
            <w:tcW w:w="8820" w:type="dxa"/>
            <w:gridSpan w:val="4"/>
          </w:tcPr>
          <w:p w14:paraId="24C4228E" w14:textId="77777777" w:rsidR="005F2AC9" w:rsidRDefault="00B56839">
            <w:pPr>
              <w:spacing w:before="0" w:after="0" w:line="240" w:lineRule="auto"/>
              <w:rPr>
                <w:rFonts w:ascii="Times New Roman" w:hAnsi="Times New Roman"/>
                <w:b/>
                <w:bCs/>
                <w:color w:val="000000" w:themeColor="text1"/>
              </w:rPr>
            </w:pPr>
            <w:r>
              <w:rPr>
                <w:rFonts w:ascii="Times New Roman" w:eastAsia="MS PMincho" w:hAnsi="Times New Roman"/>
                <w:b/>
                <w:bCs/>
                <w:color w:val="000000" w:themeColor="text1"/>
              </w:rPr>
              <w:t xml:space="preserve">Monitorime </w:t>
            </w:r>
            <w:r>
              <w:rPr>
                <w:rFonts w:ascii="Times New Roman" w:eastAsia="MS PMincho" w:hAnsi="Times New Roman"/>
                <w:color w:val="000000" w:themeColor="text1"/>
              </w:rPr>
              <w:t xml:space="preserve">të Qendrave/Sh të përkujdesit social publike                                                                                                                                         </w:t>
            </w:r>
          </w:p>
        </w:tc>
      </w:tr>
      <w:tr w:rsidR="005F2AC9" w14:paraId="5B692ED4" w14:textId="77777777">
        <w:trPr>
          <w:trHeight w:val="300"/>
        </w:trPr>
        <w:tc>
          <w:tcPr>
            <w:tcW w:w="539" w:type="dxa"/>
          </w:tcPr>
          <w:p w14:paraId="0B7A1036" w14:textId="77777777" w:rsidR="005F2AC9" w:rsidRDefault="00B56839">
            <w:pPr>
              <w:spacing w:before="0" w:after="0" w:line="240" w:lineRule="auto"/>
              <w:rPr>
                <w:rFonts w:ascii="Times New Roman" w:hAnsi="Times New Roman"/>
                <w:color w:val="000000" w:themeColor="text1"/>
              </w:rPr>
            </w:pPr>
            <w:r>
              <w:rPr>
                <w:rFonts w:ascii="Times New Roman" w:eastAsia="MS PMincho" w:hAnsi="Times New Roman"/>
                <w:color w:val="000000" w:themeColor="text1"/>
              </w:rPr>
              <w:t>1.1</w:t>
            </w:r>
          </w:p>
        </w:tc>
        <w:tc>
          <w:tcPr>
            <w:tcW w:w="6390" w:type="dxa"/>
          </w:tcPr>
          <w:p w14:paraId="64CC9F70" w14:textId="77777777" w:rsidR="005F2AC9" w:rsidRDefault="00B56839">
            <w:pPr>
              <w:spacing w:before="0" w:after="0" w:line="240" w:lineRule="auto"/>
              <w:rPr>
                <w:rFonts w:ascii="Times New Roman" w:hAnsi="Times New Roman"/>
                <w:i/>
                <w:iCs/>
                <w:color w:val="000000" w:themeColor="text1"/>
              </w:rPr>
            </w:pPr>
            <w:r>
              <w:rPr>
                <w:rFonts w:ascii="Times New Roman" w:eastAsia="MS PMincho" w:hAnsi="Times New Roman"/>
                <w:i/>
                <w:iCs/>
                <w:color w:val="000000" w:themeColor="text1"/>
              </w:rPr>
              <w:t xml:space="preserve">Qendra përkujdesi (IPSH </w:t>
            </w:r>
            <w:proofErr w:type="gramStart"/>
            <w:r>
              <w:rPr>
                <w:rFonts w:ascii="Times New Roman" w:eastAsia="MS PMincho" w:hAnsi="Times New Roman"/>
                <w:i/>
                <w:iCs/>
                <w:color w:val="000000" w:themeColor="text1"/>
              </w:rPr>
              <w:t>publike )</w:t>
            </w:r>
            <w:proofErr w:type="gramEnd"/>
          </w:p>
        </w:tc>
        <w:tc>
          <w:tcPr>
            <w:tcW w:w="1891" w:type="dxa"/>
            <w:gridSpan w:val="2"/>
            <w:vMerge w:val="restart"/>
          </w:tcPr>
          <w:p w14:paraId="190D71E4" w14:textId="77777777" w:rsidR="005F2AC9" w:rsidRDefault="00B56839">
            <w:pPr>
              <w:spacing w:before="0" w:after="0" w:line="240" w:lineRule="auto"/>
              <w:jc w:val="center"/>
              <w:rPr>
                <w:rFonts w:ascii="Times New Roman" w:hAnsi="Times New Roman"/>
                <w:color w:val="000000" w:themeColor="text1"/>
              </w:rPr>
            </w:pPr>
            <w:r>
              <w:rPr>
                <w:rFonts w:ascii="Times New Roman" w:eastAsia="MS PMincho" w:hAnsi="Times New Roman"/>
                <w:color w:val="000000" w:themeColor="text1"/>
              </w:rPr>
              <w:t>14</w:t>
            </w:r>
          </w:p>
          <w:p w14:paraId="33D70861" w14:textId="77777777" w:rsidR="005F2AC9" w:rsidRDefault="00B56839">
            <w:pPr>
              <w:spacing w:before="0" w:after="0" w:line="240" w:lineRule="auto"/>
              <w:jc w:val="center"/>
              <w:rPr>
                <w:rFonts w:ascii="Times New Roman" w:hAnsi="Times New Roman"/>
                <w:color w:val="000000" w:themeColor="text1"/>
              </w:rPr>
            </w:pPr>
            <w:r>
              <w:rPr>
                <w:rFonts w:ascii="Times New Roman" w:eastAsia="MS PMincho" w:hAnsi="Times New Roman"/>
                <w:color w:val="000000" w:themeColor="text1"/>
              </w:rPr>
              <w:t>15</w:t>
            </w:r>
          </w:p>
        </w:tc>
      </w:tr>
      <w:tr w:rsidR="005F2AC9" w14:paraId="28227BEB" w14:textId="77777777">
        <w:trPr>
          <w:trHeight w:val="300"/>
        </w:trPr>
        <w:tc>
          <w:tcPr>
            <w:tcW w:w="539" w:type="dxa"/>
          </w:tcPr>
          <w:p w14:paraId="6D3660B1" w14:textId="77777777" w:rsidR="005F2AC9" w:rsidRDefault="00B56839">
            <w:pPr>
              <w:spacing w:before="0" w:after="0" w:line="240" w:lineRule="auto"/>
              <w:rPr>
                <w:rFonts w:ascii="Times New Roman" w:hAnsi="Times New Roman"/>
                <w:color w:val="000000" w:themeColor="text1"/>
              </w:rPr>
            </w:pPr>
            <w:r>
              <w:rPr>
                <w:rFonts w:ascii="Times New Roman" w:eastAsia="MS PMincho" w:hAnsi="Times New Roman"/>
                <w:color w:val="000000" w:themeColor="text1"/>
              </w:rPr>
              <w:t>1.2</w:t>
            </w:r>
          </w:p>
        </w:tc>
        <w:tc>
          <w:tcPr>
            <w:tcW w:w="6390" w:type="dxa"/>
          </w:tcPr>
          <w:p w14:paraId="5A2852CC" w14:textId="77777777" w:rsidR="005F2AC9" w:rsidRDefault="00B56839">
            <w:pPr>
              <w:spacing w:before="0" w:after="0" w:line="240" w:lineRule="auto"/>
              <w:rPr>
                <w:rFonts w:ascii="Times New Roman" w:hAnsi="Times New Roman"/>
                <w:b/>
                <w:bCs/>
                <w:color w:val="000000" w:themeColor="text1"/>
              </w:rPr>
            </w:pPr>
            <w:r>
              <w:rPr>
                <w:rFonts w:ascii="Times New Roman" w:eastAsia="MS PMincho" w:hAnsi="Times New Roman"/>
                <w:i/>
                <w:iCs/>
                <w:color w:val="000000" w:themeColor="text1"/>
              </w:rPr>
              <w:t>Qendra përkujdesi të mbështetura me Fond Social në vijimësi</w:t>
            </w:r>
          </w:p>
        </w:tc>
        <w:tc>
          <w:tcPr>
            <w:tcW w:w="1891" w:type="dxa"/>
            <w:gridSpan w:val="2"/>
            <w:vMerge/>
          </w:tcPr>
          <w:p w14:paraId="57FD368C" w14:textId="77777777" w:rsidR="005F2AC9" w:rsidRDefault="005F2AC9">
            <w:pPr>
              <w:spacing w:before="0" w:after="0" w:line="240" w:lineRule="auto"/>
              <w:rPr>
                <w:color w:val="000000" w:themeColor="text1"/>
              </w:rPr>
            </w:pPr>
          </w:p>
        </w:tc>
      </w:tr>
      <w:tr w:rsidR="005F2AC9" w14:paraId="0BA8DA0A" w14:textId="77777777">
        <w:trPr>
          <w:trHeight w:val="300"/>
        </w:trPr>
        <w:tc>
          <w:tcPr>
            <w:tcW w:w="8820" w:type="dxa"/>
            <w:gridSpan w:val="4"/>
            <w:shd w:val="clear" w:color="auto" w:fill="F0E7E5" w:themeFill="accent3" w:themeFillTint="33"/>
          </w:tcPr>
          <w:p w14:paraId="4DF89ECB" w14:textId="77777777" w:rsidR="005F2AC9" w:rsidRDefault="00B56839">
            <w:pPr>
              <w:spacing w:before="0" w:after="0" w:line="240" w:lineRule="auto"/>
              <w:rPr>
                <w:rFonts w:ascii="Times New Roman" w:hAnsi="Times New Roman"/>
                <w:b/>
                <w:bCs/>
                <w:color w:val="000000" w:themeColor="text1"/>
              </w:rPr>
            </w:pPr>
            <w:r>
              <w:rPr>
                <w:rFonts w:ascii="Times New Roman" w:eastAsia="MS PMincho" w:hAnsi="Times New Roman"/>
                <w:b/>
                <w:bCs/>
                <w:color w:val="000000" w:themeColor="text1"/>
              </w:rPr>
              <w:t>Monitorime gjithsej</w:t>
            </w:r>
          </w:p>
          <w:p w14:paraId="55F0A2F8" w14:textId="77777777" w:rsidR="005F2AC9" w:rsidRDefault="00B56839">
            <w:pPr>
              <w:spacing w:before="0" w:after="0" w:line="240" w:lineRule="auto"/>
              <w:jc w:val="center"/>
              <w:rPr>
                <w:rFonts w:ascii="Times New Roman" w:hAnsi="Times New Roman"/>
                <w:b/>
                <w:bCs/>
                <w:color w:val="000000" w:themeColor="text1"/>
              </w:rPr>
            </w:pPr>
            <w:r>
              <w:rPr>
                <w:rFonts w:ascii="Times New Roman" w:eastAsia="MS PMincho" w:hAnsi="Times New Roman"/>
                <w:b/>
                <w:bCs/>
                <w:color w:val="000000" w:themeColor="text1"/>
              </w:rPr>
              <w:t xml:space="preserve">                                                                                                                                          29</w:t>
            </w:r>
          </w:p>
        </w:tc>
      </w:tr>
    </w:tbl>
    <w:p w14:paraId="67C17238" w14:textId="77777777" w:rsidR="005F2AC9" w:rsidRDefault="00B56839">
      <w:pPr>
        <w:pStyle w:val="NormalWeb"/>
        <w:spacing w:before="280" w:after="280" w:line="276" w:lineRule="auto"/>
        <w:jc w:val="both"/>
        <w:rPr>
          <w:color w:val="000000" w:themeColor="text1"/>
          <w:lang w:val="en-US"/>
        </w:rPr>
      </w:pPr>
      <w:r>
        <w:rPr>
          <w:color w:val="000000" w:themeColor="text1"/>
          <w:lang w:val="en-US"/>
        </w:rPr>
        <w:t xml:space="preserve">Monitorimi, i shërbimeve të financuara me fond social ka evidentuar një sërë zhvillimesh pozitive, përfshirë rritjen të shërbimeve lëvizëse dhe në banesë për të moshuarit dhe personat me aftësi të kufizuar. Në shtatë bashki janë ngritur për herë të parë shërbime sociale të mbështetura me Fond Social, ndërsa realizimi financiar i fondit gjatë 2024 ka arritur në 90.8%, duke reflektuar një përmirësim krahasuar me vitin 2023. </w:t>
      </w:r>
    </w:p>
    <w:p w14:paraId="0347BE37" w14:textId="77777777" w:rsidR="005F2AC9" w:rsidRDefault="00B56839">
      <w:pPr>
        <w:pStyle w:val="NormalWeb"/>
        <w:spacing w:before="280" w:after="280" w:line="276" w:lineRule="auto"/>
        <w:jc w:val="both"/>
        <w:rPr>
          <w:color w:val="000000" w:themeColor="text1"/>
          <w:lang w:val="en-US"/>
        </w:rPr>
      </w:pPr>
      <w:r>
        <w:rPr>
          <w:color w:val="000000" w:themeColor="text1"/>
          <w:lang w:val="en-US"/>
        </w:rPr>
        <w:t>Megjithatë, inspektimet kanë evidentuar edhe disa problematika. Tre nga 68 qendrat e monitoruara rezultojnë joplotësisht funksionale, për shkak të mungesës së licensimit, reduktimit të stafit, mosrealizimit të shërbimeve të planifikuara dhe vështirësive në prokurimin e fondeve. Në disa raste, dokumentacioni i përfituesve ka qenë i paplotë, procedurat e ankimimit nuk kanë funksionuar siç duhet dhe ka pasur mangësi në përmbushjen e standardeve të sigurisë dhe stafit të nevojshëm, mos përdorimi i regjistrit elektronik. Mungesa e licensimit mbetet një sfidë e vazhdueshme për qendrat publike, veçanërisht ato të reja në administrim të bashkive, ndërsa drejtuesit e shërbimeve raportojnë vështirësi në përgatitjen e dokumentacionit dhe aplikimin online.</w:t>
      </w:r>
    </w:p>
    <w:p w14:paraId="7258FEB9" w14:textId="77777777" w:rsidR="005F2AC9" w:rsidRDefault="00B56839">
      <w:pPr>
        <w:pStyle w:val="NormalWeb"/>
        <w:spacing w:before="280" w:after="280" w:line="276" w:lineRule="auto"/>
        <w:jc w:val="both"/>
        <w:rPr>
          <w:color w:val="000000" w:themeColor="text1"/>
          <w:lang w:val="en-US"/>
        </w:rPr>
      </w:pPr>
      <w:r>
        <w:rPr>
          <w:color w:val="000000" w:themeColor="text1"/>
          <w:lang w:val="en-US"/>
        </w:rPr>
        <w:t>Në raport me përmbushjen e standardeve, konstatohet se në pjesën më të madhe të qendrave janë respektuar kërkesat proceduriale, por në 58 prej tyre ka mangësi në plotësimin e treguesve të veçantë. Rekomandimet e lëna një vit më parë janë realizuar pjesërisht, ndërsa ato që kërkojnë angazhimin e strukturave të tjera të bashkive, si licensimi, investimet në mjete lëvizëse dhe plotësimi i vendeve të punës, mbeten të parealizuara. Rekomandimet e realizuara plotësisht lidhen kryesisht me detyra rutinë të stafit, ndërsa mungesa e dokumentacionit dhe mosfunksionimi i procedurës së ankimimit janë rritur ndjeshëm krahasuar me vitin e kaluar.</w:t>
      </w:r>
    </w:p>
    <w:p w14:paraId="7E596F22" w14:textId="77777777" w:rsidR="005F2AC9" w:rsidRDefault="00B56839">
      <w:pPr>
        <w:pStyle w:val="NormalWeb"/>
        <w:spacing w:before="280" w:after="280" w:line="276" w:lineRule="auto"/>
        <w:jc w:val="both"/>
        <w:rPr>
          <w:color w:val="000000" w:themeColor="text1"/>
          <w:lang w:val="en-US"/>
        </w:rPr>
      </w:pPr>
      <w:r>
        <w:rPr>
          <w:color w:val="000000" w:themeColor="text1"/>
          <w:lang w:val="en-US"/>
        </w:rPr>
        <w:t>Në vijim, është propozuar që të rivlerësohet situata e shërbimeve me përdorim të ulët të fondeve dhe mosrealizim të objektivave për vitin 2025, në bashkëpunim mes MSHMS dhe SHSSH. Po ashtu, kërkohet forcimi i kapaciteteve IT në drejtoritë rajonale për të asistuar bashkitë në përdorimin e sistemit elektronik, si dhe përgatitja e një raporti të hollësishëm mbi ecurinë e shërbimeve të financuara me Fond Social, që do të shërbejë si dokument kyç për Komisionin e Vlerësimit. SHSSH do të ndjekë rregullisht përdorimin e fondeve dhe do të informojë MSHMS për progresin dhe sfidat e hasura.</w:t>
      </w:r>
    </w:p>
    <w:p w14:paraId="480954DA" w14:textId="77777777" w:rsidR="005F2AC9" w:rsidRDefault="00B56839">
      <w:pPr>
        <w:pStyle w:val="NormalWeb"/>
        <w:spacing w:before="280" w:after="280" w:line="276" w:lineRule="auto"/>
        <w:rPr>
          <w:color w:val="000000" w:themeColor="text1"/>
          <w:u w:val="single"/>
          <w:lang w:val="sq-AL"/>
        </w:rPr>
      </w:pPr>
      <w:r>
        <w:rPr>
          <w:color w:val="000000" w:themeColor="text1"/>
          <w:u w:val="single"/>
          <w:lang w:val="sq-AL"/>
        </w:rPr>
        <w:t xml:space="preserve">B.2.2 </w:t>
      </w:r>
      <w:bookmarkStart w:id="41" w:name="_Hlk156580861"/>
      <w:r>
        <w:rPr>
          <w:color w:val="000000" w:themeColor="text1"/>
          <w:u w:val="single"/>
          <w:lang w:val="sq-AL"/>
        </w:rPr>
        <w:t>Forcimi i kapaciteteve dhe statusit të personelit të shërbimeve të kujdesit social për të siguruar shërbime cilësore, efektive dhe të përgjegjshme gjinore.</w:t>
      </w:r>
      <w:bookmarkEnd w:id="41"/>
    </w:p>
    <w:p w14:paraId="2908FF72" w14:textId="77777777" w:rsidR="005F2AC9" w:rsidRDefault="00B56839">
      <w:pPr>
        <w:pStyle w:val="NormalWeb"/>
        <w:spacing w:before="280" w:after="280"/>
        <w:rPr>
          <w:color w:val="000000" w:themeColor="text1"/>
          <w:lang w:val="pt-BR"/>
        </w:rPr>
      </w:pPr>
      <w:r>
        <w:rPr>
          <w:b/>
          <w:bCs/>
          <w:color w:val="000000" w:themeColor="text1"/>
          <w:lang w:val="sq-AL"/>
        </w:rPr>
        <w:t>Aktivitetet prioritare për periudhën e raportimit</w:t>
      </w:r>
      <w:r>
        <w:rPr>
          <w:color w:val="000000" w:themeColor="text1"/>
          <w:lang w:val="sq-AL"/>
        </w:rPr>
        <w:t>:</w:t>
      </w:r>
    </w:p>
    <w:p w14:paraId="593C807E" w14:textId="77777777" w:rsidR="005F2AC9" w:rsidRDefault="00B56839">
      <w:pPr>
        <w:pStyle w:val="ListParagraph"/>
        <w:numPr>
          <w:ilvl w:val="0"/>
          <w:numId w:val="11"/>
        </w:numPr>
        <w:spacing w:before="60" w:after="60"/>
        <w:jc w:val="both"/>
        <w:rPr>
          <w:rFonts w:ascii="Times New Roman" w:hAnsi="Times New Roman" w:cs="Times New Roman"/>
          <w:color w:val="000000" w:themeColor="text1"/>
          <w:sz w:val="24"/>
          <w:lang w:val="sq-AL"/>
        </w:rPr>
      </w:pPr>
      <w:r>
        <w:rPr>
          <w:rFonts w:ascii="Times New Roman" w:hAnsi="Times New Roman" w:cs="Times New Roman"/>
          <w:color w:val="000000" w:themeColor="text1"/>
          <w:sz w:val="24"/>
          <w:lang w:val="sq-AL"/>
        </w:rPr>
        <w:t>Rishikimi dhe integrimi i detyrave të lidhura me përgjigjen ndaj emergjencave në përshkrimet e punës së punonjësve për të mos cënuar cilësinë e shërbimit social; Hartimi dhe zbatimi i një pakete trajnimi të targetuar për përgjigjen ndaj emergjencave të shërbimeve të kujdesit social për punonjësit publikë dhe jopublikë;</w:t>
      </w:r>
    </w:p>
    <w:p w14:paraId="011A57F1" w14:textId="77777777" w:rsidR="005F2AC9" w:rsidRDefault="00B56839">
      <w:pPr>
        <w:pStyle w:val="ListParagraph"/>
        <w:numPr>
          <w:ilvl w:val="0"/>
          <w:numId w:val="11"/>
        </w:numPr>
        <w:spacing w:before="60" w:after="60"/>
        <w:jc w:val="both"/>
        <w:rPr>
          <w:rFonts w:ascii="Times New Roman" w:hAnsi="Times New Roman" w:cs="Times New Roman"/>
          <w:color w:val="000000" w:themeColor="text1"/>
          <w:sz w:val="24"/>
          <w:lang w:val="sq-AL"/>
        </w:rPr>
      </w:pPr>
      <w:r>
        <w:rPr>
          <w:rFonts w:ascii="Times New Roman" w:hAnsi="Times New Roman" w:cs="Times New Roman"/>
          <w:color w:val="000000" w:themeColor="text1"/>
          <w:sz w:val="24"/>
          <w:lang w:val="sq-AL"/>
        </w:rPr>
        <w:t xml:space="preserve">Analizë e situatës së burimeve njerëzore në fushën e shërbimeve të kujdesit social dhe edukimit të forcës së punës; Hartimi, kostimi dhe zbatimi i planit për zhvillimin e forcës së punës dhe edukimit në vazhdim, me synimin afatgjatë që t'i përgjigjet zhvillimit dhe shtrirjes së shërbimeve të reja; </w:t>
      </w:r>
    </w:p>
    <w:p w14:paraId="6AAC56D2" w14:textId="77777777" w:rsidR="005F2AC9" w:rsidRDefault="00B56839">
      <w:pPr>
        <w:pStyle w:val="ListParagraph"/>
        <w:numPr>
          <w:ilvl w:val="0"/>
          <w:numId w:val="11"/>
        </w:numPr>
        <w:spacing w:before="60" w:after="60"/>
        <w:jc w:val="both"/>
        <w:rPr>
          <w:rFonts w:ascii="Times New Roman" w:hAnsi="Times New Roman" w:cs="Times New Roman"/>
          <w:color w:val="000000" w:themeColor="text1"/>
          <w:sz w:val="24"/>
          <w:lang w:val="sq-AL"/>
        </w:rPr>
      </w:pPr>
      <w:r>
        <w:rPr>
          <w:rFonts w:ascii="Times New Roman" w:hAnsi="Times New Roman" w:cs="Times New Roman"/>
          <w:color w:val="000000" w:themeColor="text1"/>
          <w:sz w:val="24"/>
          <w:lang w:val="sq-AL"/>
        </w:rPr>
        <w:t>Akreditimi i ofruesve të programeve të trajnimit dhe edukimit ne vazhdimësi për punonjësit social të shërbimeve sociale;</w:t>
      </w:r>
    </w:p>
    <w:p w14:paraId="708B9ED0" w14:textId="77777777" w:rsidR="005F2AC9" w:rsidRDefault="00B56839">
      <w:pPr>
        <w:pStyle w:val="ListParagraph"/>
        <w:numPr>
          <w:ilvl w:val="0"/>
          <w:numId w:val="11"/>
        </w:numPr>
        <w:spacing w:before="60" w:after="60"/>
        <w:jc w:val="both"/>
        <w:rPr>
          <w:rFonts w:ascii="Times New Roman" w:hAnsi="Times New Roman" w:cs="Times New Roman"/>
          <w:color w:val="000000" w:themeColor="text1"/>
          <w:sz w:val="24"/>
          <w:lang w:val="sq-AL"/>
        </w:rPr>
      </w:pPr>
      <w:r>
        <w:rPr>
          <w:rFonts w:ascii="Times New Roman" w:hAnsi="Times New Roman" w:cs="Times New Roman"/>
          <w:color w:val="000000" w:themeColor="text1"/>
          <w:sz w:val="24"/>
          <w:lang w:val="sq-AL"/>
        </w:rPr>
        <w:t xml:space="preserve">Monitorimi i ofrimit të trajnimeve dhe programeve të edukimit në vazhdimësi sipas parimeve të barazisë gjinore dhe të drejtave të njeriut; </w:t>
      </w:r>
    </w:p>
    <w:p w14:paraId="375885C7" w14:textId="77777777" w:rsidR="005F2AC9" w:rsidRDefault="00B56839">
      <w:pPr>
        <w:pStyle w:val="ListParagraph"/>
        <w:numPr>
          <w:ilvl w:val="0"/>
          <w:numId w:val="11"/>
        </w:numPr>
        <w:spacing w:before="60" w:after="60"/>
        <w:jc w:val="both"/>
        <w:rPr>
          <w:rFonts w:ascii="Times New Roman" w:hAnsi="Times New Roman" w:cs="Times New Roman"/>
          <w:color w:val="000000" w:themeColor="text1"/>
          <w:sz w:val="24"/>
          <w:lang w:val="sq-AL"/>
        </w:rPr>
      </w:pPr>
      <w:r>
        <w:rPr>
          <w:rFonts w:ascii="Times New Roman" w:hAnsi="Times New Roman" w:cs="Times New Roman"/>
          <w:color w:val="000000" w:themeColor="text1"/>
          <w:sz w:val="24"/>
          <w:lang w:val="sq-AL"/>
        </w:rPr>
        <w:t xml:space="preserve">Bashkëpunimi me Urdhërin e Psikologut dhe të Punonjësit Social për avancimin e proçesit të licensimit dhe forcimit të statusit të profesionistëve.  </w:t>
      </w:r>
    </w:p>
    <w:p w14:paraId="5A10F2A4" w14:textId="77777777" w:rsidR="005F2AC9" w:rsidRDefault="005F2AC9">
      <w:pPr>
        <w:spacing w:after="0"/>
        <w:jc w:val="both"/>
        <w:rPr>
          <w:rFonts w:ascii="Times New Roman" w:hAnsi="Times New Roman"/>
          <w:b/>
          <w:bCs/>
          <w:color w:val="000000" w:themeColor="text1"/>
          <w:sz w:val="24"/>
          <w:szCs w:val="24"/>
          <w:lang w:val="sq-AL"/>
        </w:rPr>
      </w:pPr>
    </w:p>
    <w:p w14:paraId="57396521" w14:textId="77777777" w:rsidR="005F2AC9" w:rsidRDefault="00B56839">
      <w:pPr>
        <w:spacing w:after="0"/>
        <w:jc w:val="both"/>
        <w:rPr>
          <w:rFonts w:ascii="Times New Roman" w:eastAsia="Times New Roman" w:hAnsi="Times New Roman" w:cs="Times New Roman"/>
          <w:b/>
          <w:bCs/>
          <w:color w:val="000000" w:themeColor="text1"/>
          <w:sz w:val="24"/>
          <w:szCs w:val="24"/>
          <w:lang w:val="pt-BR"/>
        </w:rPr>
      </w:pPr>
      <w:r>
        <w:rPr>
          <w:rFonts w:ascii="Times New Roman" w:eastAsia="Times New Roman" w:hAnsi="Times New Roman" w:cs="Times New Roman"/>
          <w:b/>
          <w:bCs/>
          <w:color w:val="000000" w:themeColor="text1"/>
          <w:sz w:val="24"/>
          <w:szCs w:val="24"/>
          <w:lang w:val="it-IT"/>
        </w:rPr>
        <w:t>Tabela:</w:t>
      </w:r>
      <w:r>
        <w:rPr>
          <w:rFonts w:eastAsia="Garamond" w:cs="Garamond"/>
          <w:b/>
          <w:bCs/>
          <w:color w:val="000000" w:themeColor="text1"/>
          <w:lang w:val="it-IT"/>
        </w:rPr>
        <w:t xml:space="preserve"> </w:t>
      </w:r>
      <w:r>
        <w:rPr>
          <w:rFonts w:ascii="Times New Roman" w:eastAsia="Times New Roman" w:hAnsi="Times New Roman" w:cs="Times New Roman"/>
          <w:b/>
          <w:bCs/>
          <w:color w:val="000000" w:themeColor="text1"/>
          <w:sz w:val="24"/>
          <w:szCs w:val="24"/>
          <w:lang w:val="pt-BR"/>
        </w:rPr>
        <w:t>Indikatorët e Pasaportës për Objektivin specifik B.2.2</w:t>
      </w:r>
    </w:p>
    <w:p w14:paraId="4FE97DE0" w14:textId="77777777" w:rsidR="005F2AC9" w:rsidRDefault="005F2AC9">
      <w:pPr>
        <w:spacing w:after="0"/>
        <w:jc w:val="both"/>
        <w:rPr>
          <w:rFonts w:ascii="Times New Roman" w:eastAsia="Times New Roman" w:hAnsi="Times New Roman" w:cs="Times New Roman"/>
          <w:b/>
          <w:bCs/>
          <w:color w:val="000000" w:themeColor="text1"/>
          <w:sz w:val="24"/>
          <w:szCs w:val="24"/>
          <w:lang w:val="pt-BR"/>
        </w:rPr>
      </w:pPr>
    </w:p>
    <w:tbl>
      <w:tblPr>
        <w:tblStyle w:val="TableGrid"/>
        <w:tblW w:w="9250" w:type="dxa"/>
        <w:tblLayout w:type="fixed"/>
        <w:tblLook w:val="04A0" w:firstRow="1" w:lastRow="0" w:firstColumn="1" w:lastColumn="0" w:noHBand="0" w:noVBand="1"/>
      </w:tblPr>
      <w:tblGrid>
        <w:gridCol w:w="2132"/>
        <w:gridCol w:w="2322"/>
        <w:gridCol w:w="1264"/>
        <w:gridCol w:w="1058"/>
        <w:gridCol w:w="1058"/>
        <w:gridCol w:w="1416"/>
      </w:tblGrid>
      <w:tr w:rsidR="005F2AC9" w14:paraId="67A3D94B" w14:textId="77777777">
        <w:trPr>
          <w:trHeight w:val="300"/>
        </w:trPr>
        <w:tc>
          <w:tcPr>
            <w:tcW w:w="2131" w:type="dxa"/>
            <w:tcBorders>
              <w:top w:val="single" w:sz="8" w:space="0" w:color="000000"/>
              <w:left w:val="single" w:sz="8" w:space="0" w:color="000000"/>
              <w:bottom w:val="single" w:sz="8" w:space="0" w:color="000000"/>
              <w:right w:val="single" w:sz="8" w:space="0" w:color="000000"/>
            </w:tcBorders>
          </w:tcPr>
          <w:p w14:paraId="4B8EE0E0"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B2.2. Forcimi i kapaciteteve dhe statusit të personelit të shërbimeve të kujdesit social për të siguruar shërbime cilësore, efektive dhe të përgjegjshme gjinore.</w:t>
            </w:r>
          </w:p>
        </w:tc>
        <w:tc>
          <w:tcPr>
            <w:tcW w:w="2322" w:type="dxa"/>
            <w:tcBorders>
              <w:top w:val="single" w:sz="8" w:space="0" w:color="000000"/>
              <w:left w:val="single" w:sz="8" w:space="0" w:color="000000"/>
              <w:bottom w:val="single" w:sz="8" w:space="0" w:color="000000"/>
              <w:right w:val="single" w:sz="8" w:space="0" w:color="000000"/>
            </w:tcBorders>
          </w:tcPr>
          <w:p w14:paraId="4355DDCC"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502AAE94" w14:textId="77777777" w:rsidR="005F2AC9" w:rsidRDefault="00B56839">
            <w:pPr>
              <w:spacing w:before="0" w:after="0" w:line="240" w:lineRule="auto"/>
              <w:rPr>
                <w:rFonts w:ascii="Times New Roman" w:eastAsia="Times New Roman" w:hAnsi="Times New Roman" w:cs="Times New Roman"/>
                <w:color w:val="000000" w:themeColor="text1"/>
                <w:lang w:val="it-IT"/>
              </w:rPr>
            </w:pPr>
            <w:r>
              <w:rPr>
                <w:rFonts w:ascii="Times New Roman" w:eastAsia="Times New Roman" w:hAnsi="Times New Roman" w:cs="Times New Roman"/>
                <w:color w:val="000000" w:themeColor="text1"/>
                <w:lang w:val="it-IT"/>
              </w:rPr>
              <w:t>Numri i programeve të trajnimit në vazhdimësi  të akredituara</w:t>
            </w:r>
          </w:p>
          <w:p w14:paraId="10784AF2"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71DFDDF5"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3452FB1D"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6E784BCB"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180096CC"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69A5C0E3"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16E5A7D3" w14:textId="77777777" w:rsidR="005F2AC9" w:rsidRDefault="00B56839">
            <w:pPr>
              <w:spacing w:before="0" w:after="0" w:line="240" w:lineRule="auto"/>
              <w:rPr>
                <w:rFonts w:ascii="Times New Roman" w:eastAsia="Times New Roman" w:hAnsi="Times New Roman" w:cs="Times New Roman"/>
                <w:color w:val="000000" w:themeColor="text1"/>
                <w:lang w:val="it-IT"/>
              </w:rPr>
            </w:pPr>
            <w:r>
              <w:rPr>
                <w:rFonts w:ascii="Times New Roman" w:eastAsia="Times New Roman" w:hAnsi="Times New Roman" w:cs="Times New Roman"/>
                <w:color w:val="000000" w:themeColor="text1"/>
                <w:lang w:val="it-IT"/>
              </w:rPr>
              <w:t>Numri i punonjësve social të licensuar nga Urdhëri i Punonjësve Social</w:t>
            </w:r>
          </w:p>
          <w:p w14:paraId="0363F796"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tc>
        <w:tc>
          <w:tcPr>
            <w:tcW w:w="1264" w:type="dxa"/>
            <w:tcBorders>
              <w:top w:val="single" w:sz="8" w:space="0" w:color="000000"/>
              <w:left w:val="single" w:sz="8" w:space="0" w:color="000000"/>
              <w:bottom w:val="single" w:sz="8" w:space="0" w:color="000000"/>
              <w:right w:val="single" w:sz="8" w:space="0" w:color="000000"/>
            </w:tcBorders>
          </w:tcPr>
          <w:p w14:paraId="2D1DF63B"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717C0CDF"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N/A</w:t>
            </w:r>
          </w:p>
          <w:p w14:paraId="3F06C63E"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01EFFC7D"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6EB5F138"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54F3D8D2"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29D1DB37"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72D3882C"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381BECDB"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225A648D"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00D04AA5" w14:textId="77777777" w:rsidR="005F2AC9" w:rsidRDefault="00B56839">
            <w:pPr>
              <w:spacing w:before="0" w:after="0" w:line="240" w:lineRule="auto"/>
              <w:rPr>
                <w:rFonts w:ascii="Times New Roman" w:eastAsia="Times New Roman" w:hAnsi="Times New Roman" w:cs="Times New Roman"/>
                <w:color w:val="000000" w:themeColor="text1"/>
                <w:lang w:val="it-IT"/>
              </w:rPr>
            </w:pPr>
            <w:r>
              <w:rPr>
                <w:rFonts w:ascii="Times New Roman" w:eastAsia="Times New Roman" w:hAnsi="Times New Roman" w:cs="Times New Roman"/>
                <w:color w:val="000000" w:themeColor="text1"/>
                <w:lang w:val="it-IT"/>
              </w:rPr>
              <w:t>482 (viti 2023)</w:t>
            </w:r>
          </w:p>
          <w:p w14:paraId="51CC521D"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tc>
        <w:tc>
          <w:tcPr>
            <w:tcW w:w="1058" w:type="dxa"/>
            <w:tcBorders>
              <w:top w:val="single" w:sz="8" w:space="0" w:color="000000"/>
              <w:left w:val="single" w:sz="8" w:space="0" w:color="000000"/>
              <w:bottom w:val="single" w:sz="8" w:space="0" w:color="000000"/>
              <w:right w:val="single" w:sz="8" w:space="0" w:color="000000"/>
            </w:tcBorders>
          </w:tcPr>
          <w:p w14:paraId="267708E4"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3F9CD66A"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20</w:t>
            </w:r>
          </w:p>
          <w:p w14:paraId="7EDA7433"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1DA8C49C"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6E8B66B7"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74F076B5"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48070440"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503AE6E3"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7EB871EC"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04F75450"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1F6A31FE" w14:textId="77777777" w:rsidR="005F2AC9" w:rsidRDefault="00B56839">
            <w:pPr>
              <w:spacing w:before="0" w:after="0" w:line="240" w:lineRule="auto"/>
              <w:rPr>
                <w:rFonts w:ascii="Times New Roman" w:eastAsia="Times New Roman" w:hAnsi="Times New Roman" w:cs="Times New Roman"/>
                <w:color w:val="000000" w:themeColor="text1"/>
                <w:lang w:val="it-IT"/>
              </w:rPr>
            </w:pPr>
            <w:r>
              <w:rPr>
                <w:rFonts w:ascii="Times New Roman" w:eastAsia="Times New Roman" w:hAnsi="Times New Roman" w:cs="Times New Roman"/>
                <w:color w:val="000000" w:themeColor="text1"/>
                <w:lang w:val="it-IT"/>
              </w:rPr>
              <w:t>746</w:t>
            </w:r>
          </w:p>
        </w:tc>
        <w:tc>
          <w:tcPr>
            <w:tcW w:w="1058" w:type="dxa"/>
            <w:tcBorders>
              <w:top w:val="single" w:sz="8" w:space="0" w:color="000000"/>
              <w:left w:val="single" w:sz="8" w:space="0" w:color="000000"/>
              <w:bottom w:val="single" w:sz="8" w:space="0" w:color="000000"/>
              <w:right w:val="single" w:sz="8" w:space="0" w:color="000000"/>
            </w:tcBorders>
          </w:tcPr>
          <w:p w14:paraId="480CA834"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289D9EF2"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30</w:t>
            </w:r>
          </w:p>
          <w:p w14:paraId="41E76B67"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66101ED0"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137B0DF2"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72D2C478"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1AC81B58"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09CDBA3E"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346E83A3"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0EBCD704"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7D915CE9"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800</w:t>
            </w:r>
          </w:p>
        </w:tc>
        <w:tc>
          <w:tcPr>
            <w:tcW w:w="1416" w:type="dxa"/>
            <w:tcBorders>
              <w:top w:val="single" w:sz="8" w:space="0" w:color="000000"/>
              <w:left w:val="single" w:sz="8" w:space="0" w:color="000000"/>
              <w:bottom w:val="single" w:sz="8" w:space="0" w:color="000000"/>
              <w:right w:val="single" w:sz="8" w:space="0" w:color="000000"/>
            </w:tcBorders>
          </w:tcPr>
          <w:p w14:paraId="4CA65A25"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Agjencia e Akreditimit/ të dhëna administrative/ raporti imonitorimit të strategjisë së MS</w:t>
            </w:r>
          </w:p>
          <w:p w14:paraId="24DD0EE4"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4F910550"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0985A8A8"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Urdhri i Punonjësve Social/ Raporti i monitorimit të strategjisë së MS</w:t>
            </w:r>
          </w:p>
        </w:tc>
      </w:tr>
    </w:tbl>
    <w:p w14:paraId="13D40F28" w14:textId="77777777" w:rsidR="005F2AC9" w:rsidRDefault="005F2AC9">
      <w:pPr>
        <w:spacing w:after="0"/>
        <w:jc w:val="both"/>
        <w:rPr>
          <w:rFonts w:ascii="Times New Roman" w:hAnsi="Times New Roman"/>
          <w:b/>
          <w:bCs/>
          <w:color w:val="000000" w:themeColor="text1"/>
          <w:sz w:val="24"/>
          <w:szCs w:val="24"/>
          <w:lang w:val="sq-AL"/>
        </w:rPr>
      </w:pPr>
    </w:p>
    <w:p w14:paraId="49561D24" w14:textId="77777777" w:rsidR="005F2AC9" w:rsidRDefault="00B56839">
      <w:pPr>
        <w:spacing w:after="0"/>
        <w:jc w:val="both"/>
        <w:rPr>
          <w:rFonts w:ascii="Times New Roman" w:hAnsi="Times New Roman"/>
          <w:b/>
          <w:bCs/>
          <w:color w:val="000000" w:themeColor="text1"/>
          <w:sz w:val="24"/>
          <w:szCs w:val="24"/>
          <w:lang w:val="it-IT"/>
        </w:rPr>
      </w:pPr>
      <w:r>
        <w:rPr>
          <w:rFonts w:ascii="Times New Roman" w:hAnsi="Times New Roman"/>
          <w:b/>
          <w:bCs/>
          <w:color w:val="000000" w:themeColor="text1"/>
          <w:sz w:val="24"/>
          <w:szCs w:val="24"/>
          <w:lang w:val="it-IT"/>
        </w:rPr>
        <w:t>Përshkrimi i objektivit dhe rezultatet e monitorimit</w:t>
      </w:r>
    </w:p>
    <w:p w14:paraId="07A8BCFB" w14:textId="77777777" w:rsidR="005F2AC9" w:rsidRDefault="005F2AC9">
      <w:pPr>
        <w:spacing w:before="0" w:after="0"/>
        <w:jc w:val="both"/>
        <w:rPr>
          <w:rFonts w:ascii="Times New Roman" w:eastAsia="Times New Roman" w:hAnsi="Times New Roman" w:cs="Times New Roman"/>
          <w:bCs/>
          <w:color w:val="000000" w:themeColor="text1"/>
          <w:sz w:val="24"/>
          <w:szCs w:val="24"/>
          <w:lang w:val="it-IT"/>
        </w:rPr>
      </w:pPr>
    </w:p>
    <w:p w14:paraId="6F66A6EC" w14:textId="77777777" w:rsidR="005F2AC9" w:rsidRDefault="00B56839">
      <w:pPr>
        <w:spacing w:before="0" w:after="0"/>
        <w:jc w:val="both"/>
        <w:rPr>
          <w:rFonts w:ascii="Times New Roman" w:eastAsia="Times New Roman" w:hAnsi="Times New Roman" w:cs="Times New Roman"/>
          <w:color w:val="000000" w:themeColor="text1"/>
          <w:lang w:val="it-IT"/>
        </w:rPr>
      </w:pPr>
      <w:r>
        <w:rPr>
          <w:rFonts w:ascii="Times New Roman" w:eastAsia="Times New Roman" w:hAnsi="Times New Roman" w:cs="Times New Roman"/>
          <w:color w:val="000000" w:themeColor="text1"/>
          <w:sz w:val="24"/>
          <w:szCs w:val="24"/>
          <w:lang w:val="it-IT"/>
        </w:rPr>
        <w:t>Objektivi synon forcimin e kapaciteteve dhe statusit profesional të personelit që ofron shërbime të kujdesit social, me qëllim garantimin e një oferte shërbimesh që janë cilësore, efektive dhe të ndjeshme ndaj dimensionit gjinor. Kjo përfshin investimin në zhvillimin e vazhdueshëm profesional, përmirësimin e kushteve të punës, rritjen e njohurive dhe aftësive të stafit, si dhe promovimin e barazisë gjinore në të gjitha aspektet e ofrimit të shërbimeve. Përmes këtij objektivi, synohet që personeli të jetë më i përgatitur për të adresuar nevojat e ndryshme të individëve dhe grupeve në nevojë, duke siguruar një qasje gjithëpërfshirëse dhe të drejtë</w:t>
      </w:r>
      <w:r>
        <w:rPr>
          <w:rFonts w:ascii="Times New Roman" w:eastAsia="Times New Roman" w:hAnsi="Times New Roman" w:cs="Times New Roman"/>
          <w:color w:val="000000" w:themeColor="text1"/>
          <w:lang w:val="it-IT"/>
        </w:rPr>
        <w:t>.</w:t>
      </w:r>
    </w:p>
    <w:p w14:paraId="501E9F59" w14:textId="39CF8868" w:rsidR="005F2AC9" w:rsidRDefault="00B56839">
      <w:pPr>
        <w:spacing w:beforeAutospacing="1" w:afterAutospacing="1"/>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 xml:space="preserve">Për të përmirësuar më tej standardet profesionale, Urdhri i Punonjësve Socialë, në partneritet me Ministrinë e Shëndetësisë dhe </w:t>
      </w:r>
      <w:r w:rsidR="00BA4B59" w:rsidRPr="00BA4B59">
        <w:rPr>
          <w:rFonts w:ascii="Times New Roman" w:hAnsi="Times New Roman" w:cs="Times New Roman"/>
          <w:color w:val="000000" w:themeColor="text1"/>
          <w:sz w:val="24"/>
          <w:szCs w:val="24"/>
          <w:lang w:val="it-IT"/>
        </w:rPr>
        <w:t>Mirëqenies</w:t>
      </w:r>
      <w:r>
        <w:rPr>
          <w:rFonts w:ascii="Times New Roman" w:hAnsi="Times New Roman" w:cs="Times New Roman"/>
          <w:color w:val="000000" w:themeColor="text1"/>
          <w:sz w:val="24"/>
          <w:szCs w:val="24"/>
          <w:lang w:val="it-IT"/>
        </w:rPr>
        <w:t xml:space="preserve"> Sociale dhe Bashkimin Evropian, ka zhvilluar një faqe interneti të dedikuar për punonjësit socialë: https://epunasociale.al. Kjo platformë shërben si burim kyç informacioni dhe ofron një regjistër për thjeshtimin e procesit të licensimit dhe riakreditimit të profesionistëve.</w:t>
      </w:r>
    </w:p>
    <w:p w14:paraId="41D3FDA9" w14:textId="4CC9BC75" w:rsidR="005F2AC9" w:rsidRDefault="00B56839">
      <w:pPr>
        <w:spacing w:beforeAutospacing="1" w:afterAutospacing="1"/>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 xml:space="preserve">Urdhri i Punonjësve Socialë në Shqipëri është aktualisht në vitin e tretë të funksionimit. Deri më tani, 974 punonjës socialë janë bërë anëtarë të Urdhrit, dhe rreth 746 prej tyre, të cilët kanë plotësuar kriteret, janë licensuar. Procesi i regjistrimit dhe licensimit është ende në vazhdim. Urdhri po bashkëpunon me Ministrinë e Shëndetësisë dhe </w:t>
      </w:r>
      <w:r w:rsidR="00BA4B59" w:rsidRPr="00BA4B59">
        <w:rPr>
          <w:rFonts w:ascii="Times New Roman" w:hAnsi="Times New Roman" w:cs="Times New Roman"/>
          <w:color w:val="000000" w:themeColor="text1"/>
          <w:sz w:val="24"/>
          <w:szCs w:val="24"/>
          <w:lang w:val="it-IT"/>
        </w:rPr>
        <w:t>Mirëqenies</w:t>
      </w:r>
      <w:r>
        <w:rPr>
          <w:rFonts w:ascii="Times New Roman" w:hAnsi="Times New Roman" w:cs="Times New Roman"/>
          <w:color w:val="000000" w:themeColor="text1"/>
          <w:sz w:val="24"/>
          <w:szCs w:val="24"/>
          <w:lang w:val="it-IT"/>
        </w:rPr>
        <w:t xml:space="preserve"> Sociale dhe Ministrinë e Arsimit për ngritjen e Komisioneve për Vlerësimin e Aftësive Praktike dhe Komisionit të Provimit Shtetëror. </w:t>
      </w:r>
    </w:p>
    <w:p w14:paraId="7CB71E8C" w14:textId="77777777" w:rsidR="005F2AC9" w:rsidRDefault="00B56839">
      <w:pPr>
        <w:spacing w:beforeAutospacing="1" w:afterAutospacing="1"/>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 xml:space="preserve">Sa i përket </w:t>
      </w:r>
      <w:r>
        <w:rPr>
          <w:rFonts w:ascii="Times New Roman" w:hAnsi="Times New Roman" w:cs="Times New Roman"/>
          <w:bCs/>
          <w:color w:val="000000" w:themeColor="text1"/>
          <w:sz w:val="24"/>
          <w:szCs w:val="24"/>
          <w:lang w:val="it-IT"/>
        </w:rPr>
        <w:t>Zhvillimit të Vazhdueshëm Profesional</w:t>
      </w:r>
      <w:r>
        <w:rPr>
          <w:rFonts w:ascii="Times New Roman" w:hAnsi="Times New Roman" w:cs="Times New Roman"/>
          <w:color w:val="000000" w:themeColor="text1"/>
          <w:sz w:val="24"/>
          <w:szCs w:val="24"/>
          <w:lang w:val="it-IT"/>
        </w:rPr>
        <w:t xml:space="preserve">, ky proces do të menaxhohet nga </w:t>
      </w:r>
      <w:r>
        <w:rPr>
          <w:rFonts w:ascii="Times New Roman" w:hAnsi="Times New Roman" w:cs="Times New Roman"/>
          <w:bCs/>
          <w:color w:val="000000" w:themeColor="text1"/>
          <w:sz w:val="24"/>
          <w:szCs w:val="24"/>
          <w:lang w:val="it-IT"/>
        </w:rPr>
        <w:t>Agjencia për Sigurimin e Cilësisë në Shëndetësi dhe Përkujdesje Sociale</w:t>
      </w:r>
      <w:r>
        <w:rPr>
          <w:rFonts w:ascii="Times New Roman" w:hAnsi="Times New Roman" w:cs="Times New Roman"/>
          <w:color w:val="000000" w:themeColor="text1"/>
          <w:sz w:val="24"/>
          <w:szCs w:val="24"/>
          <w:lang w:val="it-IT"/>
        </w:rPr>
        <w:t>, e cila është përgjegjëse për akreditimin e ofruesve të shërbimeve dhe dhënien e krediteve për punonjësit socialë. Urdhri do të mbikëqyrë këtë proces dhe do të identifikojë fushat prioritare për trajnimin e punonjësve socialë.</w:t>
      </w:r>
    </w:p>
    <w:p w14:paraId="181BDF1E" w14:textId="77777777" w:rsidR="005F2AC9" w:rsidRDefault="00B56839">
      <w:pPr>
        <w:spacing w:beforeAutospacing="1" w:afterAutospacing="1"/>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Kurset që zhvillohen në kontekstin e zhvillimit të vazhdueshëm profesional do të akreditohen nga Agjencia e Sigurimit të Cilësisë në Arsimin e Lartë dhe do të jenë të disponueshme përmes platformës elektronike për punonjësit socialë.</w:t>
      </w:r>
    </w:p>
    <w:p w14:paraId="004B37ED" w14:textId="77777777" w:rsidR="005F2AC9" w:rsidRDefault="00B56839">
      <w:pPr>
        <w:spacing w:beforeAutospacing="1" w:afterAutospacing="1"/>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Nëpërmjet këtyre nismave synohet të forcohet roli i punonjësve socialë në zbatimin e politikave sociale, promovimin e praktikave të bazuara në të drejtat e njeriut dhe ofrimin e kujdesit gjithëpërfshirës për individët në nevojë.</w:t>
      </w:r>
    </w:p>
    <w:p w14:paraId="6F436588" w14:textId="4C4543A9" w:rsidR="005F2AC9" w:rsidRDefault="00B56839">
      <w:pPr>
        <w:pStyle w:val="NormalWeb"/>
        <w:spacing w:before="280" w:after="280" w:line="276" w:lineRule="auto"/>
        <w:jc w:val="both"/>
        <w:rPr>
          <w:color w:val="000000" w:themeColor="text1"/>
          <w:lang w:val="it-IT"/>
        </w:rPr>
      </w:pPr>
      <w:r>
        <w:rPr>
          <w:color w:val="000000" w:themeColor="text1"/>
          <w:lang w:val="it-IT"/>
        </w:rPr>
        <w:t xml:space="preserve">Ministria e Shëndetësisë dhe </w:t>
      </w:r>
      <w:r w:rsidR="00BA4B59" w:rsidRPr="00BA4B59">
        <w:rPr>
          <w:color w:val="000000" w:themeColor="text1"/>
          <w:lang w:val="it-IT"/>
        </w:rPr>
        <w:t>Mirëqenies</w:t>
      </w:r>
      <w:r>
        <w:rPr>
          <w:color w:val="000000" w:themeColor="text1"/>
          <w:lang w:val="it-IT"/>
        </w:rPr>
        <w:t xml:space="preserve"> Sociale ka miratuar kornizën e tandardeve bazë të cilësisë për shërbimet e përkujdesit shoqëror – miratuar me Udhëzimin e Ministrit nr. 281/2024. Në këtë kontekst, kuadri i standardeve do të shërbejë si pikë referimi për procesin e përcaktimit, sigurimit, vlerësimit, akreditimit dhe licensimit të shërbimeve të përkujdesit shoqëror.</w:t>
      </w:r>
    </w:p>
    <w:p w14:paraId="079AFBC2" w14:textId="77777777" w:rsidR="005F2AC9" w:rsidRDefault="00B56839">
      <w:pPr>
        <w:pStyle w:val="NormalWeb"/>
        <w:spacing w:before="280" w:after="280" w:line="276" w:lineRule="auto"/>
        <w:jc w:val="both"/>
        <w:rPr>
          <w:b/>
          <w:bCs/>
          <w:color w:val="000000" w:themeColor="text1"/>
          <w:lang w:val="it-IT"/>
        </w:rPr>
      </w:pPr>
      <w:r>
        <w:rPr>
          <w:b/>
          <w:bCs/>
          <w:color w:val="000000" w:themeColor="text1"/>
          <w:lang w:val="it-IT"/>
        </w:rPr>
        <w:t>Promovimi i fuqizimi i Profesionit të Punonjësit Social</w:t>
      </w:r>
    </w:p>
    <w:p w14:paraId="5FB903F0" w14:textId="77777777" w:rsidR="005F2AC9" w:rsidRDefault="00B56839">
      <w:pPr>
        <w:pStyle w:val="NormalWeb"/>
        <w:spacing w:before="280" w:after="280" w:line="276" w:lineRule="auto"/>
        <w:jc w:val="both"/>
        <w:rPr>
          <w:color w:val="000000" w:themeColor="text1"/>
          <w:lang w:val="it-IT"/>
        </w:rPr>
      </w:pPr>
      <w:r>
        <w:rPr>
          <w:color w:val="000000" w:themeColor="text1"/>
          <w:lang w:val="it-IT"/>
        </w:rPr>
        <w:t>1. Një komponent tjetër i rëndësishëm ka qenë rritja e dukshmërisë dhe atraktivitetit të profesionit të punonjësit social. Çdo vit, në Ditën Botërore të Punës Sociale, Ministria organizon aktivitete për të vlerësuar kontributin e punonjësve socialë në shoqëri, si dhe realizon video promovuese dhe fushata që i vendosin ata në qendër të mesazheve.</w:t>
      </w:r>
    </w:p>
    <w:p w14:paraId="57D8EC72" w14:textId="77777777" w:rsidR="005F2AC9" w:rsidRDefault="00B56839">
      <w:pPr>
        <w:shd w:val="clear" w:color="auto" w:fill="FFFFFF" w:themeFill="background1"/>
        <w:spacing w:before="0" w:after="0"/>
        <w:jc w:val="both"/>
        <w:textAlignment w:val="baseline"/>
        <w:rPr>
          <w:rFonts w:ascii="Times New Roman" w:eastAsia="Times New Roman" w:hAnsi="Times New Roman" w:cs="Times New Roman"/>
          <w:color w:val="000000" w:themeColor="text1"/>
          <w:sz w:val="24"/>
          <w:szCs w:val="24"/>
          <w:lang w:val="sq-AL" w:eastAsia="sq-AL"/>
        </w:rPr>
      </w:pPr>
      <w:r>
        <w:rPr>
          <w:rFonts w:ascii="Times New Roman" w:eastAsia="Times New Roman" w:hAnsi="Times New Roman" w:cs="Times New Roman"/>
          <w:color w:val="000000" w:themeColor="text1"/>
          <w:sz w:val="24"/>
          <w:szCs w:val="24"/>
          <w:lang w:val="sq-AL" w:eastAsia="sq-AL"/>
        </w:rPr>
        <w:t>2. Zhvillimi i provimit të shtetit për licensimin e punonjësve socialë të rinj (QSHA)</w:t>
      </w:r>
    </w:p>
    <w:p w14:paraId="37F3BE96" w14:textId="77777777" w:rsidR="005F2AC9" w:rsidRDefault="00B56839">
      <w:pPr>
        <w:shd w:val="clear" w:color="auto" w:fill="FFFFFF" w:themeFill="background1"/>
        <w:spacing w:before="0" w:after="0"/>
        <w:jc w:val="both"/>
        <w:textAlignment w:val="baseline"/>
        <w:rPr>
          <w:rFonts w:ascii="Times New Roman" w:eastAsia="Times New Roman" w:hAnsi="Times New Roman" w:cs="Times New Roman"/>
          <w:color w:val="000000" w:themeColor="text1"/>
          <w:sz w:val="24"/>
          <w:szCs w:val="24"/>
          <w:lang w:val="sq-AL" w:eastAsia="sq-AL"/>
        </w:rPr>
      </w:pPr>
      <w:r>
        <w:rPr>
          <w:rFonts w:ascii="Times New Roman" w:eastAsia="Times New Roman" w:hAnsi="Times New Roman" w:cs="Times New Roman"/>
          <w:color w:val="000000" w:themeColor="text1"/>
          <w:sz w:val="24"/>
          <w:szCs w:val="24"/>
          <w:lang w:val="sq-AL" w:eastAsia="sq-AL"/>
        </w:rPr>
        <w:t>Një nga arritjet më të rëndësishme të vitit 2025 ishte zhvillimi i Provimit të Shtetit për licensimin e punonjësve socialë të rinj, i organizuar nga Qendra e Shërbimeve Arsimore (QSHA). Ky proces përbën hallkën themelore të garantimit të cilësisë dhe standardeve profesionale në ushtrimin e punës sociale në Shqipëri. Përmes këtij provimi sigurohet që në sistem të hyjnë vetëm profesionistë që plotësojnë kriteret e njohurive teorike, kompetencave praktike dhe standardeve etike të përcaktuara nga legjislacioni dhe aktet rregullatore në fuqi. Procesi u mbështet nga një komision i posaçëm ekspertësh për hartimin e fondit të pyetjeve dhe strukturimin e përmbajtjes së provimit, duke garantuar integritet akademik, objektivitet dhe transparencë. Ky zhvillim konsolidoi sistemin e licencimit dhe forcoi besueshmërinë publike ndaj profesionit të punonjësit social.</w:t>
      </w:r>
    </w:p>
    <w:p w14:paraId="1CE34CEC" w14:textId="77777777" w:rsidR="005F2AC9" w:rsidRDefault="005F2AC9">
      <w:pPr>
        <w:shd w:val="clear" w:color="auto" w:fill="FFFFFF" w:themeFill="background1"/>
        <w:spacing w:before="0" w:after="0"/>
        <w:jc w:val="both"/>
        <w:textAlignment w:val="baseline"/>
        <w:rPr>
          <w:rFonts w:ascii="Times New Roman" w:eastAsia="Times New Roman" w:hAnsi="Times New Roman" w:cs="Times New Roman"/>
          <w:color w:val="000000" w:themeColor="text1"/>
          <w:sz w:val="24"/>
          <w:szCs w:val="24"/>
          <w:lang w:val="sq-AL" w:eastAsia="sq-AL"/>
        </w:rPr>
      </w:pPr>
    </w:p>
    <w:p w14:paraId="0145C10C" w14:textId="77777777" w:rsidR="004860B6" w:rsidRDefault="004860B6" w:rsidP="004860B6">
      <w:pPr>
        <w:shd w:val="clear" w:color="auto" w:fill="FFFFFF" w:themeFill="background1"/>
        <w:spacing w:before="0" w:after="0"/>
        <w:textAlignment w:val="baseline"/>
        <w:rPr>
          <w:rFonts w:ascii="Times New Roman" w:eastAsia="Times New Roman" w:hAnsi="Times New Roman" w:cs="Times New Roman"/>
          <w:color w:val="000000" w:themeColor="text1"/>
          <w:sz w:val="24"/>
          <w:szCs w:val="24"/>
          <w:lang w:val="sq-AL" w:eastAsia="sq-AL"/>
        </w:rPr>
      </w:pPr>
      <w:r>
        <w:rPr>
          <w:rFonts w:ascii="Times New Roman" w:eastAsia="Times New Roman" w:hAnsi="Times New Roman" w:cs="Times New Roman"/>
          <w:color w:val="000000" w:themeColor="text1"/>
          <w:sz w:val="24"/>
          <w:szCs w:val="24"/>
          <w:lang w:val="sq-AL" w:eastAsia="sq-AL"/>
        </w:rPr>
        <w:t xml:space="preserve">3. </w:t>
      </w:r>
      <w:r w:rsidR="00B56839">
        <w:rPr>
          <w:rFonts w:ascii="Times New Roman" w:eastAsia="Times New Roman" w:hAnsi="Times New Roman" w:cs="Times New Roman"/>
          <w:color w:val="000000" w:themeColor="text1"/>
          <w:sz w:val="24"/>
          <w:szCs w:val="24"/>
          <w:lang w:val="sq-AL" w:eastAsia="sq-AL"/>
        </w:rPr>
        <w:t>Zhvillimi për herë të parë i testit të aftësimit praktik</w:t>
      </w:r>
      <w:r w:rsidR="00B56839">
        <w:rPr>
          <w:color w:val="000000" w:themeColor="text1"/>
        </w:rPr>
        <w:br/>
      </w:r>
      <w:r w:rsidR="00B56839">
        <w:rPr>
          <w:rFonts w:ascii="Times New Roman" w:eastAsia="Times New Roman" w:hAnsi="Times New Roman" w:cs="Times New Roman"/>
          <w:color w:val="000000" w:themeColor="text1"/>
          <w:sz w:val="24"/>
          <w:szCs w:val="24"/>
          <w:lang w:val="sq-AL" w:eastAsia="sq-AL"/>
        </w:rPr>
        <w:t xml:space="preserve"> </w:t>
      </w:r>
    </w:p>
    <w:p w14:paraId="570AB7B3" w14:textId="6C0B8F0C" w:rsidR="005F2AC9" w:rsidRDefault="00B56839" w:rsidP="004860B6">
      <w:pPr>
        <w:shd w:val="clear" w:color="auto" w:fill="FFFFFF" w:themeFill="background1"/>
        <w:spacing w:before="0" w:after="0"/>
        <w:jc w:val="both"/>
        <w:textAlignment w:val="baseline"/>
        <w:rPr>
          <w:rFonts w:ascii="Times New Roman" w:eastAsia="Times New Roman" w:hAnsi="Times New Roman" w:cs="Times New Roman"/>
          <w:color w:val="000000" w:themeColor="text1"/>
          <w:sz w:val="24"/>
          <w:szCs w:val="24"/>
          <w:lang w:val="sq-AL" w:eastAsia="sq-AL"/>
        </w:rPr>
      </w:pPr>
      <w:r>
        <w:rPr>
          <w:rFonts w:ascii="Times New Roman" w:eastAsia="Times New Roman" w:hAnsi="Times New Roman" w:cs="Times New Roman"/>
          <w:color w:val="000000" w:themeColor="text1"/>
          <w:sz w:val="24"/>
          <w:szCs w:val="24"/>
          <w:lang w:val="sq-AL" w:eastAsia="sq-AL"/>
        </w:rPr>
        <w:t>Më 19 qershor 2025, Urdhri organizoi për herë të parë Testin e Aftësimit Praktik për punonjësit socialë që i nënshtrohen praktikës profesionale. Ky hap përfaqëson një moment historik në standardizimin e mekanizmave të vlerësimit profesional, duke kaluar nga një model kryesisht teorik drejt një sistemi që verifikon drejtpërdrejt aftësitë praktike dhe kompetencat funksionale të kandidatëve. Testi forcoi mekanizmat e kontrollit të cilësisë, rriti përgjegjshmërinë profesionale dhe vendosi një standard të ri për hyrjen në profesion, në përputhje me kërkesat etike dhe ligjore.</w:t>
      </w:r>
    </w:p>
    <w:p w14:paraId="5136302F" w14:textId="77777777" w:rsidR="005F2AC9" w:rsidRDefault="005F2AC9">
      <w:pPr>
        <w:shd w:val="clear" w:color="auto" w:fill="FFFFFF" w:themeFill="background1"/>
        <w:spacing w:before="0" w:after="0"/>
        <w:jc w:val="both"/>
        <w:textAlignment w:val="baseline"/>
        <w:rPr>
          <w:rFonts w:ascii="Times New Roman" w:eastAsia="Times New Roman" w:hAnsi="Times New Roman" w:cs="Times New Roman"/>
          <w:color w:val="000000" w:themeColor="text1"/>
          <w:sz w:val="24"/>
          <w:szCs w:val="24"/>
          <w:lang w:val="sq-AL" w:eastAsia="sq-AL"/>
        </w:rPr>
      </w:pPr>
    </w:p>
    <w:p w14:paraId="26E352F8" w14:textId="77777777" w:rsidR="005F2AC9" w:rsidRDefault="00B56839">
      <w:pPr>
        <w:shd w:val="clear" w:color="auto" w:fill="FFFFFF" w:themeFill="background1"/>
        <w:spacing w:before="0" w:after="0"/>
        <w:jc w:val="both"/>
        <w:textAlignment w:val="baseline"/>
        <w:rPr>
          <w:rFonts w:ascii="Times New Roman" w:eastAsia="Times New Roman" w:hAnsi="Times New Roman" w:cs="Times New Roman"/>
          <w:color w:val="000000" w:themeColor="text1"/>
          <w:sz w:val="24"/>
          <w:szCs w:val="24"/>
          <w:lang w:val="sq-AL" w:eastAsia="sq-AL"/>
        </w:rPr>
      </w:pPr>
      <w:r>
        <w:rPr>
          <w:rFonts w:ascii="Times New Roman" w:eastAsia="Times New Roman" w:hAnsi="Times New Roman" w:cs="Times New Roman"/>
          <w:color w:val="000000" w:themeColor="text1"/>
          <w:sz w:val="24"/>
          <w:szCs w:val="24"/>
          <w:lang w:val="sq-AL" w:eastAsia="sq-AL"/>
        </w:rPr>
        <w:t>4. Zhvillimi i asamblesë së dytë kombëtare dhe zgjedhja e organeve të reja drejtuese</w:t>
      </w:r>
      <w:r>
        <w:rPr>
          <w:color w:val="000000" w:themeColor="text1"/>
        </w:rPr>
        <w:br/>
      </w:r>
      <w:r>
        <w:rPr>
          <w:rFonts w:ascii="Times New Roman" w:eastAsia="Times New Roman" w:hAnsi="Times New Roman" w:cs="Times New Roman"/>
          <w:color w:val="000000" w:themeColor="text1"/>
          <w:sz w:val="24"/>
          <w:szCs w:val="24"/>
          <w:lang w:val="sq-AL" w:eastAsia="sq-AL"/>
        </w:rPr>
        <w:t xml:space="preserve"> Më 1 mars 2025 u zhvillua Asambleja e Dytë Kombëtare e Urdhrit të Punonjësve Socialë, duke shënuar përmbylljen e ciklit të parë trevjeçar të konsolidimit institucional dhe fillimin e një etape të re drejtimi. Gjatë kësaj Asambleje u realizua zgjedhja e Kryetarit dhe anëtarëve të Këshillit Kombëtar, duke garantuar vazhdimësinë demokratike dhe forcimin e qeverisjes së brendshme të institucionit. Aktiviteti shërbeu gjithashtu si moment reflektimi mbi arritjet në licencimin, rregullimin e profesionit dhe advokimin për përmirësimin e kushteve të punës, si dhe konsolidoi marrëdhëniet me partnerët institucionalë dhe ndërkombëtarë.</w:t>
      </w:r>
    </w:p>
    <w:p w14:paraId="79F2AA0A" w14:textId="77777777" w:rsidR="005F2AC9" w:rsidRDefault="005F2AC9">
      <w:pPr>
        <w:shd w:val="clear" w:color="auto" w:fill="FFFFFF" w:themeFill="background1"/>
        <w:spacing w:before="0" w:after="0"/>
        <w:jc w:val="both"/>
        <w:textAlignment w:val="baseline"/>
        <w:rPr>
          <w:rFonts w:ascii="Times New Roman" w:eastAsia="Times New Roman" w:hAnsi="Times New Roman" w:cs="Times New Roman"/>
          <w:color w:val="000000" w:themeColor="text1"/>
          <w:sz w:val="24"/>
          <w:szCs w:val="24"/>
          <w:lang w:val="sq-AL" w:eastAsia="sq-AL"/>
        </w:rPr>
      </w:pPr>
    </w:p>
    <w:p w14:paraId="0B1FF22D" w14:textId="77777777" w:rsidR="005F2AC9" w:rsidRDefault="00B56839">
      <w:pPr>
        <w:shd w:val="clear" w:color="auto" w:fill="FFFFFF" w:themeFill="background1"/>
        <w:spacing w:before="0" w:after="0"/>
        <w:jc w:val="both"/>
        <w:textAlignment w:val="baseline"/>
        <w:rPr>
          <w:rFonts w:ascii="Times New Roman" w:eastAsia="Times New Roman" w:hAnsi="Times New Roman" w:cs="Times New Roman"/>
          <w:color w:val="000000" w:themeColor="text1"/>
          <w:sz w:val="24"/>
          <w:szCs w:val="24"/>
          <w:lang w:val="sq-AL" w:eastAsia="sq-AL"/>
        </w:rPr>
      </w:pPr>
      <w:r>
        <w:rPr>
          <w:rFonts w:ascii="Times New Roman" w:eastAsia="Times New Roman" w:hAnsi="Times New Roman" w:cs="Times New Roman"/>
          <w:b/>
          <w:bCs/>
          <w:color w:val="000000" w:themeColor="text1"/>
          <w:sz w:val="24"/>
          <w:szCs w:val="24"/>
          <w:lang w:val="sq-AL" w:eastAsia="sq-AL"/>
        </w:rPr>
        <w:t>Forcimi i Kapaciteteve Institucionale Vendore për Ofrimin e Shërbimeve Sociale</w:t>
      </w:r>
    </w:p>
    <w:p w14:paraId="639A5F1E" w14:textId="77777777" w:rsidR="005F2AC9" w:rsidRDefault="00B56839">
      <w:pPr>
        <w:shd w:val="clear" w:color="auto" w:fill="FFFFFF"/>
        <w:jc w:val="both"/>
        <w:textAlignment w:val="baseline"/>
        <w:rPr>
          <w:rFonts w:ascii="Times New Roman" w:eastAsia="Times New Roman" w:hAnsi="Times New Roman" w:cs="Times New Roman"/>
          <w:color w:val="000000" w:themeColor="text1"/>
          <w:sz w:val="24"/>
          <w:szCs w:val="24"/>
          <w:lang w:val="sq-AL" w:eastAsia="sq-AL"/>
        </w:rPr>
      </w:pPr>
      <w:r>
        <w:rPr>
          <w:rFonts w:ascii="Times New Roman" w:eastAsia="Times New Roman" w:hAnsi="Times New Roman" w:cs="Times New Roman"/>
          <w:color w:val="000000" w:themeColor="text1"/>
          <w:sz w:val="24"/>
          <w:szCs w:val="24"/>
          <w:lang w:val="sq-AL" w:eastAsia="sq-AL"/>
        </w:rPr>
        <w:t>Gjatë periudhës janar-mars 2025, në kuadër të asistencës teknike TA4SI, janë zhvilluar dhe zbatuar tre module trajnimi të pavarura, të cilat synojnë forcimin e kapaciteteve të profesionistëve në nivel vendor dhe qendror, të përfshirë në ofrimin e shërbimeve sociale. Këto module janë hartuar mbi bazën e një vlerësimi sistematik të nevojave për ngritje kapacitetesh, duke marrë parasysh perspektivat profesionale të grupeve të ndryshme të ekspertëve dhe duke siguruar përmbajtje të përshtatur sipas nevojave.</w:t>
      </w:r>
    </w:p>
    <w:p w14:paraId="343FF9A3" w14:textId="77777777" w:rsidR="005F2AC9" w:rsidRDefault="00B56839">
      <w:pPr>
        <w:shd w:val="clear" w:color="auto" w:fill="FFFFFF"/>
        <w:jc w:val="both"/>
        <w:textAlignment w:val="baseline"/>
        <w:rPr>
          <w:rFonts w:ascii="Times New Roman" w:eastAsia="Times New Roman" w:hAnsi="Times New Roman" w:cs="Times New Roman"/>
          <w:color w:val="000000" w:themeColor="text1"/>
          <w:sz w:val="24"/>
          <w:szCs w:val="24"/>
          <w:lang w:val="sq-AL" w:eastAsia="sq-AL"/>
        </w:rPr>
      </w:pPr>
      <w:r>
        <w:rPr>
          <w:rFonts w:ascii="Times New Roman" w:eastAsia="Times New Roman" w:hAnsi="Times New Roman" w:cs="Times New Roman"/>
          <w:color w:val="000000" w:themeColor="text1"/>
          <w:sz w:val="24"/>
          <w:szCs w:val="24"/>
          <w:lang w:val="sq-AL" w:eastAsia="sq-AL"/>
        </w:rPr>
        <w:t>Në total, janë organizuar 15 sesione trajnimi në 27 bashki të vendit, ku kanë marrë pjesë 262 profesionistë nga institucione të ndryshme. Trajnimet janë zhvilluar me prezencë fizike në pesë rajone kryesore: Shkodër, Tiranë, Elbasan, Gjirokastër dhe Korçë, duke siguruar mbulim të gjerë gjeografik dhe përfshirje të 19 bashkive pilote që përfitojnë drejtpërdrejt nga asistenca teknike.</w:t>
      </w:r>
    </w:p>
    <w:p w14:paraId="15589FBC" w14:textId="77777777" w:rsidR="005F2AC9" w:rsidRDefault="00B56839">
      <w:pPr>
        <w:shd w:val="clear" w:color="auto" w:fill="FFFFFF"/>
        <w:jc w:val="both"/>
        <w:textAlignment w:val="baseline"/>
        <w:rPr>
          <w:rFonts w:ascii="Times New Roman" w:eastAsia="Times New Roman" w:hAnsi="Times New Roman" w:cs="Times New Roman"/>
          <w:color w:val="000000" w:themeColor="text1"/>
          <w:sz w:val="24"/>
          <w:szCs w:val="24"/>
          <w:lang w:val="sq-AL" w:eastAsia="sq-AL"/>
        </w:rPr>
      </w:pPr>
      <w:r>
        <w:rPr>
          <w:rFonts w:ascii="Times New Roman" w:eastAsia="Times New Roman" w:hAnsi="Times New Roman" w:cs="Times New Roman"/>
          <w:color w:val="000000" w:themeColor="text1"/>
          <w:sz w:val="24"/>
          <w:szCs w:val="24"/>
          <w:lang w:val="sq-AL" w:eastAsia="sq-AL"/>
        </w:rPr>
        <w:t>Pjesëmarrësit në trajnim përfaqësojnë një gamë të gjerë institucionesh, përfshirë drejtoritë e shërbimeve sociale, stafin bashkiak, institucionet e kujdesit shëndetësor, institucionet arsimore vendore, zyrat e punësimit dhe organizatat e shoqërisë civile. Ky përfaqësim i gjerë institucional ka mundësuar një qasje gjithëpërfshirëse në ndërtimin e kapaciteteve për ofrimin e shërbimeve sociale.</w:t>
      </w:r>
    </w:p>
    <w:p w14:paraId="03F4A7A6" w14:textId="77777777" w:rsidR="005F2AC9" w:rsidRDefault="00B56839">
      <w:pPr>
        <w:shd w:val="clear" w:color="auto" w:fill="FFFFFF"/>
        <w:jc w:val="both"/>
        <w:textAlignment w:val="baseline"/>
        <w:rPr>
          <w:rFonts w:ascii="Times New Roman" w:eastAsia="Times New Roman" w:hAnsi="Times New Roman" w:cs="Times New Roman"/>
          <w:color w:val="000000" w:themeColor="text1"/>
          <w:sz w:val="24"/>
          <w:szCs w:val="24"/>
          <w:lang w:val="sq-AL" w:eastAsia="sq-AL"/>
        </w:rPr>
      </w:pPr>
      <w:r>
        <w:rPr>
          <w:rFonts w:ascii="Times New Roman" w:eastAsia="Times New Roman" w:hAnsi="Times New Roman" w:cs="Times New Roman"/>
          <w:color w:val="000000" w:themeColor="text1"/>
          <w:sz w:val="24"/>
          <w:szCs w:val="24"/>
          <w:lang w:val="sq-AL" w:eastAsia="sq-AL"/>
        </w:rPr>
        <w:t>Trajnimet janë strukturuar në tre module kryesore, të cilat mund të ofrohen në mënyrë të pavarur për audienca të ndryshme. Moduli i përgjithshëm ka synuar ofrimin e njohurive themelore mbi shërbimet sociale për profesionistë nga fusha të ndryshme, duke promovuar një kuptim të përbashkët dhe ofrim të shërbimeve të integruara. Modulet specifike kanë ofruar njohuri të thelluara mbi tema të lidhura drejtpërdrejt me ofrimin e shërbimeve sociale, duke theksuar rëndësinë e standardeve të cilësisë, projektimit dhe kostimit të shërbimeve, si dhe zhvillimit të stafit të kualifikuar. Një modul i veçantë, i fokusuar në mangësitë, do të zhvillohet në fazën përmbyllëse të ciklit të trajnimeve, me qëllim adresimin e sfidave që nuk janë trajtuar mjaftueshëm në modulet e mëparshme.</w:t>
      </w:r>
    </w:p>
    <w:p w14:paraId="5CAF6B3A" w14:textId="77777777" w:rsidR="005F2AC9" w:rsidRDefault="00B56839">
      <w:pPr>
        <w:pStyle w:val="NormalWeb"/>
        <w:spacing w:before="280" w:after="280" w:line="276" w:lineRule="auto"/>
        <w:jc w:val="both"/>
        <w:rPr>
          <w:color w:val="000000" w:themeColor="text1"/>
        </w:rPr>
      </w:pPr>
      <w:bookmarkStart w:id="42" w:name="_Toc156593611"/>
      <w:r>
        <w:rPr>
          <w:color w:val="000000" w:themeColor="text1"/>
        </w:rPr>
        <w:t xml:space="preserve">Mbështetja e EU4SocialCare ka kontribuar ndjeshëm në rritjen e kapaciteteve institucionale në nivel vendor dhe qendror, përmes zhvillimit të tre instrumenteve kyçe teknike: Manualit për strukturat vendore për integrimin e qasjes “shock-responsive” në planifikim dhe buxhetim, dokumentit udhëzues ministri për krijimin dhe funksionalizimin e Fondeve Lokale Sociale, si dhe manualit të përdorimit për sistemin MIS të shërbimeve sociale. Hartimi i këtyre dokumentave është shoqëruar me nfritjen e kapaciteteve për zbatimin e tyre. </w:t>
      </w:r>
    </w:p>
    <w:p w14:paraId="50B176A5" w14:textId="77777777" w:rsidR="005F2AC9" w:rsidRDefault="00B56839">
      <w:pPr>
        <w:pStyle w:val="NormalWeb"/>
        <w:spacing w:before="280" w:after="280" w:line="276" w:lineRule="auto"/>
        <w:jc w:val="both"/>
        <w:rPr>
          <w:color w:val="000000" w:themeColor="text1"/>
        </w:rPr>
      </w:pPr>
      <w:r>
        <w:rPr>
          <w:color w:val="000000" w:themeColor="text1"/>
        </w:rPr>
        <w:t>61 bashki u mbështetën përmes trajnimit në vendin e punës (on-the-job), mentorimit dhe udhëzimit të drejtpërdrejtë. Vetëm gjatë kësaj periudhe, gjithsej 489 punonjës bashkiakë, ofrues shërbimesh, drejtorë të shërbimeve sociale dhe partnerë nga organizatat e shoqërisë civile morën pjesë në këto sesione, duke rritur ndërgjegjësimin dhe kuptimin e tyre mbi rolin, funksionet, përgjegjësitë dhe mandatin e NARU-së. Më shumë se 70 profesionistë të angazhuar në planifikimin, menaxhimin dhe ofrimin e shërbimeve sociale, si dhe në zbatimin e qasjeve të ndjeshme ndaj goditjeve (shock-responsive). Ky proces ka forcuar aftësinë e bashkive për të planifikuar në mënyrë më të qëndrueshme, për të menaxhuar më mirë burimet financiare dhe për të përmirësuar cilësinë e të dhënave dhe raportimit.</w:t>
      </w:r>
    </w:p>
    <w:p w14:paraId="43218B55" w14:textId="77777777" w:rsidR="005F2AC9" w:rsidRDefault="00B56839" w:rsidP="004860B6">
      <w:pPr>
        <w:spacing w:beforeAutospacing="1" w:afterAutospacing="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Gjithashtu u ofruan pesë cikle trajnimi, me asistencë teknike nga UNICEF dhe të zbatuara nga ARSIS, me fokusin dhe shtrirjen si më poshtë:</w:t>
      </w:r>
    </w:p>
    <w:p w14:paraId="78EB0B3A" w14:textId="77777777" w:rsidR="005F2AC9" w:rsidRDefault="00B56839" w:rsidP="004860B6">
      <w:pPr>
        <w:numPr>
          <w:ilvl w:val="0"/>
          <w:numId w:val="17"/>
        </w:numPr>
        <w:spacing w:beforeAutospacing="1"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Hyrje në procesin e deinstitucionalizimit dhe njohja me Shërbimet Mbështetëse për Fëmijën dhe Familjen (SHMFF) si dhe politikat e mbrojtjes së fëmijës</w:t>
      </w:r>
      <w:r>
        <w:rPr>
          <w:rFonts w:ascii="Times New Roman" w:eastAsia="Times New Roman" w:hAnsi="Times New Roman" w:cs="Times New Roman"/>
          <w:color w:val="000000" w:themeColor="text1"/>
          <w:sz w:val="24"/>
          <w:szCs w:val="24"/>
        </w:rPr>
        <w:t xml:space="preserve"> – zhvilluar gjatë viteve 2022–2024 për stafin e 9 Institucioneve Publike Rezidenciale (IPSH) në Tiranë, Durrës, Korçë, Vlorë dhe Shkodër.</w:t>
      </w:r>
    </w:p>
    <w:p w14:paraId="6C1A979E" w14:textId="77777777" w:rsidR="005F2AC9" w:rsidRDefault="00B56839" w:rsidP="004860B6">
      <w:pPr>
        <w:numPr>
          <w:ilvl w:val="0"/>
          <w:numId w:val="17"/>
        </w:numPr>
        <w:spacing w:before="0"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Shërbimet emergjente në kontekstin e transformimit të IPSH-ve</w:t>
      </w:r>
      <w:r>
        <w:rPr>
          <w:rFonts w:ascii="Times New Roman" w:eastAsia="Times New Roman" w:hAnsi="Times New Roman" w:cs="Times New Roman"/>
          <w:color w:val="000000" w:themeColor="text1"/>
          <w:sz w:val="24"/>
          <w:szCs w:val="24"/>
        </w:rPr>
        <w:t xml:space="preserve"> – zhvilluar në vitin 2024 me stafin e IPSH Korçë dhe Vlorë.</w:t>
      </w:r>
    </w:p>
    <w:p w14:paraId="533789CC" w14:textId="77777777" w:rsidR="005F2AC9" w:rsidRDefault="00B56839" w:rsidP="004860B6">
      <w:pPr>
        <w:numPr>
          <w:ilvl w:val="0"/>
          <w:numId w:val="17"/>
        </w:numPr>
        <w:spacing w:before="0"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Menaxhimi i rastit në procesin e ribashkimit familjar</w:t>
      </w:r>
      <w:r>
        <w:rPr>
          <w:rFonts w:ascii="Times New Roman" w:eastAsia="Times New Roman" w:hAnsi="Times New Roman" w:cs="Times New Roman"/>
          <w:color w:val="000000" w:themeColor="text1"/>
          <w:sz w:val="24"/>
          <w:szCs w:val="24"/>
        </w:rPr>
        <w:t xml:space="preserve"> – zhvilluar gjatë viteve 2024–2025 me stafin e IPSH Tiranë, Durrës, Shkodër dhe bashkive përkatëse.</w:t>
      </w:r>
    </w:p>
    <w:p w14:paraId="14AE4BA0" w14:textId="77777777" w:rsidR="005F2AC9" w:rsidRDefault="00B56839" w:rsidP="004860B6">
      <w:pPr>
        <w:numPr>
          <w:ilvl w:val="0"/>
          <w:numId w:val="17"/>
        </w:numPr>
        <w:spacing w:before="0" w:afterAutospacing="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Krijimi i shërbimeve mbështetëse për fëmijët dhe familjet – zhvilluar në vitin 2025 me stafin e IPSH Durrës dhe Bashkisë Durrës.</w:t>
      </w:r>
    </w:p>
    <w:p w14:paraId="7D97FDE8" w14:textId="77777777" w:rsidR="005F2AC9" w:rsidRDefault="00B56839">
      <w:pPr>
        <w:spacing w:beforeAutospacing="1"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Këto cikle trajnimi kanë kontribuar ndjeshëm në forcimin e kapaciteteve të stafit në nivel kombëtar dhe vendor, duke mbështetur procesin në vijim të transformimit të institucioneve rezidenciale dhe zhvillimin e shërbimeve të kujdesit alternativ.</w:t>
      </w:r>
    </w:p>
    <w:p w14:paraId="438204DB" w14:textId="77777777" w:rsidR="004860B6" w:rsidRDefault="004860B6">
      <w:pPr>
        <w:pStyle w:val="NormalWeb"/>
        <w:spacing w:before="280" w:after="280"/>
        <w:jc w:val="both"/>
        <w:rPr>
          <w:b/>
          <w:bCs/>
          <w:color w:val="000000" w:themeColor="text1"/>
          <w:lang w:val="sq-AL"/>
        </w:rPr>
      </w:pPr>
    </w:p>
    <w:p w14:paraId="03372E8F" w14:textId="77777777" w:rsidR="005F2AC9" w:rsidRDefault="00B56839">
      <w:pPr>
        <w:pStyle w:val="NormalWeb"/>
        <w:spacing w:before="280" w:after="280"/>
        <w:jc w:val="both"/>
        <w:rPr>
          <w:b/>
          <w:bCs/>
          <w:color w:val="000000" w:themeColor="text1"/>
          <w:lang w:val="sq-AL"/>
        </w:rPr>
      </w:pPr>
      <w:r>
        <w:rPr>
          <w:b/>
          <w:bCs/>
          <w:color w:val="000000" w:themeColor="text1"/>
          <w:lang w:val="sq-AL"/>
        </w:rPr>
        <w:t>Objektiv Specifik B3: Deinstitucionalizmi i shërbimeve të kujdesit rezidencial dhe transformimi drejt shërbimeve në familje, komunitare dhe ditore duke respektuar parimin e të drejtave të njeriut dhe</w:t>
      </w:r>
      <w:r>
        <w:rPr>
          <w:i/>
          <w:iCs/>
          <w:color w:val="000000" w:themeColor="text1"/>
          <w:lang w:val="sq-AL"/>
        </w:rPr>
        <w:t xml:space="preserve"> </w:t>
      </w:r>
      <w:r>
        <w:rPr>
          <w:b/>
          <w:bCs/>
          <w:color w:val="000000" w:themeColor="text1"/>
          <w:lang w:val="sq-AL"/>
        </w:rPr>
        <w:t>këndvështrimet gjinore</w:t>
      </w:r>
      <w:bookmarkEnd w:id="42"/>
    </w:p>
    <w:p w14:paraId="7701C72A" w14:textId="77777777" w:rsidR="005F2AC9" w:rsidRDefault="00B56839">
      <w:pPr>
        <w:pStyle w:val="NormalWeb"/>
        <w:spacing w:before="280" w:after="280"/>
        <w:rPr>
          <w:i/>
          <w:iCs/>
          <w:color w:val="000000" w:themeColor="text1"/>
          <w:u w:val="single"/>
          <w:lang w:val="sq-AL"/>
        </w:rPr>
      </w:pPr>
      <w:r>
        <w:rPr>
          <w:i/>
          <w:iCs/>
          <w:color w:val="000000" w:themeColor="text1"/>
          <w:u w:val="single"/>
          <w:lang w:val="sq-AL"/>
        </w:rPr>
        <w:t xml:space="preserve">Masat prioritare: </w:t>
      </w:r>
    </w:p>
    <w:p w14:paraId="1A427E57" w14:textId="77777777" w:rsidR="005F2AC9" w:rsidRDefault="00B56839">
      <w:pPr>
        <w:pStyle w:val="NormalWeb"/>
        <w:spacing w:before="280" w:after="280" w:line="276" w:lineRule="auto"/>
        <w:jc w:val="both"/>
        <w:rPr>
          <w:color w:val="000000" w:themeColor="text1"/>
          <w:u w:val="single"/>
          <w:lang w:val="sq-AL"/>
        </w:rPr>
      </w:pPr>
      <w:bookmarkStart w:id="43" w:name="_Toc150809635"/>
      <w:r>
        <w:rPr>
          <w:color w:val="000000" w:themeColor="text1"/>
          <w:u w:val="single"/>
          <w:lang w:val="sq-AL"/>
        </w:rPr>
        <w:t xml:space="preserve">B.3.1 </w:t>
      </w:r>
      <w:bookmarkStart w:id="44" w:name="_Hlk156580893"/>
      <w:r>
        <w:rPr>
          <w:color w:val="000000" w:themeColor="text1"/>
          <w:u w:val="single"/>
          <w:lang w:val="sq-AL"/>
        </w:rPr>
        <w:t>Kujdes për fëmijët- Avancimi i proçesit të transformimit të sistemit rezidencial për fëmijët dhe zhvillimi i shërbimeve ne familje, komunitare dhe ditore në përputhje me interesin më të lartë të përfituesve dhe atyre të barazisë gjinore</w:t>
      </w:r>
      <w:bookmarkEnd w:id="43"/>
      <w:bookmarkEnd w:id="44"/>
    </w:p>
    <w:p w14:paraId="03F57F30" w14:textId="77777777" w:rsidR="005F2AC9" w:rsidRDefault="00B56839">
      <w:pPr>
        <w:pStyle w:val="NormalWeb"/>
        <w:spacing w:before="280" w:after="280"/>
        <w:rPr>
          <w:color w:val="000000" w:themeColor="text1"/>
          <w:lang w:val="pt-BR"/>
        </w:rPr>
      </w:pPr>
      <w:r>
        <w:rPr>
          <w:b/>
          <w:bCs/>
          <w:color w:val="000000" w:themeColor="text1"/>
          <w:lang w:val="sq-AL"/>
        </w:rPr>
        <w:t>Aktivitetet prioritare për periudhën e raportimit</w:t>
      </w:r>
      <w:r>
        <w:rPr>
          <w:color w:val="000000" w:themeColor="text1"/>
          <w:lang w:val="sq-AL"/>
        </w:rPr>
        <w:t>:</w:t>
      </w:r>
    </w:p>
    <w:p w14:paraId="7C1D1506" w14:textId="77777777" w:rsidR="005F2AC9" w:rsidRDefault="00B56839">
      <w:pPr>
        <w:pStyle w:val="NormalWeb"/>
        <w:numPr>
          <w:ilvl w:val="0"/>
          <w:numId w:val="12"/>
        </w:numPr>
        <w:spacing w:before="280" w:after="0" w:line="276" w:lineRule="auto"/>
        <w:jc w:val="both"/>
        <w:rPr>
          <w:color w:val="000000" w:themeColor="text1"/>
          <w:lang w:val="sq-AL"/>
        </w:rPr>
      </w:pPr>
      <w:r>
        <w:rPr>
          <w:color w:val="000000" w:themeColor="text1"/>
          <w:lang w:val="sq-AL"/>
        </w:rPr>
        <w:t>Rishikimi i kuadrit ligjor të shërbimeve shoqërore, për mbrojtjen dhe përkujdesjen e fëmijëve në proçes deinstitucionalizimi;</w:t>
      </w:r>
    </w:p>
    <w:p w14:paraId="02BC770D" w14:textId="77777777" w:rsidR="005F2AC9" w:rsidRDefault="00B56839">
      <w:pPr>
        <w:pStyle w:val="NormalWeb"/>
        <w:numPr>
          <w:ilvl w:val="0"/>
          <w:numId w:val="12"/>
        </w:numPr>
        <w:spacing w:before="0" w:after="0" w:line="276" w:lineRule="auto"/>
        <w:jc w:val="both"/>
        <w:rPr>
          <w:color w:val="000000" w:themeColor="text1"/>
          <w:lang w:val="sq-AL"/>
        </w:rPr>
      </w:pPr>
      <w:r>
        <w:rPr>
          <w:color w:val="000000" w:themeColor="text1"/>
          <w:lang w:val="sq-AL"/>
        </w:rPr>
        <w:t>Harmonizimi i sistemit të integruar ligjor, administrativ dhe procedural, që siguron zbatimin e interesit më të lartë të fëmijës;</w:t>
      </w:r>
    </w:p>
    <w:p w14:paraId="132FE88B" w14:textId="77777777" w:rsidR="005F2AC9" w:rsidRDefault="00B56839">
      <w:pPr>
        <w:pStyle w:val="NormalWeb"/>
        <w:numPr>
          <w:ilvl w:val="0"/>
          <w:numId w:val="12"/>
        </w:numPr>
        <w:spacing w:before="0" w:after="0" w:line="276" w:lineRule="auto"/>
        <w:jc w:val="both"/>
        <w:rPr>
          <w:color w:val="000000" w:themeColor="text1"/>
          <w:lang w:val="sq-AL"/>
        </w:rPr>
      </w:pPr>
      <w:r>
        <w:rPr>
          <w:color w:val="000000" w:themeColor="text1"/>
          <w:lang w:val="sq-AL"/>
        </w:rPr>
        <w:t>Rishikimi i kuadrit financiar që siguron mbështetjen e proçesit të desinstitucionalizmit dhe transformimit të institucioneve si dhe kujdesin alternativ profesional ose në familjen biologjike;</w:t>
      </w:r>
    </w:p>
    <w:p w14:paraId="2FF8E687" w14:textId="77777777" w:rsidR="005F2AC9" w:rsidRDefault="00B56839">
      <w:pPr>
        <w:pStyle w:val="NormalWeb"/>
        <w:numPr>
          <w:ilvl w:val="0"/>
          <w:numId w:val="12"/>
        </w:numPr>
        <w:spacing w:before="0" w:after="0" w:line="276" w:lineRule="auto"/>
        <w:jc w:val="both"/>
        <w:rPr>
          <w:color w:val="000000" w:themeColor="text1"/>
          <w:lang w:val="sq-AL"/>
        </w:rPr>
      </w:pPr>
      <w:r>
        <w:rPr>
          <w:color w:val="000000" w:themeColor="text1"/>
          <w:lang w:val="sq-AL"/>
        </w:rPr>
        <w:t xml:space="preserve">Ngritja e një mekanizmi koordinues ndër-institucional për monitorimin e proçesit: Komiteti Drejtues </w:t>
      </w:r>
    </w:p>
    <w:p w14:paraId="7AB0A534" w14:textId="77777777" w:rsidR="005F2AC9" w:rsidRDefault="00B56839">
      <w:pPr>
        <w:pStyle w:val="NormalWeb"/>
        <w:numPr>
          <w:ilvl w:val="0"/>
          <w:numId w:val="12"/>
        </w:numPr>
        <w:spacing w:before="0" w:after="0" w:line="276" w:lineRule="auto"/>
        <w:jc w:val="both"/>
        <w:rPr>
          <w:color w:val="000000" w:themeColor="text1"/>
          <w:lang w:val="sq-AL"/>
        </w:rPr>
      </w:pPr>
      <w:r>
        <w:rPr>
          <w:color w:val="000000" w:themeColor="text1"/>
          <w:lang w:val="sq-AL"/>
        </w:rPr>
        <w:t xml:space="preserve">Ngritja dhe fuqizimi i shërbimeve sociale dhe të integruara për ndërhyrje të hershme dhe parandalimin e ndarjes së fëmijës nga mjedisi familjar dhe ribashkimin (përfshirë fëmijët me AK; përfshirë shërbimet rezidenciale private); Ngritja dhe institucionalizimi i shërbimit të kujdestarisë profesionale dhe shtrirja e modeleve të formalizuara nga mekanizmi ndër-institucional; </w:t>
      </w:r>
    </w:p>
    <w:p w14:paraId="65BEA5C3" w14:textId="77777777" w:rsidR="005F2AC9" w:rsidRDefault="00B56839">
      <w:pPr>
        <w:pStyle w:val="NormalWeb"/>
        <w:numPr>
          <w:ilvl w:val="0"/>
          <w:numId w:val="12"/>
        </w:numPr>
        <w:spacing w:before="0" w:after="0" w:line="276" w:lineRule="auto"/>
        <w:jc w:val="both"/>
        <w:rPr>
          <w:color w:val="000000" w:themeColor="text1"/>
          <w:lang w:val="sq-AL"/>
        </w:rPr>
      </w:pPr>
      <w:r>
        <w:rPr>
          <w:color w:val="000000" w:themeColor="text1"/>
          <w:lang w:val="sq-AL"/>
        </w:rPr>
        <w:t xml:space="preserve">Të zbatohet moratorium për fëmijët 0-3 vjeç në IPSH -të publike dhe ato private; Monitorimi i zbatimit të kujdesit alternativ për të gjithë fëmijët, me fokus të veçantë fëmijët 0 – 6 vjeç, si pjesë e IPSH-ve që do të transformohen; </w:t>
      </w:r>
    </w:p>
    <w:p w14:paraId="5DEA1D01" w14:textId="77777777" w:rsidR="005F2AC9" w:rsidRDefault="00B56839">
      <w:pPr>
        <w:pStyle w:val="NormalWeb"/>
        <w:numPr>
          <w:ilvl w:val="0"/>
          <w:numId w:val="12"/>
        </w:numPr>
        <w:spacing w:before="0" w:after="0" w:line="276" w:lineRule="auto"/>
        <w:jc w:val="both"/>
        <w:rPr>
          <w:color w:val="000000" w:themeColor="text1"/>
          <w:lang w:val="sq-AL"/>
        </w:rPr>
      </w:pPr>
      <w:r>
        <w:rPr>
          <w:color w:val="000000" w:themeColor="text1"/>
          <w:lang w:val="sq-AL"/>
        </w:rPr>
        <w:t xml:space="preserve">Vlerësimi dhe sigurimi i interesit më të lartë të fëmijëve rezidentë në IPSH përgjatë proçesit të transformimit; Vlerësimi i të tre komponentëve - përfitues, infrastrukturë, burime njerëzore; </w:t>
      </w:r>
    </w:p>
    <w:p w14:paraId="7967902B" w14:textId="77777777" w:rsidR="005F2AC9" w:rsidRDefault="00B56839">
      <w:pPr>
        <w:pStyle w:val="NormalWeb"/>
        <w:numPr>
          <w:ilvl w:val="0"/>
          <w:numId w:val="12"/>
        </w:numPr>
        <w:spacing w:before="0" w:after="0" w:line="276" w:lineRule="auto"/>
        <w:jc w:val="both"/>
        <w:rPr>
          <w:color w:val="000000" w:themeColor="text1"/>
          <w:lang w:val="sq-AL"/>
        </w:rPr>
      </w:pPr>
      <w:r>
        <w:rPr>
          <w:color w:val="000000" w:themeColor="text1"/>
          <w:lang w:val="sq-AL"/>
        </w:rPr>
        <w:t xml:space="preserve">Transformimi gradual i 9 Institucioneve Publike të Shërbimeve të Përkujdesjes (IPSH) në shërbime multidisiplinare e multifunksionale për fëmijën dhe familjen, duke zbatuar interesin më të lartë të fëmijës; </w:t>
      </w:r>
    </w:p>
    <w:p w14:paraId="1512B58A" w14:textId="77777777" w:rsidR="005F2AC9" w:rsidRDefault="00B56839">
      <w:pPr>
        <w:pStyle w:val="NormalWeb"/>
        <w:numPr>
          <w:ilvl w:val="0"/>
          <w:numId w:val="12"/>
        </w:numPr>
        <w:spacing w:before="0" w:after="0" w:line="276" w:lineRule="auto"/>
        <w:jc w:val="both"/>
        <w:rPr>
          <w:color w:val="000000" w:themeColor="text1"/>
          <w:lang w:val="sq-AL"/>
        </w:rPr>
      </w:pPr>
      <w:r>
        <w:rPr>
          <w:color w:val="000000" w:themeColor="text1"/>
          <w:lang w:val="sq-AL"/>
        </w:rPr>
        <w:t>Monitorimi i vazhdueshëm i çdo fëmije që tranziton nga kujdesi rezidencial në forma të tjera alternative kujdesi;</w:t>
      </w:r>
    </w:p>
    <w:p w14:paraId="5D43E55B" w14:textId="42E112FB" w:rsidR="005F2AC9" w:rsidRPr="004860B6" w:rsidRDefault="00B56839" w:rsidP="004860B6">
      <w:pPr>
        <w:pStyle w:val="NormalWeb"/>
        <w:numPr>
          <w:ilvl w:val="0"/>
          <w:numId w:val="12"/>
        </w:numPr>
        <w:spacing w:before="0" w:after="280" w:line="276" w:lineRule="auto"/>
        <w:jc w:val="both"/>
        <w:rPr>
          <w:color w:val="000000" w:themeColor="text1"/>
          <w:lang w:val="sq-AL"/>
        </w:rPr>
      </w:pPr>
      <w:r>
        <w:rPr>
          <w:color w:val="000000" w:themeColor="text1"/>
          <w:lang w:val="sq-AL"/>
        </w:rPr>
        <w:t xml:space="preserve">Trajnime të vazhdueshme për gjithë personelin (punonjësit socialë, kujdestarët edukatorët); </w:t>
      </w:r>
    </w:p>
    <w:p w14:paraId="33C1476A" w14:textId="77777777" w:rsidR="000346C2" w:rsidRDefault="000346C2">
      <w:pPr>
        <w:spacing w:after="0"/>
        <w:jc w:val="both"/>
        <w:rPr>
          <w:rFonts w:ascii="Times New Roman" w:eastAsia="Times New Roman" w:hAnsi="Times New Roman" w:cs="Times New Roman"/>
          <w:b/>
          <w:bCs/>
          <w:color w:val="000000" w:themeColor="text1"/>
          <w:sz w:val="24"/>
          <w:szCs w:val="24"/>
          <w:lang w:val="it-IT"/>
        </w:rPr>
      </w:pPr>
    </w:p>
    <w:p w14:paraId="18DD773D" w14:textId="77777777" w:rsidR="000346C2" w:rsidRDefault="000346C2">
      <w:pPr>
        <w:spacing w:after="0"/>
        <w:jc w:val="both"/>
        <w:rPr>
          <w:rFonts w:ascii="Times New Roman" w:eastAsia="Times New Roman" w:hAnsi="Times New Roman" w:cs="Times New Roman"/>
          <w:b/>
          <w:bCs/>
          <w:color w:val="000000" w:themeColor="text1"/>
          <w:sz w:val="24"/>
          <w:szCs w:val="24"/>
          <w:lang w:val="it-IT"/>
        </w:rPr>
      </w:pPr>
    </w:p>
    <w:p w14:paraId="10C2C8A6" w14:textId="77777777" w:rsidR="005F2AC9" w:rsidRDefault="00B56839">
      <w:pPr>
        <w:spacing w:after="0"/>
        <w:jc w:val="both"/>
        <w:rPr>
          <w:rFonts w:ascii="Times New Roman" w:eastAsia="Times New Roman" w:hAnsi="Times New Roman" w:cs="Times New Roman"/>
          <w:b/>
          <w:bCs/>
          <w:color w:val="000000" w:themeColor="text1"/>
          <w:sz w:val="24"/>
          <w:szCs w:val="24"/>
          <w:lang w:val="pt-BR"/>
        </w:rPr>
      </w:pPr>
      <w:r>
        <w:rPr>
          <w:rFonts w:ascii="Times New Roman" w:eastAsia="Times New Roman" w:hAnsi="Times New Roman" w:cs="Times New Roman"/>
          <w:b/>
          <w:bCs/>
          <w:color w:val="000000" w:themeColor="text1"/>
          <w:sz w:val="24"/>
          <w:szCs w:val="24"/>
          <w:lang w:val="it-IT"/>
        </w:rPr>
        <w:t>Tabela:</w:t>
      </w:r>
      <w:r>
        <w:rPr>
          <w:rFonts w:eastAsia="Garamond" w:cs="Garamond"/>
          <w:b/>
          <w:bCs/>
          <w:color w:val="000000" w:themeColor="text1"/>
          <w:lang w:val="it-IT"/>
        </w:rPr>
        <w:t xml:space="preserve"> </w:t>
      </w:r>
      <w:r>
        <w:rPr>
          <w:rFonts w:ascii="Times New Roman" w:eastAsia="Times New Roman" w:hAnsi="Times New Roman" w:cs="Times New Roman"/>
          <w:b/>
          <w:bCs/>
          <w:color w:val="000000" w:themeColor="text1"/>
          <w:sz w:val="24"/>
          <w:szCs w:val="24"/>
          <w:lang w:val="pt-BR"/>
        </w:rPr>
        <w:t>Indikatorët e Pasaportës për Objektivin specifik B.3.1</w:t>
      </w:r>
    </w:p>
    <w:p w14:paraId="1B98540F" w14:textId="77777777" w:rsidR="005F2AC9" w:rsidRDefault="005F2AC9">
      <w:pPr>
        <w:spacing w:after="0"/>
        <w:jc w:val="both"/>
        <w:rPr>
          <w:rFonts w:ascii="Times New Roman" w:hAnsi="Times New Roman"/>
          <w:b/>
          <w:bCs/>
          <w:color w:val="000000" w:themeColor="text1"/>
          <w:sz w:val="24"/>
          <w:szCs w:val="24"/>
          <w:lang w:val="it-IT"/>
        </w:rPr>
      </w:pPr>
    </w:p>
    <w:tbl>
      <w:tblPr>
        <w:tblStyle w:val="TableGrid"/>
        <w:tblW w:w="8717" w:type="dxa"/>
        <w:tblLayout w:type="fixed"/>
        <w:tblLook w:val="04A0" w:firstRow="1" w:lastRow="0" w:firstColumn="1" w:lastColumn="0" w:noHBand="0" w:noVBand="1"/>
      </w:tblPr>
      <w:tblGrid>
        <w:gridCol w:w="1902"/>
        <w:gridCol w:w="2102"/>
        <w:gridCol w:w="1114"/>
        <w:gridCol w:w="1290"/>
        <w:gridCol w:w="599"/>
        <w:gridCol w:w="1710"/>
      </w:tblGrid>
      <w:tr w:rsidR="005F2AC9" w14:paraId="6A57BCC1" w14:textId="77777777">
        <w:trPr>
          <w:trHeight w:val="225"/>
        </w:trPr>
        <w:tc>
          <w:tcPr>
            <w:tcW w:w="1901" w:type="dxa"/>
            <w:tcBorders>
              <w:top w:val="single" w:sz="8" w:space="0" w:color="000000"/>
              <w:left w:val="single" w:sz="8" w:space="0" w:color="000000"/>
              <w:bottom w:val="single" w:sz="8" w:space="0" w:color="000000"/>
              <w:right w:val="single" w:sz="8" w:space="0" w:color="000000"/>
            </w:tcBorders>
          </w:tcPr>
          <w:p w14:paraId="3DDD8F6D"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B3.1. Kujdes për fëmijët- Avancimi i proçesit të transformimit të sistemit rezidencial për fëmijët dhe zhvillimi i shërbimeve ne familje, komunitare dhe ditore në përputhje me interesin më të lartë të përfituesve dhe atyre të barazisë gjinore..</w:t>
            </w:r>
          </w:p>
        </w:tc>
        <w:tc>
          <w:tcPr>
            <w:tcW w:w="2102" w:type="dxa"/>
            <w:tcBorders>
              <w:top w:val="single" w:sz="8" w:space="0" w:color="000000"/>
              <w:left w:val="single" w:sz="8" w:space="0" w:color="000000"/>
              <w:bottom w:val="single" w:sz="8" w:space="0" w:color="000000"/>
              <w:right w:val="single" w:sz="8" w:space="0" w:color="000000"/>
            </w:tcBorders>
          </w:tcPr>
          <w:p w14:paraId="77D4297A"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Numri i personelit të shërbimit të kujdesit rezidencial i trajnuar për proceset e deinstitucionalizmit; </w:t>
            </w:r>
          </w:p>
          <w:p w14:paraId="21482834"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683B2888"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408EDAD9"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436E90D2"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Numri i shërbimeve të reja të ngritura për parandalimin e institucionalizmit të fëmijëve dhe për transformimin e sistemit rezidencial </w:t>
            </w:r>
          </w:p>
          <w:p w14:paraId="03B6A7E7"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(sipas tipologjisë së shërbimit: ndihmës personal i përkohshëm, birësim, jetesë e pavarur, shërbime ditore, komunitare, program fuqizim familje);</w:t>
            </w:r>
          </w:p>
        </w:tc>
        <w:tc>
          <w:tcPr>
            <w:tcW w:w="1114" w:type="dxa"/>
            <w:tcBorders>
              <w:top w:val="single" w:sz="8" w:space="0" w:color="000000"/>
              <w:left w:val="single" w:sz="8" w:space="0" w:color="000000"/>
              <w:bottom w:val="single" w:sz="8" w:space="0" w:color="000000"/>
              <w:right w:val="single" w:sz="8" w:space="0" w:color="000000"/>
            </w:tcBorders>
          </w:tcPr>
          <w:p w14:paraId="1153F3B5"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56 (viti 2023)</w:t>
            </w:r>
          </w:p>
          <w:p w14:paraId="5CB90F5D"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p w14:paraId="428F4DDC"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p w14:paraId="0EAABA0E"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p w14:paraId="46B0695A"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p w14:paraId="78C6795C"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p w14:paraId="712AAC30" w14:textId="77777777" w:rsidR="005F2AC9" w:rsidRDefault="005F2AC9">
            <w:pPr>
              <w:spacing w:before="0" w:after="0" w:line="240" w:lineRule="auto"/>
              <w:rPr>
                <w:rFonts w:ascii="Times New Roman" w:eastAsia="Times New Roman" w:hAnsi="Times New Roman" w:cs="Times New Roman"/>
                <w:color w:val="000000" w:themeColor="text1"/>
                <w:lang w:val="en-GB"/>
              </w:rPr>
            </w:pPr>
          </w:p>
          <w:p w14:paraId="0D1CB1B0"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12 (viti 2023)</w:t>
            </w:r>
          </w:p>
        </w:tc>
        <w:tc>
          <w:tcPr>
            <w:tcW w:w="1290" w:type="dxa"/>
            <w:tcBorders>
              <w:top w:val="single" w:sz="8" w:space="0" w:color="000000"/>
              <w:left w:val="single" w:sz="8" w:space="0" w:color="000000"/>
              <w:bottom w:val="single" w:sz="8" w:space="0" w:color="000000"/>
              <w:right w:val="single" w:sz="8" w:space="0" w:color="000000"/>
            </w:tcBorders>
          </w:tcPr>
          <w:p w14:paraId="20D97758" w14:textId="77777777" w:rsidR="005F2AC9" w:rsidRDefault="00B56839">
            <w:pPr>
              <w:spacing w:before="0" w:after="0" w:line="240" w:lineRule="auto"/>
              <w:rPr>
                <w:rFonts w:ascii="Times New Roman" w:eastAsia="Times New Roman" w:hAnsi="Times New Roman" w:cs="Times New Roman"/>
                <w:color w:val="000000" w:themeColor="text1"/>
                <w:lang w:val="en-GB"/>
              </w:rPr>
            </w:pPr>
            <w:r>
              <w:rPr>
                <w:rFonts w:ascii="Times New Roman" w:eastAsia="Times New Roman" w:hAnsi="Times New Roman" w:cs="Times New Roman"/>
                <w:color w:val="000000" w:themeColor="text1"/>
                <w:lang w:val="en-GB"/>
              </w:rPr>
              <w:t>295</w:t>
            </w:r>
          </w:p>
          <w:p w14:paraId="51C42C9B"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p w14:paraId="6DF014A4"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p w14:paraId="2E54CBB8"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p w14:paraId="06181A4E"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p w14:paraId="65B5C83F" w14:textId="77777777" w:rsidR="005F2AC9" w:rsidRDefault="005F2AC9">
            <w:pPr>
              <w:spacing w:before="0" w:after="0" w:line="240" w:lineRule="auto"/>
              <w:rPr>
                <w:rFonts w:ascii="Times New Roman" w:eastAsia="Times New Roman" w:hAnsi="Times New Roman" w:cs="Times New Roman"/>
                <w:color w:val="000000" w:themeColor="text1"/>
                <w:lang w:val="en-GB"/>
              </w:rPr>
            </w:pPr>
          </w:p>
          <w:p w14:paraId="09D015A5" w14:textId="77777777" w:rsidR="005F2AC9" w:rsidRDefault="005F2AC9">
            <w:pPr>
              <w:spacing w:before="0" w:after="0" w:line="240" w:lineRule="auto"/>
              <w:rPr>
                <w:rFonts w:ascii="Times New Roman" w:eastAsia="Times New Roman" w:hAnsi="Times New Roman" w:cs="Times New Roman"/>
                <w:color w:val="000000" w:themeColor="text1"/>
                <w:lang w:val="en-GB"/>
              </w:rPr>
            </w:pPr>
          </w:p>
          <w:p w14:paraId="0EDB1EFB" w14:textId="77777777" w:rsidR="005F2AC9" w:rsidRDefault="005F2AC9">
            <w:pPr>
              <w:spacing w:before="0" w:after="0" w:line="240" w:lineRule="auto"/>
              <w:rPr>
                <w:rFonts w:ascii="Times New Roman" w:eastAsia="Times New Roman" w:hAnsi="Times New Roman" w:cs="Times New Roman"/>
                <w:color w:val="000000" w:themeColor="text1"/>
                <w:lang w:val="en-GB"/>
              </w:rPr>
            </w:pPr>
          </w:p>
          <w:p w14:paraId="074033F7"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37 Qendra komunitare (3 SHMFF) dhe 22 shërbime lëvizëse</w:t>
            </w:r>
          </w:p>
        </w:tc>
        <w:tc>
          <w:tcPr>
            <w:tcW w:w="599" w:type="dxa"/>
            <w:tcBorders>
              <w:top w:val="single" w:sz="8" w:space="0" w:color="000000"/>
              <w:left w:val="single" w:sz="8" w:space="0" w:color="000000"/>
              <w:bottom w:val="single" w:sz="8" w:space="0" w:color="000000"/>
              <w:right w:val="single" w:sz="8" w:space="0" w:color="000000"/>
            </w:tcBorders>
          </w:tcPr>
          <w:p w14:paraId="451647B9"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176</w:t>
            </w:r>
          </w:p>
          <w:p w14:paraId="02CA5881"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p w14:paraId="27B20D9A"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p w14:paraId="74C0A463"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p w14:paraId="1D6F59D6"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p w14:paraId="53D6218F" w14:textId="77777777" w:rsidR="005F2AC9" w:rsidRDefault="005F2AC9">
            <w:pPr>
              <w:spacing w:before="0" w:after="0" w:line="240" w:lineRule="auto"/>
              <w:rPr>
                <w:rFonts w:ascii="Times New Roman" w:eastAsia="Times New Roman" w:hAnsi="Times New Roman" w:cs="Times New Roman"/>
                <w:color w:val="000000" w:themeColor="text1"/>
                <w:lang w:val="en-GB"/>
              </w:rPr>
            </w:pPr>
          </w:p>
          <w:p w14:paraId="58D25B57" w14:textId="77777777" w:rsidR="005F2AC9" w:rsidRDefault="005F2AC9">
            <w:pPr>
              <w:spacing w:before="0" w:after="0" w:line="240" w:lineRule="auto"/>
              <w:rPr>
                <w:rFonts w:ascii="Times New Roman" w:eastAsia="Times New Roman" w:hAnsi="Times New Roman" w:cs="Times New Roman"/>
                <w:color w:val="000000" w:themeColor="text1"/>
                <w:lang w:val="en-GB"/>
              </w:rPr>
            </w:pPr>
          </w:p>
          <w:p w14:paraId="19070421"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 xml:space="preserve"> </w:t>
            </w:r>
          </w:p>
          <w:p w14:paraId="3D363291"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en-GB"/>
              </w:rPr>
              <w:t>32</w:t>
            </w:r>
          </w:p>
        </w:tc>
        <w:tc>
          <w:tcPr>
            <w:tcW w:w="1710" w:type="dxa"/>
            <w:tcBorders>
              <w:top w:val="single" w:sz="8" w:space="0" w:color="000000"/>
              <w:left w:val="single" w:sz="8" w:space="0" w:color="000000"/>
              <w:bottom w:val="single" w:sz="8" w:space="0" w:color="000000"/>
              <w:right w:val="single" w:sz="8" w:space="0" w:color="000000"/>
            </w:tcBorders>
          </w:tcPr>
          <w:p w14:paraId="633EB094" w14:textId="77777777" w:rsidR="005F2AC9" w:rsidRDefault="005F2AC9">
            <w:pPr>
              <w:spacing w:before="0" w:after="0" w:line="240" w:lineRule="auto"/>
              <w:rPr>
                <w:rFonts w:ascii="Times New Roman" w:eastAsia="Times New Roman" w:hAnsi="Times New Roman" w:cs="Times New Roman"/>
                <w:color w:val="000000" w:themeColor="text1"/>
                <w:lang w:val="it-CH"/>
              </w:rPr>
            </w:pPr>
          </w:p>
          <w:p w14:paraId="7708F7AD" w14:textId="77777777" w:rsidR="005F2AC9" w:rsidRDefault="005F2AC9">
            <w:pPr>
              <w:spacing w:before="0" w:after="0" w:line="240" w:lineRule="auto"/>
              <w:rPr>
                <w:rFonts w:ascii="Times New Roman" w:eastAsia="Times New Roman" w:hAnsi="Times New Roman" w:cs="Times New Roman"/>
                <w:color w:val="000000" w:themeColor="text1"/>
                <w:lang w:val="it-CH"/>
              </w:rPr>
            </w:pPr>
          </w:p>
          <w:p w14:paraId="2E12A6DA" w14:textId="77777777" w:rsidR="005F2AC9" w:rsidRDefault="005F2AC9">
            <w:pPr>
              <w:spacing w:before="0" w:after="0" w:line="240" w:lineRule="auto"/>
              <w:rPr>
                <w:rFonts w:ascii="Times New Roman" w:eastAsia="Times New Roman" w:hAnsi="Times New Roman" w:cs="Times New Roman"/>
                <w:color w:val="000000" w:themeColor="text1"/>
                <w:lang w:val="it-CH"/>
              </w:rPr>
            </w:pPr>
          </w:p>
          <w:p w14:paraId="1C97CE8B" w14:textId="77777777" w:rsidR="005F2AC9" w:rsidRDefault="005F2AC9">
            <w:pPr>
              <w:spacing w:before="0" w:after="0" w:line="240" w:lineRule="auto"/>
              <w:rPr>
                <w:rFonts w:ascii="Times New Roman" w:eastAsia="Times New Roman" w:hAnsi="Times New Roman" w:cs="Times New Roman"/>
                <w:color w:val="000000" w:themeColor="text1"/>
                <w:lang w:val="it-CH"/>
              </w:rPr>
            </w:pPr>
          </w:p>
          <w:p w14:paraId="06DB59B4" w14:textId="77777777" w:rsidR="005F2AC9" w:rsidRDefault="005F2AC9">
            <w:pPr>
              <w:spacing w:before="0" w:after="0" w:line="240" w:lineRule="auto"/>
              <w:rPr>
                <w:rFonts w:ascii="Times New Roman" w:eastAsia="Times New Roman" w:hAnsi="Times New Roman" w:cs="Times New Roman"/>
                <w:color w:val="000000" w:themeColor="text1"/>
                <w:lang w:val="it-CH"/>
              </w:rPr>
            </w:pPr>
          </w:p>
          <w:p w14:paraId="280D1281" w14:textId="77777777" w:rsidR="005F2AC9" w:rsidRDefault="005F2AC9">
            <w:pPr>
              <w:spacing w:before="0" w:after="0" w:line="240" w:lineRule="auto"/>
              <w:rPr>
                <w:rFonts w:ascii="Times New Roman" w:eastAsia="Times New Roman" w:hAnsi="Times New Roman" w:cs="Times New Roman"/>
                <w:color w:val="000000" w:themeColor="text1"/>
                <w:lang w:val="it-CH"/>
              </w:rPr>
            </w:pPr>
          </w:p>
          <w:p w14:paraId="188B969D"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CH"/>
              </w:rPr>
              <w:t>SHSSH/ të dhëna administrative/ raporti i monitorimit të strategjisë së MS</w:t>
            </w:r>
          </w:p>
          <w:p w14:paraId="3E1DBDE8"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160B41F4"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48EDEADB"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tc>
      </w:tr>
    </w:tbl>
    <w:p w14:paraId="42F13937" w14:textId="77777777" w:rsidR="005F2AC9" w:rsidRDefault="005F2AC9">
      <w:pPr>
        <w:spacing w:after="0"/>
        <w:jc w:val="both"/>
        <w:rPr>
          <w:rFonts w:ascii="Times New Roman" w:hAnsi="Times New Roman"/>
          <w:b/>
          <w:bCs/>
          <w:color w:val="000000" w:themeColor="text1"/>
          <w:sz w:val="24"/>
          <w:szCs w:val="24"/>
          <w:lang w:val="it-IT"/>
        </w:rPr>
      </w:pPr>
    </w:p>
    <w:p w14:paraId="3B2CCB8C" w14:textId="77777777" w:rsidR="005F2AC9" w:rsidRDefault="00B56839">
      <w:pPr>
        <w:spacing w:after="0"/>
        <w:jc w:val="both"/>
        <w:rPr>
          <w:rFonts w:ascii="Times New Roman" w:hAnsi="Times New Roman"/>
          <w:b/>
          <w:bCs/>
          <w:color w:val="000000" w:themeColor="text1"/>
          <w:sz w:val="24"/>
          <w:szCs w:val="24"/>
          <w:lang w:val="it-IT"/>
        </w:rPr>
      </w:pPr>
      <w:r>
        <w:rPr>
          <w:rFonts w:ascii="Times New Roman" w:hAnsi="Times New Roman"/>
          <w:b/>
          <w:bCs/>
          <w:color w:val="000000" w:themeColor="text1"/>
          <w:sz w:val="24"/>
          <w:szCs w:val="24"/>
          <w:lang w:val="it-IT"/>
        </w:rPr>
        <w:t>Përshkrimi i objektivit dhe rezultatet e monitorimit</w:t>
      </w:r>
    </w:p>
    <w:p w14:paraId="40898829" w14:textId="77777777" w:rsidR="005F2AC9" w:rsidRDefault="00B56839">
      <w:pPr>
        <w:pStyle w:val="NormalWeb"/>
        <w:spacing w:before="280" w:after="280" w:line="276" w:lineRule="auto"/>
        <w:jc w:val="both"/>
        <w:rPr>
          <w:color w:val="000000" w:themeColor="text1"/>
          <w:lang w:val="it-IT"/>
        </w:rPr>
      </w:pPr>
      <w:r>
        <w:rPr>
          <w:color w:val="000000" w:themeColor="text1"/>
          <w:lang w:val="it-IT"/>
        </w:rPr>
        <w:t>Ky objektiv synon të avancojë procesin e transformimit të sistemit rezidencial për fëmijët, duke e zhvendosur fokusin nga kujdesi institucional drejt formave më të personalizuara dhe gjithëpërfshirëse të mbështetjes, siç janë shërbimet në familje, komunitet dhe qendra ditore. Qasja e re synon të sigurojë që çdo fëmijë të rritet në një mjedis sa më të afërt me jetën familjare, duke respektuar të drejtën e tij për zhvillim të plotë emocional, social dhe arsimor. Kjo reformë bazohet në parimin e interesit më të lartë të fëmijës dhe në nevojën për të ofruar shërbime që janë të ndjeshme ndaj gjinisë, duke adresuar në mënyrë të barabartë nevojat e vajzave dhe djemve.</w:t>
      </w:r>
    </w:p>
    <w:p w14:paraId="77395F9D" w14:textId="77777777" w:rsidR="005F2AC9" w:rsidRDefault="00B56839">
      <w:pPr>
        <w:pStyle w:val="NormalWeb"/>
        <w:spacing w:before="280" w:after="280" w:line="276" w:lineRule="auto"/>
        <w:jc w:val="both"/>
        <w:rPr>
          <w:color w:val="000000" w:themeColor="text1"/>
          <w:lang w:val="it-IT"/>
        </w:rPr>
      </w:pPr>
      <w:r>
        <w:rPr>
          <w:color w:val="000000" w:themeColor="text1"/>
          <w:lang w:val="it-IT"/>
        </w:rPr>
        <w:t>Zhvillimi i shërbimeve alternative kërkon një qasje të koordinuar ndërinstitucionale, investim në kapacitete njerëzore dhe financiare, si dhe përfshirjen aktive të komunitetit dhe familjes. Përmes kësaj qasjeje, synohet të krijohen struktura mbështetëse që jo vetëm zëvendësojnë kujdesin rezidencial, por ofrojnë një mjedis të sigurt, të dashur dhe të qëndrueshëm për fëmijët. Gjithashtu, përfshirja e perspektivës gjinore në planifikimin, zbatimin dhe monitorimin e shërbimeve siguron që asnjë fëmijë të mos përjashtohet apo diskriminohet për shkak të gjinisë.</w:t>
      </w:r>
    </w:p>
    <w:p w14:paraId="6F15F841" w14:textId="43363DB7" w:rsidR="005F2AC9" w:rsidRDefault="00B56839">
      <w:pPr>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 xml:space="preserve">Ministria e Shëndetësisë dhe </w:t>
      </w:r>
      <w:r w:rsidR="00BA4B59" w:rsidRPr="00BA4B59">
        <w:rPr>
          <w:rFonts w:ascii="Times New Roman" w:hAnsi="Times New Roman" w:cs="Times New Roman"/>
          <w:color w:val="000000" w:themeColor="text1"/>
          <w:sz w:val="24"/>
          <w:szCs w:val="24"/>
          <w:lang w:val="it-IT"/>
        </w:rPr>
        <w:t>Mirëqenies</w:t>
      </w:r>
      <w:r>
        <w:rPr>
          <w:rFonts w:ascii="Times New Roman" w:hAnsi="Times New Roman" w:cs="Times New Roman"/>
          <w:color w:val="000000" w:themeColor="text1"/>
          <w:sz w:val="24"/>
          <w:szCs w:val="24"/>
          <w:lang w:val="it-IT"/>
        </w:rPr>
        <w:t xml:space="preserve"> Sociale ka ndërmarrë hapa konkretë për transformimin e sistemit rezidencial për fëmijët, duke e orientuar drejt shërbimeve komunitare, familjare dhe ditore, në përputhje me interesin më të lartë të fëmijës dhe parimet e barazisë gjinore. Transformimi i qendrave në Vlorë dhe Korçë është vlerësuar pozitivisht nga partnerët ndërkombëtarë, përfshirë Komisionin Evropian, dhe tashmë shërben si model për institucionet në Durrës dhe Shkodër.</w:t>
      </w:r>
    </w:p>
    <w:p w14:paraId="38E1B6F2" w14:textId="77777777" w:rsidR="005F2AC9" w:rsidRDefault="00B56839">
      <w:pPr>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Procesi i transformimit për këto dy institucione është mbështetur në vlerësime të detajuara të gjendjes aktuale të fëmijëve, stafit dhe infrastrukturës, si dhe në ndërtimin e planeve të tranzicionit të përshtatura sipas kontekstit lokal. Vlerësimet paraprake kanë identifikuar faktorët kryesorë që pengojnë rikthimin e fëmijëve në familjen biologjike ose kalimin në forma alternative të përkujdesjes, përfshirë statusin e paqartë ligjor, mungesën e koordinimit ndërinstitucional dhe mungesën e shërbimeve mbështetëse në nivel vendor.</w:t>
      </w:r>
    </w:p>
    <w:p w14:paraId="463439F4" w14:textId="77777777" w:rsidR="005F2AC9" w:rsidRDefault="00B56839">
      <w:pPr>
        <w:pStyle w:val="NoSpacing"/>
        <w:spacing w:line="276" w:lineRule="auto"/>
        <w:jc w:val="both"/>
        <w:rPr>
          <w:rFonts w:ascii="Times New Roman" w:hAnsi="Times New Roman"/>
          <w:color w:val="000000" w:themeColor="text1"/>
          <w:sz w:val="24"/>
          <w:szCs w:val="24"/>
          <w:highlight w:val="yellow"/>
          <w:lang w:val="it-IT"/>
        </w:rPr>
      </w:pPr>
      <w:r>
        <w:rPr>
          <w:rFonts w:ascii="Times New Roman" w:eastAsia="Times New Roman" w:hAnsi="Times New Roman" w:cs="Times New Roman"/>
          <w:color w:val="000000" w:themeColor="text1"/>
          <w:sz w:val="24"/>
          <w:szCs w:val="24"/>
          <w:lang w:val="it-IT"/>
        </w:rPr>
        <w:t>Reforma e deinstitucionalizimit të fëmijëve në Shqipëri ka shënuar përparime të qëndrueshme gjatë periudhës 2021–2025, duke reflektuar një zhvendosje graduale nga modelet tradicionale të kujdesit institucional drejt shërbimeve të bazuara në familje dhe komunitet. Të dhënat tregojnë një tendencë të përgjithshme rënëse të numrit total të fëmijëve në qendrat rezidenciale publike, nga 246 fëmijë në vitin 2021 në 199 fëmijë në vitin 2025, pavarësisht luhatjeve të përkohshme ndërmjet viteve. Kjo tendencë konfirmon ndikimin gradual të politikave të parandalimit të ndarjes së fëmijëve nga familja dhe forcimit të alternativave ndaj institucionalizimit.</w:t>
      </w:r>
    </w:p>
    <w:p w14:paraId="5CA02FE3" w14:textId="77777777" w:rsidR="005F2AC9" w:rsidRDefault="00B56839">
      <w:pPr>
        <w:spacing w:before="240" w:after="240"/>
        <w:jc w:val="both"/>
        <w:rPr>
          <w:rFonts w:ascii="Times New Roman" w:eastAsia="Times New Roman" w:hAnsi="Times New Roman" w:cs="Times New Roman"/>
          <w:color w:val="000000" w:themeColor="text1"/>
          <w:sz w:val="24"/>
          <w:szCs w:val="24"/>
          <w:lang w:val="it-IT"/>
        </w:rPr>
      </w:pPr>
      <w:r>
        <w:rPr>
          <w:rFonts w:ascii="Times New Roman" w:eastAsia="Times New Roman" w:hAnsi="Times New Roman" w:cs="Times New Roman"/>
          <w:color w:val="000000" w:themeColor="text1"/>
          <w:sz w:val="24"/>
          <w:szCs w:val="24"/>
          <w:lang w:val="it-IT"/>
        </w:rPr>
        <w:t>Në të njëjtën kohë, të dhënat mbi hyrjet e reja në institucionet rezidenciale tregojnë se presioni mbi sistemin mbetet i konsiderueshëm. Numri i fëmijëve që kanë hyrë në qendrat rezidenciale ka qenë relativisht i qëndrueshëm gjatë viteve 2021–2024, me një rritje të dukshme në vitin 2024 (60 fëmijë), përpara se të ulej në 46 raste në vitin 2025. Kjo ulje në vitin 2025 lidhet drejtpërdrejt me forcimin e mekanizmave të menaxhimit të rasteve në nivel vendor, rolin më aktiv të Njësive të Mbrojtjes së Fëmijës dhe Njësive të Vlerësimit të Nevojave dhe Referimit, si dhe zgjerimin e shërbimeve komunitare të mbështetura përmes Fondit Social. Megjithatë, prania e vazhdueshme e fëmijëve me aftësi të kufizuara në hyrjet e reja në institucione tregon se sfidat në ofrimin e shërbimeve të specializuara parandaluese mbeten ende të theksuara.</w:t>
      </w:r>
    </w:p>
    <w:p w14:paraId="085A0709" w14:textId="77777777" w:rsidR="005F2AC9" w:rsidRDefault="00B56839">
      <w:pPr>
        <w:spacing w:before="240" w:after="240"/>
        <w:jc w:val="both"/>
        <w:rPr>
          <w:rFonts w:ascii="Times New Roman" w:eastAsia="Times New Roman" w:hAnsi="Times New Roman" w:cs="Times New Roman"/>
          <w:color w:val="000000" w:themeColor="text1"/>
          <w:sz w:val="24"/>
          <w:szCs w:val="24"/>
          <w:lang w:val="it-IT"/>
        </w:rPr>
      </w:pPr>
      <w:r>
        <w:rPr>
          <w:rFonts w:ascii="Times New Roman" w:eastAsia="Times New Roman" w:hAnsi="Times New Roman" w:cs="Times New Roman"/>
          <w:color w:val="000000" w:themeColor="text1"/>
          <w:sz w:val="24"/>
          <w:szCs w:val="24"/>
          <w:lang w:val="it-IT"/>
        </w:rPr>
        <w:t>Sa i përket daljeve nga institucionet, periudha 2021–2023 shënon një progres të konsiderueshëm, me kulmin në vitin 2023 ku 53 fëmijë u tranzituan drejt kujdesit familjar dhe komunitar. Në vitet 2024 dhe 2025 vihet re një rënie e numrit të fëmijëve të dalë nga institucionet (30 dhe 28 respektivisht), e cila shpjegohet kryesisht me kompleksitetin më të lartë të rasteve të mbetura, veçanërisht fëmijëve me aftësi të kufizuara dhe atyre pa mundësi të menjëhershme për reintegrim familjar. Megjithatë, fakti që në vitin 2025 asnjë fëmijë me aftësi të kufizuara nuk është tranzituar jashtë institucioneve tregon nevojën për përshpejtimin e zhvillimit të shërbimeve alternative profesionale dhe mbështetëse për këtë grup.</w:t>
      </w:r>
    </w:p>
    <w:p w14:paraId="00CCA982" w14:textId="77777777" w:rsidR="005F2AC9" w:rsidRDefault="00B56839">
      <w:pPr>
        <w:spacing w:before="240" w:after="240"/>
        <w:jc w:val="both"/>
        <w:rPr>
          <w:rFonts w:ascii="Times New Roman" w:eastAsia="Times New Roman" w:hAnsi="Times New Roman" w:cs="Times New Roman"/>
          <w:color w:val="000000" w:themeColor="text1"/>
          <w:sz w:val="24"/>
          <w:szCs w:val="24"/>
          <w:lang w:val="it-IT"/>
        </w:rPr>
      </w:pPr>
      <w:r>
        <w:rPr>
          <w:rFonts w:ascii="Times New Roman" w:eastAsia="Times New Roman" w:hAnsi="Times New Roman" w:cs="Times New Roman"/>
          <w:color w:val="000000" w:themeColor="text1"/>
          <w:sz w:val="24"/>
          <w:szCs w:val="24"/>
          <w:lang w:val="it-IT"/>
        </w:rPr>
        <w:t>Në nivel sistemik, reforma e deinstitucionalizimit ka avancuar përtej rasteve individuale, duke u shoqëruar me transformimin strukturor të vetë institucioneve rezidenciale. Moratoriumi për vendosjen e fëmijëve të moshës 0–2 vjeç në institucionet e Durrësit dhe Shkodrës mbetet në fuqi, duke përforcuar parimin se kujdesi institucional nuk është i përshtatshëm për fëmijët shumë të vegjël. Paralelisht, po avancon transformimi i institucioneve në Korçë dhe Vlorë përmes krijimit të strukturave multifunksionale të Shërbimeve të Fuqizimit të Fëmijës dhe Familjes, të cilat synojnë të zëvendësojnë modelin institucional me shërbime të integruara, parandaluese dhe komunitare.</w:t>
      </w:r>
    </w:p>
    <w:p w14:paraId="468F8D69" w14:textId="77777777" w:rsidR="005F2AC9" w:rsidRDefault="00B56839">
      <w:pPr>
        <w:spacing w:before="240" w:after="240"/>
        <w:jc w:val="both"/>
        <w:rPr>
          <w:rFonts w:ascii="Times New Roman" w:eastAsia="Times New Roman" w:hAnsi="Times New Roman" w:cs="Times New Roman"/>
          <w:color w:val="000000" w:themeColor="text1"/>
          <w:sz w:val="24"/>
          <w:szCs w:val="24"/>
          <w:lang w:val="it-IT"/>
        </w:rPr>
      </w:pPr>
      <w:r>
        <w:rPr>
          <w:rFonts w:ascii="Times New Roman" w:eastAsia="Times New Roman" w:hAnsi="Times New Roman" w:cs="Times New Roman"/>
          <w:color w:val="000000" w:themeColor="text1"/>
          <w:sz w:val="24"/>
          <w:szCs w:val="24"/>
          <w:lang w:val="it-IT"/>
        </w:rPr>
        <w:t>Një hap kyç në konsolidimin e reformës është miratimi i Planit të Transformimit për shtatë institucionet rezidenciale publike të mbetura, i miratuar nga Komiteti Drejtues i Deinstitutionalizimit dhe i transmetuar zyrtarisht Komisionit Evropian. Plani parashikon transformimin e plotë të këtyre institucioneve deri në fund të vitit 2026 dhe është i kostuar në mënyrë të plotë, me mbi 85% të financimit të siguruar nga buxheti i shtetit, duke garantuar qëndrueshmëri financiare dhe vazhdimësi shërbimesh gjatë tranzicionit.</w:t>
      </w:r>
    </w:p>
    <w:p w14:paraId="0C30BCEE" w14:textId="77777777" w:rsidR="005F2AC9" w:rsidRDefault="00B56839">
      <w:pPr>
        <w:spacing w:before="240" w:after="240"/>
        <w:jc w:val="both"/>
        <w:rPr>
          <w:rFonts w:ascii="Times New Roman" w:eastAsia="Times New Roman" w:hAnsi="Times New Roman" w:cs="Times New Roman"/>
          <w:color w:val="000000" w:themeColor="text1"/>
          <w:sz w:val="24"/>
          <w:szCs w:val="24"/>
          <w:lang w:val="it-IT"/>
        </w:rPr>
      </w:pPr>
      <w:r>
        <w:rPr>
          <w:rFonts w:ascii="Times New Roman" w:eastAsia="Times New Roman" w:hAnsi="Times New Roman" w:cs="Times New Roman"/>
          <w:color w:val="000000" w:themeColor="text1"/>
          <w:sz w:val="24"/>
          <w:szCs w:val="24"/>
          <w:lang w:val="it-IT"/>
        </w:rPr>
        <w:t>Reforma mbështetet gjithashtu nga një kornizë ligjore e përforcuar, përmes miratimit të Ligjit 92/2025 për Kujdesin Alternativ, miratuar në dhjetor 2025, i cili vendos bazat për një sistem të integruar të kujdesit familjar dhe komunitar, përfshirë futjen e kujdesit alternativ profesional si shërbim i rregulluar social. Në tërësi, zhvillimet e periudhës 2021–2025 dëshmojnë një qasje koherente dhe graduale drejt deinstitucionalizimit, duke zhvendosur fokusin nga institucionet drejt parandalimit, mbështetjes së familjes dhe shërbimeve të bazuara në komunitet, në përputhje me standardet evropiane dhe ndërkombëtare për të drejtat e fëmijës.</w:t>
      </w:r>
    </w:p>
    <w:p w14:paraId="44CCB5DA" w14:textId="77777777" w:rsidR="005F2AC9" w:rsidRDefault="00B56839">
      <w:pPr>
        <w:spacing w:beforeAutospacing="1" w:afterAutospacing="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Në kuadër të forcimit të kapaciteteve vendore, gjatë periudhës raportuese janë organizuar gjithsej 9 aktivitete trajnuese në qytetet Tiranë, Durrës, Shkodër, Vlorë dhe Korçë, ku kanë marrë pjesë 235 profesionistë nga struktura ndërsektoriale vendore, përfshirë psikologë, punonjës socialë, staf institucionesh të përkujdesit shoqëror dhe specialistë të qendrave komunitare. Trajnimet kanë mbuluar një gamë tematikash që lidhen drejtpërdrejt me zbatimin e strategjisë, duke kontribuar në rritjen e njohurive dhe aftësive praktike të pjesëmarrësve.</w:t>
      </w:r>
    </w:p>
    <w:p w14:paraId="7C69394B" w14:textId="77777777" w:rsidR="005F2AC9" w:rsidRDefault="00B56839">
      <w:pPr>
        <w:spacing w:beforeAutospacing="1" w:afterAutospacing="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Në këtë kuadër, menaxhimi i rastit në procesin e riintegrimit të fëmijës me familjen biologjike është trajtuar në gjashtë sesione të zhvilluara në Tiranë, Durrës dhe Shkodër, të cilat kanë ofruar 6–7 kredite secila. Gjithashtu, në korrik 2025 në Durrës u organizua një trajnim mbi shërbimet sociale mbështetëse për fëmijën dhe familjen, me pjesëmarrjen e 30 specialistëve dhe ofrimin e 5 krediteve. Një tjetër tematikë me rëndësi ka qenë ofrimi i shërbimeve të emergjencës për fëmijët dhe familjet në nevojë, e cila është zhvilluar në dy sesione të veçanta në Vlorë dhe Korçë, 15 pjesëmarrës, me 12 kredite për secilin aktivitet dhe me përfshirjen e stafit të institucioneve të përkujdesit për fëmijët e moshës 0–5 vjeç.</w:t>
      </w:r>
    </w:p>
    <w:p w14:paraId="6BC7EEED" w14:textId="77777777" w:rsidR="005F2AC9" w:rsidRDefault="00B56839">
      <w:pPr>
        <w:spacing w:beforeAutospacing="1" w:afterAutospacing="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Procesi i deinstitucionalizimit të fëmijëve nga kujdesi rezidencial institucional është trajtuar përmes një trajnimi të posaçëm të zhvilluar në Shkodër në tetor 2024, i cili ka pasur në fokus kuadrin ligjor, bashkëpunimin ndërinstitucional dhe praktikat më të mira, duke ofruar 9 kredite për 15 pjesëmarrësit.</w:t>
      </w:r>
    </w:p>
    <w:p w14:paraId="77B05F61" w14:textId="77777777" w:rsidR="005F2AC9" w:rsidRDefault="00B56839">
      <w:pPr>
        <w:pStyle w:val="NormalWeb"/>
        <w:spacing w:before="280" w:after="280" w:line="276" w:lineRule="auto"/>
        <w:rPr>
          <w:color w:val="000000" w:themeColor="text1"/>
          <w:u w:val="single"/>
          <w:lang w:val="sq-AL"/>
        </w:rPr>
      </w:pPr>
      <w:bookmarkStart w:id="45" w:name="_Toc150809636"/>
      <w:r>
        <w:rPr>
          <w:color w:val="000000" w:themeColor="text1"/>
          <w:u w:val="single"/>
          <w:lang w:val="sq-AL"/>
        </w:rPr>
        <w:t>B.3.2  Zgjerimi i rrjetit të shërbimeve të përkujdesit shoqëror për persona me aftësi të kufizuara që jetojnë në institucione rezidenciale, ose në rrezik institucionalizimi;</w:t>
      </w:r>
      <w:bookmarkEnd w:id="45"/>
    </w:p>
    <w:p w14:paraId="4447F643" w14:textId="77777777" w:rsidR="005F2AC9" w:rsidRDefault="00B56839">
      <w:pPr>
        <w:pStyle w:val="NormalWeb"/>
        <w:spacing w:before="280" w:after="280"/>
        <w:rPr>
          <w:color w:val="000000" w:themeColor="text1"/>
          <w:lang w:val="pt-BR"/>
        </w:rPr>
      </w:pPr>
      <w:r>
        <w:rPr>
          <w:b/>
          <w:bCs/>
          <w:color w:val="000000" w:themeColor="text1"/>
          <w:lang w:val="sq-AL"/>
        </w:rPr>
        <w:t>Aktivitetet prioritare për periudhën e raportimit</w:t>
      </w:r>
      <w:r>
        <w:rPr>
          <w:color w:val="000000" w:themeColor="text1"/>
          <w:lang w:val="sq-AL"/>
        </w:rPr>
        <w:t>:</w:t>
      </w:r>
    </w:p>
    <w:p w14:paraId="17BF4315" w14:textId="77777777" w:rsidR="005F2AC9" w:rsidRDefault="00B56839">
      <w:pPr>
        <w:pStyle w:val="ListParagraph"/>
        <w:numPr>
          <w:ilvl w:val="0"/>
          <w:numId w:val="13"/>
        </w:numPr>
        <w:spacing w:before="60" w:after="60"/>
        <w:jc w:val="both"/>
        <w:rPr>
          <w:rFonts w:ascii="Times New Roman" w:eastAsia="Calibri" w:hAnsi="Times New Roman" w:cs="Times New Roman"/>
          <w:color w:val="000000" w:themeColor="text1"/>
          <w:sz w:val="24"/>
          <w:lang w:val="sq-AL"/>
        </w:rPr>
      </w:pPr>
      <w:r>
        <w:rPr>
          <w:rFonts w:ascii="Times New Roman" w:eastAsia="Calibri" w:hAnsi="Times New Roman" w:cs="Times New Roman"/>
          <w:color w:val="000000" w:themeColor="text1"/>
          <w:sz w:val="24"/>
          <w:lang w:val="sq-AL"/>
        </w:rPr>
        <w:t>Vlerësim i situatës së fëmijëve dhe të rriturve me aftësi të kufizuara për shërbime alternative, përfshirë skenarët e mundshëm, planet individuale dhe kostimin;</w:t>
      </w:r>
    </w:p>
    <w:p w14:paraId="1F7D2ED5" w14:textId="77777777" w:rsidR="005F2AC9" w:rsidRDefault="00B56839">
      <w:pPr>
        <w:pStyle w:val="ListParagraph"/>
        <w:numPr>
          <w:ilvl w:val="0"/>
          <w:numId w:val="13"/>
        </w:numPr>
        <w:spacing w:before="60" w:after="60"/>
        <w:jc w:val="both"/>
        <w:rPr>
          <w:rFonts w:ascii="Times New Roman" w:eastAsia="Calibri" w:hAnsi="Times New Roman" w:cs="Times New Roman"/>
          <w:color w:val="000000" w:themeColor="text1"/>
          <w:sz w:val="24"/>
          <w:lang w:val="sq-AL"/>
        </w:rPr>
      </w:pPr>
      <w:r>
        <w:rPr>
          <w:rFonts w:ascii="Times New Roman" w:eastAsia="Calibri" w:hAnsi="Times New Roman" w:cs="Times New Roman"/>
          <w:color w:val="000000" w:themeColor="text1"/>
          <w:sz w:val="24"/>
          <w:lang w:val="sq-AL"/>
        </w:rPr>
        <w:t>Ngritja e një mekanizmi koordinues ndër-institucional për monitorimin e proçesit: Komiteti Drejtues – nivel qëndror e vendor / Grupi teknik – Skuadrat Vendore të Koordinimit;</w:t>
      </w:r>
    </w:p>
    <w:p w14:paraId="207A6FAE" w14:textId="77777777" w:rsidR="005F2AC9" w:rsidRDefault="00B56839">
      <w:pPr>
        <w:pStyle w:val="ListParagraph"/>
        <w:numPr>
          <w:ilvl w:val="0"/>
          <w:numId w:val="13"/>
        </w:numPr>
        <w:spacing w:before="60" w:after="60"/>
        <w:jc w:val="both"/>
        <w:rPr>
          <w:rFonts w:ascii="Times New Roman" w:eastAsia="Calibri" w:hAnsi="Times New Roman" w:cs="Times New Roman"/>
          <w:color w:val="000000" w:themeColor="text1"/>
          <w:sz w:val="24"/>
          <w:lang w:val="sq-AL"/>
        </w:rPr>
      </w:pPr>
      <w:r>
        <w:rPr>
          <w:rFonts w:ascii="Times New Roman" w:eastAsia="Calibri" w:hAnsi="Times New Roman" w:cs="Times New Roman"/>
          <w:color w:val="000000" w:themeColor="text1"/>
          <w:sz w:val="24"/>
          <w:lang w:val="sq-AL"/>
        </w:rPr>
        <w:t xml:space="preserve">Mbështetja e ngritjes së modelit të kujdestarisë së përkohshme dhe shërbimit për jetesë gjysmë të pavarur dhe të pavarur (për fëmijët PAK mbi 14 vjeç);  </w:t>
      </w:r>
    </w:p>
    <w:p w14:paraId="141B38EF" w14:textId="77777777" w:rsidR="005F2AC9" w:rsidRDefault="00B56839">
      <w:pPr>
        <w:pStyle w:val="ListParagraph"/>
        <w:numPr>
          <w:ilvl w:val="0"/>
          <w:numId w:val="13"/>
        </w:numPr>
        <w:spacing w:before="60" w:after="60"/>
        <w:jc w:val="both"/>
        <w:rPr>
          <w:rFonts w:ascii="Times New Roman" w:eastAsia="Calibri" w:hAnsi="Times New Roman" w:cs="Times New Roman"/>
          <w:color w:val="000000" w:themeColor="text1"/>
          <w:sz w:val="24"/>
          <w:lang w:val="sq-AL"/>
        </w:rPr>
      </w:pPr>
      <w:r>
        <w:rPr>
          <w:rFonts w:ascii="Times New Roman" w:eastAsia="Calibri" w:hAnsi="Times New Roman" w:cs="Times New Roman"/>
          <w:color w:val="000000" w:themeColor="text1"/>
          <w:sz w:val="24"/>
          <w:lang w:val="sq-AL"/>
        </w:rPr>
        <w:t>Mbështetja dhe zgjerimi i shërbimeve lëvizëse të specializuara në zonat e largëta e pa shërbime me ndihmës profesionalë;</w:t>
      </w:r>
    </w:p>
    <w:p w14:paraId="7363F0AD" w14:textId="77777777" w:rsidR="005F2AC9" w:rsidRDefault="00B56839">
      <w:pPr>
        <w:pStyle w:val="ListParagraph"/>
        <w:numPr>
          <w:ilvl w:val="0"/>
          <w:numId w:val="13"/>
        </w:numPr>
        <w:spacing w:before="60" w:after="60"/>
        <w:jc w:val="both"/>
        <w:rPr>
          <w:rFonts w:ascii="Times New Roman" w:eastAsia="Calibri" w:hAnsi="Times New Roman" w:cs="Times New Roman"/>
          <w:color w:val="000000" w:themeColor="text1"/>
          <w:sz w:val="24"/>
          <w:lang w:val="sq-AL"/>
        </w:rPr>
      </w:pPr>
      <w:r>
        <w:rPr>
          <w:rFonts w:ascii="Times New Roman" w:eastAsia="Calibri" w:hAnsi="Times New Roman" w:cs="Times New Roman"/>
          <w:color w:val="000000" w:themeColor="text1"/>
          <w:sz w:val="24"/>
          <w:lang w:val="sq-AL"/>
        </w:rPr>
        <w:t xml:space="preserve">Ofrimi i kujdesit/shërbimeve për prindërit dhe familjen e personave me aftësi të kufizuara në komunitetet ku ata jetojnë; </w:t>
      </w:r>
    </w:p>
    <w:p w14:paraId="5C152477" w14:textId="77777777" w:rsidR="005F2AC9" w:rsidRDefault="00B56839">
      <w:pPr>
        <w:pStyle w:val="ListParagraph"/>
        <w:numPr>
          <w:ilvl w:val="0"/>
          <w:numId w:val="13"/>
        </w:numPr>
        <w:spacing w:before="60" w:after="60"/>
        <w:jc w:val="both"/>
        <w:rPr>
          <w:rFonts w:ascii="Times New Roman" w:eastAsia="Calibri" w:hAnsi="Times New Roman" w:cs="Times New Roman"/>
          <w:color w:val="000000" w:themeColor="text1"/>
          <w:sz w:val="24"/>
          <w:lang w:val="sq-AL"/>
        </w:rPr>
      </w:pPr>
      <w:r>
        <w:rPr>
          <w:rFonts w:ascii="Times New Roman" w:eastAsia="Calibri" w:hAnsi="Times New Roman" w:cs="Times New Roman"/>
          <w:color w:val="000000" w:themeColor="text1"/>
          <w:sz w:val="24"/>
          <w:lang w:val="sq-AL"/>
        </w:rPr>
        <w:t>Mbështetja për ngritjen e shërbimeve shtëpi familje në komunitet për të rriturit e vetmuar me aftësi të kufizuara;</w:t>
      </w:r>
    </w:p>
    <w:p w14:paraId="3224E0BE" w14:textId="77777777" w:rsidR="005F2AC9" w:rsidRDefault="00B56839">
      <w:pPr>
        <w:pStyle w:val="ListParagraph"/>
        <w:numPr>
          <w:ilvl w:val="0"/>
          <w:numId w:val="13"/>
        </w:numPr>
        <w:spacing w:before="60" w:after="60"/>
        <w:jc w:val="both"/>
        <w:rPr>
          <w:rFonts w:ascii="Times New Roman" w:eastAsia="Calibri" w:hAnsi="Times New Roman" w:cs="Times New Roman"/>
          <w:color w:val="000000" w:themeColor="text1"/>
          <w:sz w:val="24"/>
          <w:lang w:val="sq-AL"/>
        </w:rPr>
      </w:pPr>
      <w:r>
        <w:rPr>
          <w:rFonts w:ascii="Times New Roman" w:eastAsia="Calibri" w:hAnsi="Times New Roman" w:cs="Times New Roman"/>
          <w:color w:val="000000" w:themeColor="text1"/>
          <w:sz w:val="24"/>
          <w:lang w:val="sq-AL"/>
        </w:rPr>
        <w:t xml:space="preserve">Rishikimi i kuadrit ligjor të shërbimeve shoqërore/ kujdestarisë lidhur me fëmijët dhe personat e rritur me aftësi të kufizuara;  </w:t>
      </w:r>
    </w:p>
    <w:p w14:paraId="4BCEA7FF" w14:textId="77777777" w:rsidR="005F2AC9" w:rsidRDefault="00B56839">
      <w:pPr>
        <w:pStyle w:val="ListParagraph"/>
        <w:numPr>
          <w:ilvl w:val="0"/>
          <w:numId w:val="13"/>
        </w:numPr>
        <w:spacing w:before="60" w:after="60"/>
        <w:jc w:val="both"/>
        <w:rPr>
          <w:rFonts w:ascii="Times New Roman" w:eastAsia="Calibri" w:hAnsi="Times New Roman" w:cs="Times New Roman"/>
          <w:color w:val="000000" w:themeColor="text1"/>
          <w:sz w:val="24"/>
          <w:lang w:val="sq-AL"/>
        </w:rPr>
      </w:pPr>
      <w:r>
        <w:rPr>
          <w:rFonts w:ascii="Times New Roman" w:eastAsia="Calibri" w:hAnsi="Times New Roman" w:cs="Times New Roman"/>
          <w:color w:val="000000" w:themeColor="text1"/>
          <w:sz w:val="24"/>
          <w:lang w:val="sq-AL"/>
        </w:rPr>
        <w:t xml:space="preserve">Trajnimi i personelit për shërbimet alternative si dhe për parandalimin e institucionalizimit; </w:t>
      </w:r>
    </w:p>
    <w:p w14:paraId="520FCCB5" w14:textId="77777777" w:rsidR="005F2AC9" w:rsidRDefault="00B56839">
      <w:pPr>
        <w:pStyle w:val="ListParagraph"/>
        <w:numPr>
          <w:ilvl w:val="0"/>
          <w:numId w:val="13"/>
        </w:numPr>
        <w:spacing w:before="60" w:after="60"/>
        <w:jc w:val="both"/>
        <w:rPr>
          <w:rFonts w:ascii="Times New Roman" w:eastAsia="Calibri" w:hAnsi="Times New Roman" w:cs="Times New Roman"/>
          <w:color w:val="000000" w:themeColor="text1"/>
          <w:sz w:val="24"/>
          <w:lang w:val="sq-AL"/>
        </w:rPr>
      </w:pPr>
      <w:r>
        <w:rPr>
          <w:rFonts w:ascii="Times New Roman" w:eastAsia="Calibri" w:hAnsi="Times New Roman" w:cs="Times New Roman"/>
          <w:color w:val="000000" w:themeColor="text1"/>
          <w:sz w:val="24"/>
          <w:lang w:val="sq-AL"/>
        </w:rPr>
        <w:t xml:space="preserve">Hartimi i një strategjie komunikimi; Organizimi i fushatave ndërgjegjësuese; Nisma për ndryshimin e normave sociale dhe të sjelljes që mbështet fushatën e komunikimit për personat me AK (fëmijë dhe të rritur); </w:t>
      </w:r>
    </w:p>
    <w:p w14:paraId="432D2B3F" w14:textId="178C3825" w:rsidR="005F2AC9" w:rsidRDefault="00B56839">
      <w:pPr>
        <w:pStyle w:val="ListParagraph"/>
        <w:numPr>
          <w:ilvl w:val="0"/>
          <w:numId w:val="13"/>
        </w:numPr>
        <w:spacing w:before="60" w:after="60"/>
        <w:jc w:val="both"/>
        <w:rPr>
          <w:rFonts w:ascii="Times New Roman" w:eastAsia="Calibri" w:hAnsi="Times New Roman" w:cs="Times New Roman"/>
          <w:color w:val="000000" w:themeColor="text1"/>
          <w:sz w:val="24"/>
          <w:lang w:val="sq-AL"/>
        </w:rPr>
      </w:pPr>
      <w:r>
        <w:rPr>
          <w:rFonts w:ascii="Times New Roman" w:eastAsia="Calibri" w:hAnsi="Times New Roman" w:cs="Times New Roman"/>
          <w:color w:val="000000" w:themeColor="text1"/>
          <w:sz w:val="24"/>
          <w:lang w:val="sq-AL"/>
        </w:rPr>
        <w:t>Monitorimi i proçesit të deinstitucionalizmit; Ndërtimi i bazës së të dhënave d</w:t>
      </w:r>
      <w:r w:rsidR="004860B6">
        <w:rPr>
          <w:rFonts w:ascii="Times New Roman" w:eastAsia="Calibri" w:hAnsi="Times New Roman" w:cs="Times New Roman"/>
          <w:color w:val="000000" w:themeColor="text1"/>
          <w:sz w:val="24"/>
          <w:lang w:val="sq-AL"/>
        </w:rPr>
        <w:t xml:space="preserve">he treguesve, si dhe qartësimi </w:t>
      </w:r>
      <w:r>
        <w:rPr>
          <w:rFonts w:ascii="Times New Roman" w:eastAsia="Calibri" w:hAnsi="Times New Roman" w:cs="Times New Roman"/>
          <w:color w:val="000000" w:themeColor="text1"/>
          <w:sz w:val="24"/>
          <w:lang w:val="sq-AL"/>
        </w:rPr>
        <w:t>i përgjegjësive për mbledhjen dhe përditësimin e të dhënave për kujdestarinë alternative, përfshirë të dhënat cilësore (fëmijë dhe të rritur);</w:t>
      </w:r>
    </w:p>
    <w:p w14:paraId="36E0F484" w14:textId="77777777" w:rsidR="005F2AC9" w:rsidRDefault="00B56839">
      <w:pPr>
        <w:pStyle w:val="ListParagraph"/>
        <w:numPr>
          <w:ilvl w:val="0"/>
          <w:numId w:val="13"/>
        </w:numPr>
        <w:spacing w:before="60" w:after="60"/>
        <w:jc w:val="both"/>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color w:val="000000" w:themeColor="text1"/>
          <w:sz w:val="24"/>
          <w:szCs w:val="24"/>
          <w:lang w:val="sq-AL"/>
        </w:rPr>
        <w:t>Kryerja e vlerësimeve periodike të plota të nevojave, aftësive dhe preferencave të të rriturve, duke përfshirë kujdestarët/familjarët, profesionistët dhe vetë përfituesit në proçes.</w:t>
      </w:r>
    </w:p>
    <w:p w14:paraId="5EE589CC" w14:textId="77777777" w:rsidR="000346C2" w:rsidRDefault="000346C2">
      <w:pPr>
        <w:spacing w:after="0"/>
        <w:jc w:val="both"/>
        <w:rPr>
          <w:rFonts w:ascii="Times New Roman" w:eastAsia="Times New Roman" w:hAnsi="Times New Roman" w:cs="Times New Roman"/>
          <w:b/>
          <w:bCs/>
          <w:color w:val="000000" w:themeColor="text1"/>
          <w:sz w:val="24"/>
          <w:szCs w:val="24"/>
          <w:lang w:val="it-IT"/>
        </w:rPr>
      </w:pPr>
    </w:p>
    <w:p w14:paraId="045BF22C" w14:textId="77777777" w:rsidR="005F2AC9" w:rsidRDefault="00B56839">
      <w:pPr>
        <w:spacing w:after="0"/>
        <w:jc w:val="both"/>
        <w:rPr>
          <w:rFonts w:ascii="Times New Roman" w:eastAsia="Times New Roman" w:hAnsi="Times New Roman" w:cs="Times New Roman"/>
          <w:b/>
          <w:bCs/>
          <w:color w:val="000000" w:themeColor="text1"/>
          <w:sz w:val="24"/>
          <w:szCs w:val="24"/>
          <w:lang w:val="pt-BR"/>
        </w:rPr>
      </w:pPr>
      <w:r>
        <w:rPr>
          <w:rFonts w:ascii="Times New Roman" w:eastAsia="Times New Roman" w:hAnsi="Times New Roman" w:cs="Times New Roman"/>
          <w:b/>
          <w:bCs/>
          <w:color w:val="000000" w:themeColor="text1"/>
          <w:sz w:val="24"/>
          <w:szCs w:val="24"/>
          <w:lang w:val="it-IT"/>
        </w:rPr>
        <w:t>Tabela:</w:t>
      </w:r>
      <w:r>
        <w:rPr>
          <w:rFonts w:eastAsia="Garamond" w:cs="Garamond"/>
          <w:b/>
          <w:bCs/>
          <w:color w:val="000000" w:themeColor="text1"/>
          <w:lang w:val="it-IT"/>
        </w:rPr>
        <w:t xml:space="preserve"> </w:t>
      </w:r>
      <w:r>
        <w:rPr>
          <w:rFonts w:ascii="Times New Roman" w:eastAsia="Times New Roman" w:hAnsi="Times New Roman" w:cs="Times New Roman"/>
          <w:b/>
          <w:bCs/>
          <w:color w:val="000000" w:themeColor="text1"/>
          <w:sz w:val="24"/>
          <w:szCs w:val="24"/>
          <w:lang w:val="pt-BR"/>
        </w:rPr>
        <w:t>Indikatorët e Pasaportës për Objektivin specifik B.3.2</w:t>
      </w:r>
    </w:p>
    <w:p w14:paraId="56663981" w14:textId="77777777" w:rsidR="005F2AC9" w:rsidRDefault="005F2AC9">
      <w:pPr>
        <w:spacing w:after="0"/>
        <w:jc w:val="both"/>
        <w:rPr>
          <w:rFonts w:ascii="Times New Roman" w:eastAsia="Times New Roman" w:hAnsi="Times New Roman" w:cs="Times New Roman"/>
          <w:b/>
          <w:bCs/>
          <w:color w:val="000000" w:themeColor="text1"/>
          <w:sz w:val="24"/>
          <w:szCs w:val="24"/>
          <w:lang w:val="it-IT"/>
        </w:rPr>
      </w:pPr>
    </w:p>
    <w:tbl>
      <w:tblPr>
        <w:tblStyle w:val="TableGrid"/>
        <w:tblW w:w="9250" w:type="dxa"/>
        <w:tblLayout w:type="fixed"/>
        <w:tblLook w:val="04A0" w:firstRow="1" w:lastRow="0" w:firstColumn="1" w:lastColumn="0" w:noHBand="0" w:noVBand="1"/>
      </w:tblPr>
      <w:tblGrid>
        <w:gridCol w:w="2158"/>
        <w:gridCol w:w="2337"/>
        <w:gridCol w:w="1252"/>
        <w:gridCol w:w="1041"/>
        <w:gridCol w:w="1046"/>
        <w:gridCol w:w="1416"/>
      </w:tblGrid>
      <w:tr w:rsidR="005F2AC9" w14:paraId="4600BC3F" w14:textId="77777777">
        <w:trPr>
          <w:trHeight w:val="300"/>
        </w:trPr>
        <w:tc>
          <w:tcPr>
            <w:tcW w:w="2157" w:type="dxa"/>
            <w:tcBorders>
              <w:top w:val="single" w:sz="8" w:space="0" w:color="000000"/>
              <w:left w:val="single" w:sz="8" w:space="0" w:color="000000"/>
              <w:bottom w:val="single" w:sz="8" w:space="0" w:color="000000"/>
              <w:right w:val="single" w:sz="8" w:space="0" w:color="000000"/>
            </w:tcBorders>
          </w:tcPr>
          <w:p w14:paraId="1570FA9F" w14:textId="4D1C8E8B" w:rsidR="005F2AC9" w:rsidRDefault="00B56839" w:rsidP="000346C2">
            <w:pPr>
              <w:spacing w:before="0" w:after="60" w:line="240" w:lineRule="auto"/>
              <w:ind w:left="360" w:hanging="360"/>
              <w:jc w:val="both"/>
              <w:rPr>
                <w:color w:val="000000" w:themeColor="text1"/>
              </w:rPr>
            </w:pPr>
            <w:r>
              <w:rPr>
                <w:rFonts w:ascii="Times New Roman" w:eastAsia="Times New Roman" w:hAnsi="Times New Roman" w:cs="Times New Roman"/>
                <w:color w:val="000000" w:themeColor="text1"/>
                <w:lang w:val="it-IT"/>
              </w:rPr>
              <w:t>B.3.2</w:t>
            </w:r>
            <w:r w:rsidRPr="000346C2">
              <w:rPr>
                <w:rFonts w:ascii="Times New Roman" w:eastAsia="Times New Roman" w:hAnsi="Times New Roman" w:cs="Times New Roman"/>
                <w:color w:val="000000" w:themeColor="text1"/>
                <w:sz w:val="18"/>
                <w:szCs w:val="18"/>
                <w:lang w:val="it-IT"/>
              </w:rPr>
              <w:t xml:space="preserve"> </w:t>
            </w:r>
            <w:r w:rsidRPr="000346C2">
              <w:rPr>
                <w:rFonts w:ascii="Times New Roman" w:eastAsia="Times New Roman" w:hAnsi="Times New Roman" w:cs="Times New Roman"/>
                <w:color w:val="000000" w:themeColor="text1"/>
                <w:lang w:val="it-IT"/>
              </w:rPr>
              <w:t>Zgjerimi i rrjetit të shërbimeve të përkujdesit shoqëror për persona me aftësi të kufizuara që jetojnë në institucione rezidenciale, ose në rrezik institucionalizimi</w:t>
            </w:r>
          </w:p>
        </w:tc>
        <w:tc>
          <w:tcPr>
            <w:tcW w:w="2337" w:type="dxa"/>
            <w:tcBorders>
              <w:top w:val="single" w:sz="8" w:space="0" w:color="000000"/>
              <w:left w:val="single" w:sz="8" w:space="0" w:color="000000"/>
              <w:bottom w:val="single" w:sz="8" w:space="0" w:color="000000"/>
              <w:right w:val="single" w:sz="8" w:space="0" w:color="000000"/>
            </w:tcBorders>
          </w:tcPr>
          <w:p w14:paraId="2A4B61DB" w14:textId="77777777" w:rsidR="005F2AC9" w:rsidRDefault="00B56839">
            <w:pPr>
              <w:spacing w:before="0" w:after="0" w:line="240" w:lineRule="auto"/>
              <w:rPr>
                <w:rFonts w:ascii="Times New Roman" w:eastAsia="Times New Roman" w:hAnsi="Times New Roman" w:cs="Times New Roman"/>
                <w:color w:val="000000" w:themeColor="text1"/>
                <w:lang w:val="it-IT"/>
              </w:rPr>
            </w:pPr>
            <w:r>
              <w:rPr>
                <w:rFonts w:ascii="Times New Roman" w:eastAsia="Times New Roman" w:hAnsi="Times New Roman" w:cs="Times New Roman"/>
                <w:color w:val="000000" w:themeColor="text1"/>
                <w:lang w:val="it-IT"/>
              </w:rPr>
              <w:t xml:space="preserve">Numri i fëmijëve me Aftësi të kufizuara  që duhet të përfitojnë nga planet e deinstitucionalizimit </w:t>
            </w:r>
          </w:p>
          <w:p w14:paraId="28F5DBF6"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6BECA91B" w14:textId="07F86E1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Numri i shërbimeve të specializuara për fëmijë me Aftësi të Kufizuara  (0- 18 vjec) </w:t>
            </w:r>
          </w:p>
          <w:p w14:paraId="71207401"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tc>
        <w:tc>
          <w:tcPr>
            <w:tcW w:w="1252" w:type="dxa"/>
            <w:tcBorders>
              <w:top w:val="single" w:sz="8" w:space="0" w:color="000000"/>
              <w:left w:val="single" w:sz="8" w:space="0" w:color="000000"/>
              <w:bottom w:val="single" w:sz="8" w:space="0" w:color="000000"/>
              <w:right w:val="single" w:sz="8" w:space="0" w:color="000000"/>
            </w:tcBorders>
          </w:tcPr>
          <w:p w14:paraId="050F4CAB"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2 (viti 2023)</w:t>
            </w:r>
          </w:p>
          <w:p w14:paraId="36FCEACD"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1FC89A88"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6DDD27FF"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5854649C"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38A4A1FE"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1EE767A4"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4E420C08" w14:textId="325C8E78"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62 (viti 2022)</w:t>
            </w:r>
          </w:p>
          <w:p w14:paraId="56D46B11"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tc>
        <w:tc>
          <w:tcPr>
            <w:tcW w:w="1041" w:type="dxa"/>
            <w:tcBorders>
              <w:top w:val="single" w:sz="8" w:space="0" w:color="000000"/>
              <w:left w:val="single" w:sz="8" w:space="0" w:color="000000"/>
              <w:bottom w:val="single" w:sz="8" w:space="0" w:color="000000"/>
              <w:right w:val="single" w:sz="8" w:space="0" w:color="000000"/>
            </w:tcBorders>
          </w:tcPr>
          <w:p w14:paraId="2E1C550D" w14:textId="7C2657C5" w:rsidR="005F2AC9" w:rsidRDefault="0042453A">
            <w:pPr>
              <w:spacing w:before="0" w:after="0" w:line="240" w:lineRule="auto"/>
              <w:rPr>
                <w:rFonts w:ascii="Times New Roman" w:eastAsia="Times New Roman" w:hAnsi="Times New Roman" w:cs="Times New Roman"/>
                <w:color w:val="000000" w:themeColor="text1"/>
                <w:lang w:val="it-IT"/>
              </w:rPr>
            </w:pPr>
            <w:r>
              <w:rPr>
                <w:rFonts w:ascii="Times New Roman" w:eastAsia="Times New Roman" w:hAnsi="Times New Roman" w:cs="Times New Roman"/>
                <w:color w:val="000000" w:themeColor="text1"/>
                <w:lang w:val="it-IT"/>
              </w:rPr>
              <w:t>39</w:t>
            </w:r>
          </w:p>
          <w:p w14:paraId="0FF7A074"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29D3359E"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26BCC012"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32214BEE"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426AB7B0"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1315A6B1"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40A8A047"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69</w:t>
            </w:r>
          </w:p>
          <w:p w14:paraId="2019A4AD"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370ACCCB" w14:textId="426DCFA7" w:rsidR="005F2AC9" w:rsidRDefault="005F2AC9">
            <w:pPr>
              <w:spacing w:before="0" w:after="0" w:line="240" w:lineRule="auto"/>
              <w:rPr>
                <w:color w:val="000000" w:themeColor="text1"/>
              </w:rPr>
            </w:pPr>
          </w:p>
          <w:p w14:paraId="345F52D3"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tc>
        <w:tc>
          <w:tcPr>
            <w:tcW w:w="1046" w:type="dxa"/>
            <w:tcBorders>
              <w:top w:val="single" w:sz="8" w:space="0" w:color="000000"/>
              <w:left w:val="single" w:sz="8" w:space="0" w:color="000000"/>
              <w:bottom w:val="single" w:sz="8" w:space="0" w:color="000000"/>
              <w:right w:val="single" w:sz="8" w:space="0" w:color="000000"/>
            </w:tcBorders>
          </w:tcPr>
          <w:p w14:paraId="47F942A4"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N/a</w:t>
            </w:r>
          </w:p>
          <w:p w14:paraId="407E6D30"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4D2F9B96"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36709878"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1895F84E"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4C639177" w14:textId="77777777" w:rsidR="005F2AC9" w:rsidRDefault="005F2AC9">
            <w:pPr>
              <w:spacing w:before="0" w:after="0" w:line="240" w:lineRule="auto"/>
              <w:rPr>
                <w:rFonts w:ascii="Times New Roman" w:eastAsia="Times New Roman" w:hAnsi="Times New Roman" w:cs="Times New Roman"/>
                <w:color w:val="000000" w:themeColor="text1"/>
                <w:lang w:val="it-IT"/>
              </w:rPr>
            </w:pPr>
          </w:p>
          <w:p w14:paraId="22D066DC"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3006DD97"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86</w:t>
            </w:r>
          </w:p>
        </w:tc>
        <w:tc>
          <w:tcPr>
            <w:tcW w:w="1416" w:type="dxa"/>
            <w:tcBorders>
              <w:top w:val="single" w:sz="8" w:space="0" w:color="000000"/>
              <w:left w:val="single" w:sz="8" w:space="0" w:color="000000"/>
              <w:bottom w:val="single" w:sz="8" w:space="0" w:color="000000"/>
              <w:right w:val="single" w:sz="8" w:space="0" w:color="000000"/>
            </w:tcBorders>
          </w:tcPr>
          <w:p w14:paraId="126FB144"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CH"/>
              </w:rPr>
              <w:t>SHSSH/ të dhëna administrative/ raporti i monitorimit të strategjisë së MS</w:t>
            </w:r>
          </w:p>
          <w:p w14:paraId="7BA00C31" w14:textId="434CB611" w:rsidR="005F2AC9" w:rsidRDefault="005F2AC9">
            <w:pPr>
              <w:spacing w:before="0" w:after="0" w:line="240" w:lineRule="auto"/>
              <w:rPr>
                <w:color w:val="000000" w:themeColor="text1"/>
              </w:rPr>
            </w:pPr>
          </w:p>
        </w:tc>
      </w:tr>
    </w:tbl>
    <w:p w14:paraId="25428DE3" w14:textId="77777777" w:rsidR="005F2AC9" w:rsidRDefault="00B56839">
      <w:pPr>
        <w:spacing w:after="0"/>
        <w:jc w:val="both"/>
        <w:rPr>
          <w:rFonts w:ascii="Times New Roman" w:eastAsia="Times New Roman" w:hAnsi="Times New Roman" w:cs="Times New Roman"/>
          <w:b/>
          <w:bCs/>
          <w:color w:val="000000" w:themeColor="text1"/>
          <w:sz w:val="24"/>
          <w:szCs w:val="24"/>
          <w:lang w:val="it-IT"/>
        </w:rPr>
      </w:pPr>
      <w:r>
        <w:rPr>
          <w:rFonts w:ascii="Times New Roman" w:eastAsia="Times New Roman" w:hAnsi="Times New Roman" w:cs="Times New Roman"/>
          <w:b/>
          <w:bCs/>
          <w:color w:val="000000" w:themeColor="text1"/>
          <w:sz w:val="24"/>
          <w:szCs w:val="24"/>
          <w:lang w:val="it-IT"/>
        </w:rPr>
        <w:t>Përshkrimi i objektivit dhe rezultatet e monitorimit</w:t>
      </w:r>
    </w:p>
    <w:p w14:paraId="0549FE82" w14:textId="1D46A20E" w:rsidR="005F2AC9" w:rsidRDefault="00B56839">
      <w:pPr>
        <w:pStyle w:val="NormalWeb"/>
        <w:spacing w:before="280" w:after="280" w:line="276" w:lineRule="auto"/>
        <w:jc w:val="both"/>
        <w:rPr>
          <w:rFonts w:eastAsia="Times New Roman" w:cs="Times New Roman"/>
          <w:color w:val="000000" w:themeColor="text1"/>
          <w:lang w:val="it-IT"/>
        </w:rPr>
      </w:pPr>
      <w:r>
        <w:rPr>
          <w:rFonts w:eastAsia="Times New Roman" w:cs="Times New Roman"/>
          <w:color w:val="000000" w:themeColor="text1"/>
          <w:lang w:val="it-IT"/>
        </w:rPr>
        <w:t xml:space="preserve">Objektivi ka për qëllim zgjerimin dhe diversifikimin e rrjetit të shërbimeve të përkujdesit shoqëror për personat me aftësi të kufizuara, duke u fokusuar veçanërisht tek ata që aktualisht jetojnë në institucione rezidenciale ose janë në rrezik të institucionalizimit. Qasja e Ministrisë së Shëndetësisë dhe </w:t>
      </w:r>
      <w:r w:rsidR="00BA4B59" w:rsidRPr="00BA4B59">
        <w:rPr>
          <w:rFonts w:eastAsia="Times New Roman" w:cs="Times New Roman"/>
          <w:color w:val="000000" w:themeColor="text1"/>
          <w:lang w:val="it-IT"/>
        </w:rPr>
        <w:t>Mirëqenies</w:t>
      </w:r>
      <w:r>
        <w:rPr>
          <w:rFonts w:eastAsia="Times New Roman" w:cs="Times New Roman"/>
          <w:color w:val="000000" w:themeColor="text1"/>
          <w:lang w:val="it-IT"/>
        </w:rPr>
        <w:t xml:space="preserve"> Sociale synon të promovojë modele të kujdesit që mbështesin jetesën e pavarur, përfshirjen sociale dhe respektimin e të drejtave të njeriut, në përputhje me parimet e Konventës për të Drejtat e Personave me Aftësi të Kufizuara.</w:t>
      </w:r>
    </w:p>
    <w:p w14:paraId="02B567D2" w14:textId="77777777" w:rsidR="005F2AC9" w:rsidRDefault="00B56839">
      <w:pPr>
        <w:pStyle w:val="NormalWeb"/>
        <w:spacing w:before="280" w:after="280" w:line="276" w:lineRule="auto"/>
        <w:jc w:val="both"/>
        <w:rPr>
          <w:rFonts w:eastAsia="Times New Roman" w:cs="Times New Roman"/>
          <w:color w:val="000000" w:themeColor="text1"/>
          <w:lang w:val="it-IT"/>
        </w:rPr>
      </w:pPr>
      <w:r>
        <w:rPr>
          <w:rFonts w:eastAsia="Times New Roman" w:cs="Times New Roman"/>
          <w:color w:val="000000" w:themeColor="text1"/>
          <w:lang w:val="it-IT"/>
        </w:rPr>
        <w:t>Zgjerimi i shërbimeve përfshin krijimin dhe fuqizimin e qendrave ditore, shërbimeve në familje, programeve të asistencës personale, strehimit të mbështetur dhe mekanizmave të mbështetjes për kujdestarët familjarë. Këto shërbime synojnë të ofrojnë mbështetje të personalizuar, të koordinuar dhe të qëndrueshme, duke reduktuar varësinë nga kujdesi institucional dhe duke ndihmuar individët të jetojnë në mënyrë të pavarur dhe dinjitoze brenda komunitetit të tyre.</w:t>
      </w:r>
    </w:p>
    <w:p w14:paraId="045C854F" w14:textId="77777777" w:rsidR="005F2AC9" w:rsidRDefault="00B56839">
      <w:pPr>
        <w:pStyle w:val="NormalWeb"/>
        <w:spacing w:before="280" w:after="280" w:line="276" w:lineRule="auto"/>
        <w:jc w:val="both"/>
        <w:rPr>
          <w:rFonts w:eastAsia="Times New Roman" w:cs="Times New Roman"/>
          <w:color w:val="000000" w:themeColor="text1"/>
          <w:lang w:val="it-IT"/>
        </w:rPr>
      </w:pPr>
      <w:r>
        <w:rPr>
          <w:rFonts w:eastAsia="Times New Roman" w:cs="Times New Roman"/>
          <w:color w:val="000000" w:themeColor="text1"/>
          <w:lang w:val="it-IT"/>
        </w:rPr>
        <w:t>Për zbatimin e këtij objektivi, është e nevojshme një qasje e integruar ndërinstitucionale, investim në kapacitete profesionale, si dhe përfshirja aktive e vetë personave me aftësi të kufizuara dhe organizatave që i përfaqësojnë ata. Gjithashtu, është thelbësore që shërbimet të jenë të ndjeshme ndaj dimensionit gjinor dhe të aksesueshme për të gjithë, pa diskriminim.</w:t>
      </w:r>
    </w:p>
    <w:p w14:paraId="6C72ED02" w14:textId="77777777" w:rsidR="005F2AC9" w:rsidRDefault="00B56839">
      <w:pPr>
        <w:spacing w:beforeAutospacing="1" w:afterAutospacing="1"/>
        <w:jc w:val="both"/>
        <w:rPr>
          <w:rFonts w:ascii="Times New Roman" w:eastAsia="Times New Roman" w:hAnsi="Times New Roman" w:cs="Times New Roman"/>
          <w:color w:val="000000" w:themeColor="text1"/>
          <w:sz w:val="24"/>
          <w:szCs w:val="24"/>
          <w:lang w:val="it-IT"/>
        </w:rPr>
      </w:pPr>
      <w:r>
        <w:rPr>
          <w:rFonts w:ascii="Times New Roman" w:eastAsia="Times New Roman" w:hAnsi="Times New Roman" w:cs="Times New Roman"/>
          <w:color w:val="000000" w:themeColor="text1"/>
          <w:sz w:val="24"/>
          <w:szCs w:val="24"/>
          <w:lang w:val="it-IT"/>
        </w:rPr>
        <w:t xml:space="preserve">Plani Kombëtar i Transformimit për Shërbimet Rezidenciale të Kujdesit për Fëmijët, parashikon transformimin e plotë të qendrave rezidenciale të mbetura në shërbime të bazuara në komunitet dhe mbështetje për familjen. </w:t>
      </w:r>
    </w:p>
    <w:p w14:paraId="0FFB573D" w14:textId="77777777" w:rsidR="005F2AC9" w:rsidRDefault="00B56839">
      <w:pPr>
        <w:pStyle w:val="NormalWeb"/>
        <w:spacing w:before="280" w:after="280" w:line="276" w:lineRule="auto"/>
        <w:jc w:val="both"/>
        <w:rPr>
          <w:color w:val="000000" w:themeColor="text1"/>
          <w:lang w:val="it-IT"/>
        </w:rPr>
      </w:pPr>
      <w:r>
        <w:rPr>
          <w:color w:val="000000" w:themeColor="text1"/>
          <w:lang w:val="it-IT"/>
        </w:rPr>
        <w:t xml:space="preserve">Nga nëntori 2024 deri në prill 2025, është realizuar një vlerësim gjithëpërfshirës për 39 fëmijë të institucionalizuar, familjet e tyre me qëllim vlerësimin e mirëqenies së tyre dhe potencialit për tranzicion drejt kujdesit familjar dhe komunitar. Vlerësimi ka identifikuar barrierat për riintegrimin në familje dhe komunitet, ka hartuar plane individuale tranzicioni dhe ka propozuar përmirësime në modelet e kujdesit dhe politikat përkatëse. </w:t>
      </w:r>
    </w:p>
    <w:p w14:paraId="384E6A8B" w14:textId="77777777" w:rsidR="005F2AC9" w:rsidRDefault="00B56839">
      <w:pPr>
        <w:spacing w:before="240" w:after="240"/>
        <w:jc w:val="both"/>
        <w:rPr>
          <w:rFonts w:ascii="Times New Roman" w:eastAsia="Times New Roman" w:hAnsi="Times New Roman" w:cs="Times New Roman"/>
          <w:color w:val="000000" w:themeColor="text1"/>
          <w:sz w:val="24"/>
          <w:szCs w:val="24"/>
          <w:lang w:val="it-IT"/>
        </w:rPr>
      </w:pPr>
      <w:r>
        <w:rPr>
          <w:rFonts w:ascii="Times New Roman" w:eastAsia="Times New Roman" w:hAnsi="Times New Roman" w:cs="Times New Roman"/>
          <w:color w:val="000000" w:themeColor="text1"/>
          <w:sz w:val="24"/>
          <w:szCs w:val="24"/>
          <w:lang w:val="it-IT"/>
        </w:rPr>
        <w:t>Në lidhje me të rriturit me aftësi të kufizuara, procesi i deinstitucionalizimit ndodhet në një fazë më të hershme dhe paraqet kompleksitet më të lartë, për shkak të nevojave më të theksuara për mbështetje. Janë përfunduar vlerësime individuale të strukturuara në katër Qendra publike Zhvillimi për të rritur me aftësi të kufizuara, ndërkohë që procesi vijon në qendrat e tjera. Vlerësimet synojnë identifikimin e kapaciteteve, nevojave për mbështetje dhe rrugëve të mundshme të tranzicionit.</w:t>
      </w:r>
    </w:p>
    <w:p w14:paraId="335A36DB" w14:textId="77777777" w:rsidR="005F2AC9" w:rsidRDefault="00B56839">
      <w:pPr>
        <w:spacing w:before="240" w:after="240"/>
        <w:jc w:val="both"/>
        <w:rPr>
          <w:rFonts w:ascii="Times New Roman" w:eastAsia="Times New Roman" w:hAnsi="Times New Roman" w:cs="Times New Roman"/>
          <w:color w:val="000000" w:themeColor="text1"/>
          <w:sz w:val="24"/>
          <w:szCs w:val="24"/>
          <w:lang w:val="it-IT"/>
        </w:rPr>
      </w:pPr>
      <w:r>
        <w:rPr>
          <w:rFonts w:ascii="Times New Roman" w:eastAsia="Times New Roman" w:hAnsi="Times New Roman" w:cs="Times New Roman"/>
          <w:color w:val="000000" w:themeColor="text1"/>
          <w:sz w:val="24"/>
          <w:szCs w:val="24"/>
          <w:lang w:val="it-IT"/>
        </w:rPr>
        <w:t>Gjetjet paraprake tregojnë se një pjesë e konsiderueshme e rezidentëve paraqesin kushte të rënda dhe afatgjata, të kombinuara me institucionalizim të zgjatur dhe mbështetje familjare të kufizuar ose të munguar. Për rrjedhojë, qasja e ndjekur është graduale dhe e individualizuar.</w:t>
      </w:r>
    </w:p>
    <w:p w14:paraId="26F739AA" w14:textId="77777777" w:rsidR="005F2AC9" w:rsidRDefault="00B56839">
      <w:pPr>
        <w:spacing w:before="240" w:after="240"/>
        <w:jc w:val="both"/>
        <w:rPr>
          <w:rFonts w:ascii="Times New Roman" w:eastAsia="Times New Roman" w:hAnsi="Times New Roman" w:cs="Times New Roman"/>
          <w:color w:val="000000" w:themeColor="text1"/>
          <w:sz w:val="24"/>
          <w:szCs w:val="24"/>
          <w:lang w:val="it-IT"/>
        </w:rPr>
      </w:pPr>
      <w:r>
        <w:rPr>
          <w:rFonts w:ascii="Times New Roman" w:eastAsia="Times New Roman" w:hAnsi="Times New Roman" w:cs="Times New Roman"/>
          <w:color w:val="000000" w:themeColor="text1"/>
          <w:sz w:val="24"/>
          <w:szCs w:val="24"/>
          <w:lang w:val="it-IT"/>
        </w:rPr>
        <w:t>Në bazë të rezultateve të vlerësimeve, po përgatiten modele shërbimesh të specializuara, në shkallë më të vogël dhe të orientuara drejt komunitetit. Në këtë kuadër, është në proces ngritja e një Qendre Kombëtare në Tiranë për personat me Çrregullime të Spektrit të Autizmit, e konceptuar sipas modelit familjar dhe komunitar, që do të ofrojë shërbime emergjente, ditore, në terren dhe shërbime çlodhëse (respite).</w:t>
      </w:r>
    </w:p>
    <w:p w14:paraId="756BFAE2" w14:textId="77777777" w:rsidR="005F2AC9" w:rsidRDefault="00B56839">
      <w:pPr>
        <w:spacing w:before="240" w:after="240"/>
        <w:jc w:val="both"/>
        <w:rPr>
          <w:rFonts w:ascii="Times New Roman" w:eastAsia="Times New Roman" w:hAnsi="Times New Roman" w:cs="Times New Roman"/>
          <w:color w:val="000000" w:themeColor="text1"/>
          <w:sz w:val="24"/>
          <w:szCs w:val="24"/>
          <w:lang w:val="it-IT"/>
        </w:rPr>
      </w:pPr>
      <w:r>
        <w:rPr>
          <w:rFonts w:ascii="Times New Roman" w:eastAsia="Times New Roman" w:hAnsi="Times New Roman" w:cs="Times New Roman"/>
          <w:color w:val="000000" w:themeColor="text1"/>
          <w:sz w:val="24"/>
          <w:szCs w:val="24"/>
          <w:lang w:val="it-IT"/>
        </w:rPr>
        <w:t>Në nivel politikash, qasja e deinstitucionalizimit po zgjerohet gradualisht edhe në shërbimet për të rriturit, me fokus në rikonceptimin e modeleve të ofrimit të shërbimeve, forcimin e standardeve të cilësisë dhe garantimin e zgjidhjeve të personalizuara, të bazuara në komunitet.</w:t>
      </w:r>
    </w:p>
    <w:p w14:paraId="4A849EEC" w14:textId="77777777" w:rsidR="005F2AC9" w:rsidRPr="0042453A" w:rsidRDefault="00B56839">
      <w:pPr>
        <w:spacing w:beforeAutospacing="1" w:afterAutospacing="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Shërbimet për fëmijët dhe të rinjtë me aftësi të kufizuara po zhvillohen në disa nivele të kujdesit dhe mbështetjes sociale. Aktualisht, në 8 qendrat publike të zhvillimit, të cilat përfshijnë si shërbime rezidenciale ashtu edhe ditore dhe që varen financiarisht nga Shërbimi Social Shtetëror, marrin shërbime 274 përfitues. Nga këto, 206 ndodhen në qendrat rezidenciale dhe 68 </w:t>
      </w:r>
      <w:r w:rsidRPr="0042453A">
        <w:rPr>
          <w:rFonts w:ascii="Times New Roman" w:eastAsia="Times New Roman" w:hAnsi="Times New Roman" w:cs="Times New Roman"/>
          <w:color w:val="000000" w:themeColor="text1"/>
          <w:sz w:val="24"/>
          <w:szCs w:val="24"/>
        </w:rPr>
        <w:t>në qendrat ditore për fëmijët me aftësi të kufizuara.</w:t>
      </w:r>
    </w:p>
    <w:p w14:paraId="5CD19016" w14:textId="77777777" w:rsidR="005F2AC9" w:rsidRPr="0042453A" w:rsidRDefault="00B56839">
      <w:pPr>
        <w:spacing w:before="240" w:after="240"/>
        <w:jc w:val="both"/>
        <w:rPr>
          <w:rFonts w:ascii="Times New Roman" w:hAnsi="Times New Roman" w:cs="Times New Roman"/>
          <w:color w:val="000000" w:themeColor="text1"/>
        </w:rPr>
      </w:pPr>
      <w:r w:rsidRPr="0042453A">
        <w:rPr>
          <w:rFonts w:ascii="Times New Roman" w:eastAsia="Times" w:hAnsi="Times New Roman" w:cs="Times New Roman"/>
          <w:color w:val="000000" w:themeColor="text1"/>
          <w:sz w:val="24"/>
          <w:szCs w:val="24"/>
        </w:rPr>
        <w:t>Nëpërmjet mekanizmit të Fondit Social, deri në vitin 2025, janë ngritur dhe bërë funksionale gjithsej 39 shërbime sociale, nga të cilat përfitojnë rreth 11,000 persona me aftësi të kufizuara në nivel kombëtar të shtrira në 4 qarqe dhe 39 bashki. Ky rrjet shërbimesh përfshin:</w:t>
      </w:r>
    </w:p>
    <w:p w14:paraId="6E91795A" w14:textId="77777777" w:rsidR="005F2AC9" w:rsidRPr="0042453A" w:rsidRDefault="00B56839">
      <w:pPr>
        <w:spacing w:before="240" w:after="240"/>
        <w:jc w:val="both"/>
        <w:rPr>
          <w:rFonts w:ascii="Times New Roman" w:hAnsi="Times New Roman" w:cs="Times New Roman"/>
          <w:color w:val="000000" w:themeColor="text1"/>
        </w:rPr>
      </w:pPr>
      <w:r w:rsidRPr="0042453A">
        <w:rPr>
          <w:rFonts w:ascii="Times New Roman" w:eastAsia="Times" w:hAnsi="Times New Roman" w:cs="Times New Roman"/>
          <w:color w:val="000000" w:themeColor="text1"/>
          <w:sz w:val="24"/>
          <w:szCs w:val="24"/>
        </w:rPr>
        <w:t>-18 shërbime lëvizëse, të cilat ofrojnë kujdes të specializuar me grupe profesionistësh të përbërë nga fizioterapistë, psikologë, punonjës socialë, infermierë, logopedist, pranë familjeve dhe komuniteteve, duke u përshtatur me nevojat specifike të individëve, me 5,630 përfitues në vit.</w:t>
      </w:r>
    </w:p>
    <w:p w14:paraId="5DE957F9" w14:textId="77777777" w:rsidR="005F2AC9" w:rsidRDefault="00B56839">
      <w:pPr>
        <w:spacing w:before="240" w:after="240"/>
        <w:jc w:val="both"/>
        <w:rPr>
          <w:color w:val="000000" w:themeColor="text1"/>
        </w:rPr>
      </w:pPr>
      <w:r>
        <w:rPr>
          <w:rFonts w:ascii="Times" w:eastAsia="Times" w:hAnsi="Times" w:cs="Times"/>
          <w:color w:val="000000" w:themeColor="text1"/>
          <w:sz w:val="24"/>
          <w:szCs w:val="24"/>
        </w:rPr>
        <w:t>- 20 qendra ditore për fëmijët dhe të rriturit me aftësi të kufizuar, ku personat marrin shërbime mbështetetëse rehabilituese, sociale dhe edukative, duke ndihmuar në zhvillimin e aftësive dhe rritjen e pavarësisë, me 4,435 përfitues në vit.</w:t>
      </w:r>
    </w:p>
    <w:p w14:paraId="5BE0C30C" w14:textId="77777777" w:rsidR="005F2AC9" w:rsidRDefault="00B56839">
      <w:pPr>
        <w:spacing w:before="240" w:after="240"/>
        <w:jc w:val="both"/>
        <w:rPr>
          <w:color w:val="000000" w:themeColor="text1"/>
        </w:rPr>
      </w:pPr>
      <w:r>
        <w:rPr>
          <w:rFonts w:ascii="Times" w:eastAsia="Times" w:hAnsi="Times" w:cs="Times"/>
          <w:color w:val="000000" w:themeColor="text1"/>
          <w:sz w:val="24"/>
          <w:szCs w:val="24"/>
        </w:rPr>
        <w:t>-1 shërbim të specializuar për ofrimin e karrigeve me rrota dhe mjeteve ndihmëse (Qarku Tiranë), duke u ofruar gjithsej 570 karrige me rrota si dhe 76 mjete ndihmëse shtesë (paterica, deambulatorë, etj.), në vit.</w:t>
      </w:r>
    </w:p>
    <w:p w14:paraId="58A78A29" w14:textId="77777777" w:rsidR="005F2AC9" w:rsidRDefault="00B56839">
      <w:pPr>
        <w:spacing w:before="240" w:after="240"/>
        <w:jc w:val="both"/>
        <w:rPr>
          <w:color w:val="000000" w:themeColor="text1"/>
        </w:rPr>
      </w:pPr>
      <w:r>
        <w:rPr>
          <w:rFonts w:ascii="Times" w:eastAsia="Times" w:hAnsi="Times" w:cs="Times"/>
          <w:color w:val="000000" w:themeColor="text1"/>
          <w:sz w:val="24"/>
          <w:szCs w:val="24"/>
        </w:rPr>
        <w:t>Prej tyre, për vitin 2024 janë finanacuar edhe 12 shërbime për personat me aftësi të kufizuara nëpërmjet Fondit Social, ku numri i përfituesve ishte 3,258. Për vitin 2025 janë financuar nga Fondi Social 4 shërbime për personat me aftësi të kufizuara, ku numri i përfituesve është 9,396.</w:t>
      </w:r>
    </w:p>
    <w:p w14:paraId="2E6C28D4" w14:textId="77777777" w:rsidR="005F2AC9" w:rsidRDefault="00B56839">
      <w:pPr>
        <w:spacing w:beforeAutospacing="1" w:afterAutospacing="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Në bashkëpunim me SOS Fshatrat e Fëmijëve Shqipëri dhe UNICEF-in, është organizuar një fushatë kombëtare komunikimi për promovimin e kujdesit familjar profesional, në kuadër të promovimit të Ligjit të ri për Kujdesin Familjar dhe reformës të deinstitucionalizimit. Fushata përfshiu sesione informuese në komunitet, aktivitete ndërgjegjësuese publike, komunikim të targetuar në bashkitë pilote Tiranë, Korçë, Vlorë, Shkodër dhe Durrës, zhvillimin e materialeve informuese të thjeshta dhe të aksesueshme për publikun, spote në televizione kombëtare, fushata të strukturuara në rrjetet sociale, si dhe kanale të dedikuara informacioni që ofrojnë udhëzime mbi kriteret e përzgjedhjes dhe procedurat e aplikimit. Një moment i veçantë ishte aktiviteti i organizuar më 15 maj – Dita Ndërkombëtare e Familjes – i cili mblodhi anëtarë të komunitetit, prindër, fëmijë dhe aktorë vendorë për të promovuar kujdesin e bazuar në familje dhe shërbimet e mbështetura nga projekti. Aktiviteti shërbeu gjithashtu si një platformë advokimi, ku morën pjesë përfaqësues të Delegacionit të Bashkimit Evropian në Shqipëri, UNICEF-it dhe partnerëve të programit EU4SocialCare.</w:t>
      </w:r>
    </w:p>
    <w:p w14:paraId="06671001" w14:textId="77777777" w:rsidR="005F2AC9" w:rsidRDefault="005F2AC9">
      <w:pPr>
        <w:pStyle w:val="Normal0"/>
        <w:numPr>
          <w:ilvl w:val="0"/>
          <w:numId w:val="0"/>
        </w:numPr>
        <w:ind w:left="360" w:hanging="360"/>
        <w:rPr>
          <w:rFonts w:ascii="Times New Roman" w:hAnsi="Times New Roman" w:cs="Times New Roman"/>
          <w:color w:val="000000" w:themeColor="text1"/>
          <w:sz w:val="24"/>
          <w:szCs w:val="24"/>
          <w:u w:val="single"/>
          <w:lang w:val="sq-AL"/>
        </w:rPr>
      </w:pPr>
    </w:p>
    <w:p w14:paraId="3ADDB8AD" w14:textId="77777777" w:rsidR="005F2AC9" w:rsidRDefault="00B56839">
      <w:pPr>
        <w:pStyle w:val="Normal0"/>
        <w:numPr>
          <w:ilvl w:val="0"/>
          <w:numId w:val="0"/>
        </w:numPr>
        <w:ind w:left="360" w:hanging="360"/>
        <w:rPr>
          <w:rFonts w:ascii="Times New Roman" w:hAnsi="Times New Roman" w:cs="Times New Roman"/>
          <w:color w:val="000000" w:themeColor="text1"/>
          <w:sz w:val="24"/>
          <w:szCs w:val="24"/>
          <w:u w:val="single"/>
          <w:lang w:val="sq-AL"/>
        </w:rPr>
      </w:pPr>
      <w:bookmarkStart w:id="46" w:name="_Toc150809637"/>
      <w:r>
        <w:rPr>
          <w:rFonts w:ascii="Times New Roman" w:hAnsi="Times New Roman" w:cs="Times New Roman"/>
          <w:color w:val="000000" w:themeColor="text1"/>
          <w:sz w:val="24"/>
          <w:szCs w:val="24"/>
          <w:u w:val="single"/>
          <w:lang w:val="sq-AL"/>
        </w:rPr>
        <w:t>B.3.3 Nxitja dhe mbështetja e shërbimit në familje për moshën e tretë.</w:t>
      </w:r>
      <w:bookmarkEnd w:id="46"/>
      <w:r>
        <w:rPr>
          <w:rFonts w:ascii="Times New Roman" w:hAnsi="Times New Roman" w:cs="Times New Roman"/>
          <w:color w:val="000000" w:themeColor="text1"/>
          <w:sz w:val="24"/>
          <w:szCs w:val="24"/>
          <w:u w:val="single"/>
          <w:lang w:val="sq-AL"/>
        </w:rPr>
        <w:t xml:space="preserve"> </w:t>
      </w:r>
    </w:p>
    <w:p w14:paraId="6702952B" w14:textId="77777777" w:rsidR="005F2AC9" w:rsidRDefault="00B56839">
      <w:pPr>
        <w:pStyle w:val="NormalWeb"/>
        <w:spacing w:before="280" w:after="280"/>
        <w:rPr>
          <w:iCs/>
          <w:color w:val="000000" w:themeColor="text1"/>
          <w:lang w:val="pt-BR"/>
        </w:rPr>
      </w:pPr>
      <w:r>
        <w:rPr>
          <w:b/>
          <w:bCs/>
          <w:color w:val="000000" w:themeColor="text1"/>
          <w:lang w:val="sq-AL"/>
        </w:rPr>
        <w:t>Aktivitetet prioritare për periudhën e raportimit</w:t>
      </w:r>
      <w:r>
        <w:rPr>
          <w:color w:val="000000" w:themeColor="text1"/>
          <w:lang w:val="sq-AL"/>
        </w:rPr>
        <w:t>:</w:t>
      </w:r>
    </w:p>
    <w:p w14:paraId="69218808" w14:textId="77777777" w:rsidR="005F2AC9" w:rsidRDefault="00B56839">
      <w:pPr>
        <w:spacing w:after="0"/>
        <w:jc w:val="both"/>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Vlerësimi i situatës së individëve të moshës së tretë (sipas gjinisë) për shërbime në familje/ ditore ose komunitare; Hartimi i rekomandimeve dhe skenarëve për shërbime të reja, përfshirë kostimin e tyre;</w:t>
      </w:r>
    </w:p>
    <w:p w14:paraId="466C8CF2" w14:textId="77777777" w:rsidR="005F2AC9" w:rsidRDefault="005F2AC9">
      <w:pPr>
        <w:spacing w:after="0"/>
        <w:jc w:val="both"/>
        <w:rPr>
          <w:rFonts w:ascii="Times New Roman" w:eastAsia="Times New Roman" w:hAnsi="Times New Roman" w:cs="Times New Roman"/>
          <w:b/>
          <w:bCs/>
          <w:color w:val="000000" w:themeColor="text1"/>
          <w:sz w:val="24"/>
          <w:szCs w:val="24"/>
          <w:lang w:val="it-IT"/>
        </w:rPr>
      </w:pPr>
    </w:p>
    <w:p w14:paraId="4D680B49" w14:textId="77777777" w:rsidR="005F2AC9" w:rsidRDefault="00B56839">
      <w:pPr>
        <w:spacing w:after="0"/>
        <w:jc w:val="both"/>
        <w:rPr>
          <w:rFonts w:ascii="Times New Roman" w:eastAsia="Times New Roman" w:hAnsi="Times New Roman" w:cs="Times New Roman"/>
          <w:b/>
          <w:bCs/>
          <w:color w:val="000000" w:themeColor="text1"/>
          <w:sz w:val="24"/>
          <w:szCs w:val="24"/>
          <w:lang w:val="pt-BR"/>
        </w:rPr>
      </w:pPr>
      <w:r>
        <w:rPr>
          <w:rFonts w:ascii="Times New Roman" w:eastAsia="Times New Roman" w:hAnsi="Times New Roman" w:cs="Times New Roman"/>
          <w:b/>
          <w:bCs/>
          <w:color w:val="000000" w:themeColor="text1"/>
          <w:sz w:val="24"/>
          <w:szCs w:val="24"/>
          <w:lang w:val="it-IT"/>
        </w:rPr>
        <w:t>Tabela:</w:t>
      </w:r>
      <w:r>
        <w:rPr>
          <w:rFonts w:eastAsia="Garamond" w:cs="Garamond"/>
          <w:b/>
          <w:bCs/>
          <w:color w:val="000000" w:themeColor="text1"/>
          <w:lang w:val="it-IT"/>
        </w:rPr>
        <w:t xml:space="preserve"> </w:t>
      </w:r>
      <w:r>
        <w:rPr>
          <w:rFonts w:ascii="Times New Roman" w:eastAsia="Times New Roman" w:hAnsi="Times New Roman" w:cs="Times New Roman"/>
          <w:b/>
          <w:bCs/>
          <w:color w:val="000000" w:themeColor="text1"/>
          <w:sz w:val="24"/>
          <w:szCs w:val="24"/>
          <w:lang w:val="pt-BR"/>
        </w:rPr>
        <w:t>Indikatorët e Pasaportës për Objektivin specifik B.3.3</w:t>
      </w:r>
    </w:p>
    <w:p w14:paraId="2B85D486" w14:textId="77777777" w:rsidR="005F2AC9" w:rsidRDefault="005F2AC9">
      <w:pPr>
        <w:spacing w:after="0"/>
        <w:jc w:val="both"/>
        <w:rPr>
          <w:rFonts w:ascii="Times New Roman" w:hAnsi="Times New Roman"/>
          <w:b/>
          <w:bCs/>
          <w:color w:val="000000" w:themeColor="text1"/>
          <w:sz w:val="24"/>
          <w:szCs w:val="24"/>
          <w:lang w:val="it-IT"/>
        </w:rPr>
      </w:pPr>
    </w:p>
    <w:tbl>
      <w:tblPr>
        <w:tblStyle w:val="TableGrid"/>
        <w:tblW w:w="9250" w:type="dxa"/>
        <w:tblLayout w:type="fixed"/>
        <w:tblLook w:val="04A0" w:firstRow="1" w:lastRow="0" w:firstColumn="1" w:lastColumn="0" w:noHBand="0" w:noVBand="1"/>
      </w:tblPr>
      <w:tblGrid>
        <w:gridCol w:w="2122"/>
        <w:gridCol w:w="2336"/>
        <w:gridCol w:w="1265"/>
        <w:gridCol w:w="1073"/>
        <w:gridCol w:w="1038"/>
        <w:gridCol w:w="1416"/>
      </w:tblGrid>
      <w:tr w:rsidR="005F2AC9" w14:paraId="21BE5FFD" w14:textId="77777777">
        <w:trPr>
          <w:trHeight w:val="300"/>
        </w:trPr>
        <w:tc>
          <w:tcPr>
            <w:tcW w:w="2121" w:type="dxa"/>
            <w:tcBorders>
              <w:top w:val="single" w:sz="8" w:space="0" w:color="000000"/>
              <w:left w:val="single" w:sz="8" w:space="0" w:color="000000"/>
              <w:bottom w:val="single" w:sz="8" w:space="0" w:color="000000"/>
              <w:right w:val="single" w:sz="8" w:space="0" w:color="000000"/>
            </w:tcBorders>
          </w:tcPr>
          <w:p w14:paraId="4836ECD3" w14:textId="77777777" w:rsidR="005F2AC9" w:rsidRDefault="00B56839">
            <w:pPr>
              <w:spacing w:before="0" w:after="60" w:line="240" w:lineRule="auto"/>
              <w:ind w:left="360" w:hanging="360"/>
              <w:jc w:val="both"/>
              <w:rPr>
                <w:color w:val="000000" w:themeColor="text1"/>
              </w:rPr>
            </w:pPr>
            <w:r>
              <w:rPr>
                <w:rFonts w:ascii="Times New Roman" w:eastAsia="Times New Roman" w:hAnsi="Times New Roman" w:cs="Times New Roman"/>
                <w:color w:val="000000" w:themeColor="text1"/>
                <w:lang w:val="it-IT"/>
              </w:rPr>
              <w:t>B3.3.  Nxitja dhe mbështetja e shërbimit në familje për moshën e tretë</w:t>
            </w:r>
            <w:r>
              <w:rPr>
                <w:rFonts w:ascii="Times New Roman" w:eastAsia="Times New Roman" w:hAnsi="Times New Roman" w:cs="Times New Roman"/>
                <w:color w:val="000000" w:themeColor="text1"/>
                <w:lang w:val="sq-AL"/>
              </w:rPr>
              <w:t xml:space="preserve">. </w:t>
            </w:r>
          </w:p>
          <w:p w14:paraId="7E2833D0"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tc>
        <w:tc>
          <w:tcPr>
            <w:tcW w:w="2336" w:type="dxa"/>
            <w:tcBorders>
              <w:top w:val="single" w:sz="8" w:space="0" w:color="000000"/>
              <w:left w:val="single" w:sz="8" w:space="0" w:color="000000"/>
              <w:bottom w:val="single" w:sz="8" w:space="0" w:color="000000"/>
              <w:right w:val="single" w:sz="8" w:space="0" w:color="000000"/>
            </w:tcBorders>
          </w:tcPr>
          <w:p w14:paraId="6758B89B"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Numri i shërbimeve alternative  për moshën e tretë;</w:t>
            </w:r>
          </w:p>
          <w:p w14:paraId="1DA4B323" w14:textId="27479EA0"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52790BB2"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08C29E88"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Numri i personelit ofrues i shërbimeve për të moshuarit i trajnuar për proceset e deinstitucionalizmit.</w:t>
            </w:r>
          </w:p>
        </w:tc>
        <w:tc>
          <w:tcPr>
            <w:tcW w:w="1265" w:type="dxa"/>
            <w:tcBorders>
              <w:top w:val="single" w:sz="8" w:space="0" w:color="000000"/>
              <w:left w:val="single" w:sz="8" w:space="0" w:color="000000"/>
              <w:bottom w:val="single" w:sz="8" w:space="0" w:color="000000"/>
              <w:right w:val="single" w:sz="8" w:space="0" w:color="000000"/>
            </w:tcBorders>
          </w:tcPr>
          <w:p w14:paraId="2D488C57"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7 shërbime të reja FS (viti 2023)</w:t>
            </w:r>
          </w:p>
          <w:p w14:paraId="39533142" w14:textId="556BD592"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4795942E"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5062956E"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N/a</w:t>
            </w:r>
          </w:p>
        </w:tc>
        <w:tc>
          <w:tcPr>
            <w:tcW w:w="1073" w:type="dxa"/>
            <w:tcBorders>
              <w:top w:val="single" w:sz="8" w:space="0" w:color="000000"/>
              <w:left w:val="single" w:sz="8" w:space="0" w:color="000000"/>
              <w:bottom w:val="single" w:sz="8" w:space="0" w:color="000000"/>
              <w:right w:val="single" w:sz="8" w:space="0" w:color="000000"/>
            </w:tcBorders>
          </w:tcPr>
          <w:p w14:paraId="710B8C4D"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18 shërbime të reja</w:t>
            </w:r>
          </w:p>
          <w:p w14:paraId="63126307"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5C34A3DA" w14:textId="4058330D"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 xml:space="preserve"> </w:t>
            </w:r>
          </w:p>
          <w:p w14:paraId="6A7ECF24" w14:textId="3837DE2B"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rPr>
              <w:t>N/</w:t>
            </w:r>
            <w:r w:rsidR="00A35A63">
              <w:rPr>
                <w:rFonts w:ascii="Times New Roman" w:eastAsia="Times New Roman" w:hAnsi="Times New Roman" w:cs="Times New Roman"/>
                <w:color w:val="000000" w:themeColor="text1"/>
              </w:rPr>
              <w:t>a</w:t>
            </w:r>
          </w:p>
        </w:tc>
        <w:tc>
          <w:tcPr>
            <w:tcW w:w="1038" w:type="dxa"/>
            <w:tcBorders>
              <w:top w:val="single" w:sz="8" w:space="0" w:color="000000"/>
              <w:left w:val="single" w:sz="8" w:space="0" w:color="000000"/>
              <w:bottom w:val="single" w:sz="8" w:space="0" w:color="000000"/>
              <w:right w:val="single" w:sz="8" w:space="0" w:color="000000"/>
            </w:tcBorders>
          </w:tcPr>
          <w:p w14:paraId="1DDD75F7"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21</w:t>
            </w:r>
          </w:p>
          <w:p w14:paraId="54034F0F"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1DFCD37C"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0749F825"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6C79A088" w14:textId="1F012488" w:rsidR="005F2AC9" w:rsidRPr="00A35A63"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11108489"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57</w:t>
            </w:r>
          </w:p>
        </w:tc>
        <w:tc>
          <w:tcPr>
            <w:tcW w:w="1416" w:type="dxa"/>
            <w:tcBorders>
              <w:top w:val="single" w:sz="8" w:space="0" w:color="000000"/>
              <w:left w:val="single" w:sz="8" w:space="0" w:color="000000"/>
              <w:bottom w:val="single" w:sz="8" w:space="0" w:color="000000"/>
              <w:right w:val="single" w:sz="8" w:space="0" w:color="000000"/>
            </w:tcBorders>
          </w:tcPr>
          <w:p w14:paraId="41B935D7" w14:textId="77777777" w:rsidR="005F2AC9" w:rsidRDefault="005F2AC9">
            <w:pPr>
              <w:spacing w:before="0" w:after="0" w:line="240" w:lineRule="auto"/>
              <w:rPr>
                <w:rFonts w:ascii="Times New Roman" w:eastAsia="Times New Roman" w:hAnsi="Times New Roman" w:cs="Times New Roman"/>
                <w:color w:val="000000" w:themeColor="text1"/>
                <w:lang w:val="it-CH"/>
              </w:rPr>
            </w:pPr>
          </w:p>
          <w:p w14:paraId="79534A2D" w14:textId="77777777" w:rsidR="005F2AC9" w:rsidRDefault="005F2AC9">
            <w:pPr>
              <w:spacing w:before="0" w:after="0" w:line="240" w:lineRule="auto"/>
              <w:rPr>
                <w:rFonts w:ascii="Times New Roman" w:eastAsia="Times New Roman" w:hAnsi="Times New Roman" w:cs="Times New Roman"/>
                <w:color w:val="000000" w:themeColor="text1"/>
                <w:lang w:val="it-CH"/>
              </w:rPr>
            </w:pPr>
          </w:p>
          <w:p w14:paraId="0B518EB8"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CH"/>
              </w:rPr>
              <w:t>SHSSH/ të dhëna administrative/ raporti i monitorimit te strategjise se MS</w:t>
            </w:r>
          </w:p>
          <w:p w14:paraId="52DCF1C0" w14:textId="77777777" w:rsidR="005F2AC9" w:rsidRDefault="00B56839">
            <w:pPr>
              <w:spacing w:before="0" w:after="0" w:line="240" w:lineRule="auto"/>
              <w:rPr>
                <w:color w:val="000000" w:themeColor="text1"/>
              </w:rPr>
            </w:pPr>
            <w:r>
              <w:rPr>
                <w:rFonts w:ascii="Times New Roman" w:eastAsia="Times New Roman" w:hAnsi="Times New Roman" w:cs="Times New Roman"/>
                <w:color w:val="000000" w:themeColor="text1"/>
                <w:lang w:val="it-IT"/>
              </w:rPr>
              <w:t xml:space="preserve"> </w:t>
            </w:r>
          </w:p>
          <w:p w14:paraId="0133227A" w14:textId="77777777" w:rsidR="005F2AC9" w:rsidRDefault="005F2AC9">
            <w:pPr>
              <w:spacing w:before="0" w:after="0" w:line="240" w:lineRule="auto"/>
              <w:rPr>
                <w:rFonts w:ascii="Times New Roman" w:eastAsia="Times New Roman" w:hAnsi="Times New Roman" w:cs="Times New Roman"/>
                <w:color w:val="000000" w:themeColor="text1"/>
                <w:lang w:val="it-IT"/>
              </w:rPr>
            </w:pPr>
          </w:p>
        </w:tc>
      </w:tr>
    </w:tbl>
    <w:p w14:paraId="07391827" w14:textId="77777777" w:rsidR="008A0177" w:rsidRDefault="008A0177">
      <w:pPr>
        <w:spacing w:after="0"/>
        <w:jc w:val="both"/>
        <w:rPr>
          <w:rFonts w:ascii="Times New Roman" w:hAnsi="Times New Roman"/>
          <w:b/>
          <w:bCs/>
          <w:color w:val="000000" w:themeColor="text1"/>
          <w:sz w:val="24"/>
          <w:szCs w:val="24"/>
          <w:lang w:val="it-IT"/>
        </w:rPr>
      </w:pPr>
    </w:p>
    <w:p w14:paraId="6E39D2AD" w14:textId="5EB6005F" w:rsidR="005F2AC9" w:rsidRDefault="00B56839">
      <w:pPr>
        <w:spacing w:after="0"/>
        <w:jc w:val="both"/>
        <w:rPr>
          <w:rFonts w:ascii="Times New Roman" w:hAnsi="Times New Roman"/>
          <w:b/>
          <w:bCs/>
          <w:color w:val="000000" w:themeColor="text1"/>
          <w:sz w:val="24"/>
          <w:szCs w:val="24"/>
          <w:lang w:val="it-IT"/>
        </w:rPr>
      </w:pPr>
      <w:r>
        <w:rPr>
          <w:rFonts w:ascii="Times New Roman" w:hAnsi="Times New Roman"/>
          <w:b/>
          <w:bCs/>
          <w:color w:val="000000" w:themeColor="text1"/>
          <w:sz w:val="24"/>
          <w:szCs w:val="24"/>
          <w:lang w:val="it-IT"/>
        </w:rPr>
        <w:t>Përshkrimi i objektivit dhe rezultatet e monitorimit</w:t>
      </w:r>
    </w:p>
    <w:p w14:paraId="3B54204F" w14:textId="02D33747" w:rsidR="005F2AC9" w:rsidRDefault="00B56839">
      <w:pPr>
        <w:pStyle w:val="NormalWeb"/>
        <w:spacing w:before="280" w:after="280" w:line="276" w:lineRule="auto"/>
        <w:jc w:val="both"/>
        <w:rPr>
          <w:color w:val="000000" w:themeColor="text1"/>
          <w:lang w:val="it-IT"/>
        </w:rPr>
      </w:pPr>
      <w:r>
        <w:rPr>
          <w:color w:val="000000" w:themeColor="text1"/>
          <w:lang w:val="it-IT"/>
        </w:rPr>
        <w:t xml:space="preserve">Objektivi ka për qëllim nxitjen dhe mbështetjen e shërbimeve në familje për moshën e tretë, duke promovuar modele kujdesi që respektojnë dinjitetin, autonominë dhe përfshirjen sociale të të moshuarve. Qasja e Ministrisë së Shëndetësisë dhe </w:t>
      </w:r>
      <w:r w:rsidR="00BA4B59" w:rsidRPr="00BA4B59">
        <w:rPr>
          <w:color w:val="000000" w:themeColor="text1"/>
          <w:lang w:val="it-IT"/>
        </w:rPr>
        <w:t>Mirëqenies</w:t>
      </w:r>
      <w:r>
        <w:rPr>
          <w:color w:val="000000" w:themeColor="text1"/>
          <w:lang w:val="it-IT"/>
        </w:rPr>
        <w:t xml:space="preserve"> Sociale synon të shmangë institucionalizimin e panevojshëm dhe të krijojë alternativa të qëndrueshme për mbështetje në mjedisin familjar dhe komunitar.</w:t>
      </w:r>
    </w:p>
    <w:p w14:paraId="256856AF" w14:textId="77777777" w:rsidR="005F2AC9" w:rsidRDefault="00B56839">
      <w:pPr>
        <w:pStyle w:val="NormalWeb"/>
        <w:spacing w:before="280" w:after="280" w:line="276" w:lineRule="auto"/>
        <w:jc w:val="both"/>
        <w:rPr>
          <w:color w:val="000000" w:themeColor="text1"/>
          <w:lang w:val="it-IT"/>
        </w:rPr>
      </w:pPr>
      <w:r>
        <w:rPr>
          <w:color w:val="000000" w:themeColor="text1"/>
          <w:lang w:val="it-IT"/>
        </w:rPr>
        <w:t>Kjo përfshin zhvillimin e shërbimeve të asistencës në shtëpi, mbështetjen për kujdestarët familjarë, shërbime ditore dhe programe të integruara që adresojnë nevojat shëndetësore, sociale dhe emocionale të të moshuarve. Përmes këtyre shërbimeve, synohet të përmirësohet cilësia e jetës, të ruhet lidhja me komunitetin dhe të forcohet roli i familjes si strukturë mbështetëse.</w:t>
      </w:r>
    </w:p>
    <w:p w14:paraId="2ED24534" w14:textId="77777777" w:rsidR="005F2AC9" w:rsidRDefault="00B56839">
      <w:pPr>
        <w:pStyle w:val="NormalWeb"/>
        <w:spacing w:before="280" w:after="280"/>
        <w:jc w:val="both"/>
        <w:rPr>
          <w:color w:val="000000" w:themeColor="text1"/>
          <w:lang w:val="it-IT"/>
        </w:rPr>
      </w:pPr>
      <w:r>
        <w:rPr>
          <w:color w:val="000000" w:themeColor="text1"/>
          <w:lang w:val="it-IT"/>
        </w:rPr>
        <w:t>Zbatimi i këtij objektivi kërkon investim të qëndrueshëm në kapacitete profesionale, trajnimin e stafit që ofron kujdes për të moshuarit, si dhe krijimin e mekanizmave të koordinuar ndërinstitucional për identifikimin e hershëm të nevojave dhe ofrimin e shërbimeve të personalizuara. Një rëndësi e veçantë i kushtohet faktit që këto shërbime duhet të jenë të aksesueshme, të ndjeshme ndaj dimensionit gjinor dhe të përshtatura sipas kontekstit lokal, duke marrë parasysh diversitetin social, kulturor dhe ekonomik të komuniteteve.</w:t>
      </w:r>
    </w:p>
    <w:p w14:paraId="53B59642" w14:textId="77777777" w:rsidR="005F2AC9" w:rsidRDefault="00B56839">
      <w:pPr>
        <w:pStyle w:val="NormalWeb"/>
        <w:spacing w:before="280" w:after="280"/>
        <w:jc w:val="both"/>
        <w:rPr>
          <w:color w:val="000000" w:themeColor="text1"/>
          <w:lang w:val="it-IT"/>
        </w:rPr>
      </w:pPr>
      <w:r>
        <w:rPr>
          <w:color w:val="000000" w:themeColor="text1"/>
          <w:lang w:val="it-IT"/>
        </w:rPr>
        <w:t>Aktualisht, ofrohen gjithsej 297 shërbime të përkujdesit shoqëror të dedikuara posaçërisht për moshën e tretë, të cilat funksionojnë në 79 qendra të shpërndara në të gjitha bashkitë e vendit. Të moshuarit përfaqësojnë kategorinë e dytë më të madhe të përfituesve të shërbimeve sociale, duke përbërë rreth 18% të totalit të përfituesve. Kjo tregon rritjen e nevojës për shërbime gjithëpërfshirëse, cilësore dhe të qëndrueshme për këtë grupmoshë.</w:t>
      </w:r>
    </w:p>
    <w:p w14:paraId="78524EEB" w14:textId="77777777" w:rsidR="005F2AC9" w:rsidRDefault="00B56839">
      <w:pPr>
        <w:pStyle w:val="NormalWeb"/>
        <w:spacing w:before="280" w:after="280"/>
        <w:jc w:val="both"/>
        <w:rPr>
          <w:color w:val="000000" w:themeColor="text1"/>
          <w:lang w:val="it-IT"/>
        </w:rPr>
      </w:pPr>
      <w:r>
        <w:rPr>
          <w:color w:val="000000" w:themeColor="text1"/>
          <w:lang w:val="it-IT"/>
        </w:rPr>
        <w:t>Në kuadër të Fondit Social, janë ngritur dhe po funksionojnë 25 shërbime komunitare dhe shërbime në familje për të moshuarit, nga të cilat përfitojnë aktualisht 11,640 individë të kësaj kategorie. Vetëm gjatë vitit 2024-2025 janë ngritur 11 shërbime të reja, duke rritur ndjeshëm aksesin në kujdes afatgjatë dhe mbështetje të personalizuar. Këto shërbime synojnë të mbështesin jo vetëm nevojat bazë të të moshuarve, por edhe integrimin e tyre aktiv në jetën komunitare, parandalimin e izolimit social dhe përmirësimin e cilësisë së jetës.</w:t>
      </w:r>
    </w:p>
    <w:p w14:paraId="08AA91A0" w14:textId="77777777" w:rsidR="005F2AC9" w:rsidRDefault="00B56839">
      <w:pPr>
        <w:pStyle w:val="NormalWeb"/>
        <w:spacing w:before="280" w:after="280" w:line="276" w:lineRule="auto"/>
        <w:jc w:val="both"/>
        <w:rPr>
          <w:color w:val="000000" w:themeColor="text1"/>
          <w:lang w:val="sq-AL"/>
        </w:rPr>
      </w:pPr>
      <w:r>
        <w:rPr>
          <w:color w:val="000000" w:themeColor="text1"/>
          <w:lang w:val="it-IT"/>
        </w:rPr>
        <w:t>Në vijim, pritet të zgjerohet më tej rrjeti i shërbimeve përmes partneriteteve me organizatat e shoqërisë civile dhe sektorin privat, duke promovuar modele inovative të kujdesit në komunitet, përfshirë shërbime ditore, kujdes në familje dhe programe për përfshirjen aktive të të moshuarve në aktivitete sociale dhe kulturore. Ky zgjerim do të mundësojë jo vetëm mbulim më të gjerë gjeografik, por edhe shërbime më të diversifikuara dhe të përshtatura ndaj nevojave të ndryshme të kësaj kategorie në rritje.</w:t>
      </w:r>
    </w:p>
    <w:p w14:paraId="126BF45D" w14:textId="77777777" w:rsidR="0005130C" w:rsidRDefault="0005130C">
      <w:pPr>
        <w:pStyle w:val="NormalWeb"/>
        <w:spacing w:before="280" w:after="280" w:line="276" w:lineRule="auto"/>
        <w:jc w:val="both"/>
        <w:rPr>
          <w:color w:val="000000" w:themeColor="text1"/>
          <w:lang w:val="it-IT"/>
        </w:rPr>
      </w:pPr>
    </w:p>
    <w:p w14:paraId="408F59A3" w14:textId="77777777" w:rsidR="0005130C" w:rsidRDefault="0005130C">
      <w:pPr>
        <w:pStyle w:val="NormalWeb"/>
        <w:spacing w:before="280" w:after="280" w:line="276" w:lineRule="auto"/>
        <w:jc w:val="both"/>
        <w:rPr>
          <w:color w:val="000000" w:themeColor="text1"/>
          <w:lang w:val="it-IT"/>
        </w:rPr>
      </w:pPr>
    </w:p>
    <w:p w14:paraId="4BA7C5DD" w14:textId="77777777" w:rsidR="00322182" w:rsidRDefault="00322182">
      <w:pPr>
        <w:pStyle w:val="NormalWeb"/>
        <w:spacing w:before="280" w:after="280" w:line="276" w:lineRule="auto"/>
        <w:jc w:val="both"/>
        <w:rPr>
          <w:color w:val="000000" w:themeColor="text1"/>
          <w:lang w:val="it-IT"/>
        </w:rPr>
      </w:pPr>
    </w:p>
    <w:p w14:paraId="0A918FE1" w14:textId="77777777" w:rsidR="00322182" w:rsidRDefault="00322182">
      <w:pPr>
        <w:pStyle w:val="NormalWeb"/>
        <w:spacing w:before="280" w:after="280" w:line="276" w:lineRule="auto"/>
        <w:jc w:val="both"/>
        <w:rPr>
          <w:color w:val="000000" w:themeColor="text1"/>
          <w:lang w:val="it-IT"/>
        </w:rPr>
      </w:pPr>
    </w:p>
    <w:p w14:paraId="543CE3CE" w14:textId="77777777" w:rsidR="00322182" w:rsidRDefault="00322182">
      <w:pPr>
        <w:pStyle w:val="NormalWeb"/>
        <w:spacing w:before="280" w:after="280" w:line="276" w:lineRule="auto"/>
        <w:jc w:val="both"/>
        <w:rPr>
          <w:color w:val="000000" w:themeColor="text1"/>
          <w:lang w:val="it-IT"/>
        </w:rPr>
      </w:pPr>
    </w:p>
    <w:p w14:paraId="6CAF46A7" w14:textId="77777777" w:rsidR="00322182" w:rsidRDefault="00322182">
      <w:pPr>
        <w:pStyle w:val="NormalWeb"/>
        <w:spacing w:before="280" w:after="280" w:line="276" w:lineRule="auto"/>
        <w:jc w:val="both"/>
        <w:rPr>
          <w:color w:val="000000" w:themeColor="text1"/>
          <w:lang w:val="it-IT"/>
        </w:rPr>
      </w:pPr>
    </w:p>
    <w:p w14:paraId="12FAA317" w14:textId="77777777" w:rsidR="00322182" w:rsidRDefault="00322182">
      <w:pPr>
        <w:pStyle w:val="NormalWeb"/>
        <w:spacing w:before="280" w:after="280" w:line="276" w:lineRule="auto"/>
        <w:jc w:val="both"/>
        <w:rPr>
          <w:color w:val="000000" w:themeColor="text1"/>
          <w:lang w:val="it-IT"/>
        </w:rPr>
      </w:pPr>
    </w:p>
    <w:p w14:paraId="64418232" w14:textId="77777777" w:rsidR="00322182" w:rsidRDefault="00322182">
      <w:pPr>
        <w:pStyle w:val="NormalWeb"/>
        <w:spacing w:before="280" w:after="280" w:line="276" w:lineRule="auto"/>
        <w:jc w:val="both"/>
        <w:rPr>
          <w:color w:val="000000" w:themeColor="text1"/>
          <w:lang w:val="it-IT"/>
        </w:rPr>
      </w:pPr>
    </w:p>
    <w:p w14:paraId="0A9C0E83" w14:textId="77777777" w:rsidR="00322182" w:rsidRDefault="00322182">
      <w:pPr>
        <w:pStyle w:val="NormalWeb"/>
        <w:spacing w:before="280" w:after="280" w:line="276" w:lineRule="auto"/>
        <w:jc w:val="both"/>
        <w:rPr>
          <w:color w:val="000000" w:themeColor="text1"/>
          <w:lang w:val="it-IT"/>
        </w:rPr>
      </w:pPr>
    </w:p>
    <w:p w14:paraId="3DF32C3D" w14:textId="77777777" w:rsidR="00322182" w:rsidRDefault="00322182">
      <w:pPr>
        <w:pStyle w:val="NormalWeb"/>
        <w:spacing w:before="280" w:after="280" w:line="276" w:lineRule="auto"/>
        <w:jc w:val="both"/>
        <w:rPr>
          <w:color w:val="000000" w:themeColor="text1"/>
          <w:lang w:val="it-IT"/>
        </w:rPr>
      </w:pPr>
    </w:p>
    <w:p w14:paraId="33D752CE" w14:textId="77777777" w:rsidR="00322182" w:rsidRDefault="00322182">
      <w:pPr>
        <w:pStyle w:val="NormalWeb"/>
        <w:spacing w:before="280" w:after="280" w:line="276" w:lineRule="auto"/>
        <w:jc w:val="both"/>
        <w:rPr>
          <w:color w:val="000000" w:themeColor="text1"/>
          <w:lang w:val="it-IT"/>
        </w:rPr>
      </w:pPr>
    </w:p>
    <w:p w14:paraId="4E6575E0" w14:textId="77777777" w:rsidR="00322182" w:rsidRDefault="00322182">
      <w:pPr>
        <w:pStyle w:val="NormalWeb"/>
        <w:spacing w:before="280" w:after="280" w:line="276" w:lineRule="auto"/>
        <w:jc w:val="both"/>
        <w:rPr>
          <w:color w:val="000000" w:themeColor="text1"/>
          <w:lang w:val="it-IT"/>
        </w:rPr>
      </w:pPr>
    </w:p>
    <w:p w14:paraId="2102D2F4" w14:textId="77777777" w:rsidR="00322182" w:rsidRDefault="00322182">
      <w:pPr>
        <w:pStyle w:val="NormalWeb"/>
        <w:spacing w:before="280" w:after="280" w:line="276" w:lineRule="auto"/>
        <w:jc w:val="both"/>
        <w:rPr>
          <w:color w:val="000000" w:themeColor="text1"/>
          <w:lang w:val="it-IT"/>
        </w:rPr>
      </w:pPr>
    </w:p>
    <w:p w14:paraId="7D04A766" w14:textId="77777777" w:rsidR="00322182" w:rsidRDefault="00322182">
      <w:pPr>
        <w:pStyle w:val="NormalWeb"/>
        <w:spacing w:before="280" w:after="280" w:line="276" w:lineRule="auto"/>
        <w:jc w:val="both"/>
        <w:rPr>
          <w:color w:val="000000" w:themeColor="text1"/>
          <w:lang w:val="it-IT"/>
        </w:rPr>
      </w:pPr>
    </w:p>
    <w:p w14:paraId="58B7F334" w14:textId="77777777" w:rsidR="00322182" w:rsidRDefault="00322182">
      <w:pPr>
        <w:pStyle w:val="NormalWeb"/>
        <w:spacing w:before="280" w:after="280" w:line="276" w:lineRule="auto"/>
        <w:jc w:val="both"/>
        <w:rPr>
          <w:color w:val="000000" w:themeColor="text1"/>
          <w:lang w:val="it-IT"/>
        </w:rPr>
      </w:pPr>
    </w:p>
    <w:p w14:paraId="06FB8837" w14:textId="77777777" w:rsidR="00322182" w:rsidRDefault="00322182">
      <w:pPr>
        <w:pStyle w:val="NormalWeb"/>
        <w:spacing w:before="280" w:after="280" w:line="276" w:lineRule="auto"/>
        <w:jc w:val="both"/>
        <w:rPr>
          <w:color w:val="000000" w:themeColor="text1"/>
          <w:lang w:val="it-IT"/>
        </w:rPr>
      </w:pPr>
    </w:p>
    <w:p w14:paraId="4F5C0D70" w14:textId="77777777" w:rsidR="00322182" w:rsidRDefault="00322182">
      <w:pPr>
        <w:pStyle w:val="NormalWeb"/>
        <w:spacing w:before="280" w:after="280" w:line="276" w:lineRule="auto"/>
        <w:jc w:val="both"/>
        <w:rPr>
          <w:color w:val="000000" w:themeColor="text1"/>
          <w:lang w:val="it-IT"/>
        </w:rPr>
      </w:pPr>
    </w:p>
    <w:p w14:paraId="09E34582" w14:textId="77777777" w:rsidR="00A35A63" w:rsidRDefault="00A35A63">
      <w:pPr>
        <w:pStyle w:val="NormalWeb"/>
        <w:spacing w:before="280" w:after="280" w:line="276" w:lineRule="auto"/>
        <w:jc w:val="both"/>
        <w:rPr>
          <w:color w:val="000000" w:themeColor="text1"/>
          <w:lang w:val="it-IT"/>
        </w:rPr>
      </w:pPr>
    </w:p>
    <w:p w14:paraId="7FA1C6D6" w14:textId="3CDC406A" w:rsidR="005F2AC9" w:rsidRDefault="008E3291">
      <w:pPr>
        <w:pStyle w:val="Heading1"/>
        <w:rPr>
          <w:rFonts w:ascii="Garamond" w:eastAsia="Garamond" w:hAnsi="Garamond" w:cs="Garamond"/>
          <w:b/>
          <w:bCs/>
          <w:color w:val="000000" w:themeColor="text1"/>
          <w:lang w:val="it-IT"/>
        </w:rPr>
      </w:pPr>
      <w:r>
        <w:rPr>
          <w:rFonts w:eastAsia="Garamond" w:cs="Garamond"/>
          <w:b/>
          <w:bCs/>
          <w:color w:val="000000" w:themeColor="text1"/>
          <w:lang w:val="it-IT"/>
        </w:rPr>
        <w:t>mONITORIMI I BUXHETIT – VITI 2025</w:t>
      </w:r>
    </w:p>
    <w:p w14:paraId="7C55EE8F" w14:textId="77777777" w:rsidR="005F2AC9" w:rsidRDefault="005F2AC9">
      <w:pPr>
        <w:rPr>
          <w:color w:val="000000" w:themeColor="text1"/>
        </w:rPr>
      </w:pPr>
    </w:p>
    <w:tbl>
      <w:tblPr>
        <w:tblW w:w="11163" w:type="dxa"/>
        <w:tblInd w:w="-990" w:type="dxa"/>
        <w:tblLook w:val="04A0" w:firstRow="1" w:lastRow="0" w:firstColumn="1" w:lastColumn="0" w:noHBand="0" w:noVBand="1"/>
      </w:tblPr>
      <w:tblGrid>
        <w:gridCol w:w="1440"/>
        <w:gridCol w:w="1890"/>
        <w:gridCol w:w="739"/>
        <w:gridCol w:w="791"/>
        <w:gridCol w:w="1105"/>
        <w:gridCol w:w="1148"/>
        <w:gridCol w:w="1170"/>
        <w:gridCol w:w="1650"/>
        <w:gridCol w:w="933"/>
        <w:gridCol w:w="839"/>
      </w:tblGrid>
      <w:tr w:rsidR="008E3291" w:rsidRPr="00D130F4" w14:paraId="2977580E" w14:textId="77777777" w:rsidTr="007B4850">
        <w:trPr>
          <w:trHeight w:val="345"/>
        </w:trPr>
        <w:tc>
          <w:tcPr>
            <w:tcW w:w="11163" w:type="dxa"/>
            <w:gridSpan w:val="10"/>
            <w:tcBorders>
              <w:top w:val="nil"/>
              <w:left w:val="nil"/>
              <w:bottom w:val="nil"/>
              <w:right w:val="nil"/>
            </w:tcBorders>
            <w:noWrap/>
            <w:vAlign w:val="center"/>
            <w:hideMark/>
          </w:tcPr>
          <w:p w14:paraId="3DB128E2" w14:textId="77777777" w:rsidR="008E3291" w:rsidRDefault="008E3291" w:rsidP="0061738E">
            <w:pPr>
              <w:suppressAutoHyphens w:val="0"/>
              <w:spacing w:before="0" w:after="0" w:line="240" w:lineRule="auto"/>
              <w:jc w:val="center"/>
              <w:rPr>
                <w:rFonts w:ascii="Calibri" w:eastAsia="Times New Roman" w:hAnsi="Calibri" w:cs="Calibri"/>
                <w:b/>
                <w:bCs/>
                <w:sz w:val="26"/>
                <w:szCs w:val="26"/>
              </w:rPr>
            </w:pPr>
            <w:r w:rsidRPr="00D130F4">
              <w:rPr>
                <w:rFonts w:ascii="Calibri" w:eastAsia="Times New Roman" w:hAnsi="Calibri" w:cs="Calibri"/>
                <w:b/>
                <w:bCs/>
                <w:sz w:val="26"/>
                <w:szCs w:val="26"/>
              </w:rPr>
              <w:t xml:space="preserve">Raporti i realizimit të </w:t>
            </w:r>
            <w:r>
              <w:rPr>
                <w:rFonts w:ascii="Calibri" w:eastAsia="Times New Roman" w:hAnsi="Calibri" w:cs="Calibri"/>
                <w:b/>
                <w:bCs/>
                <w:sz w:val="26"/>
                <w:szCs w:val="26"/>
              </w:rPr>
              <w:t>buxhetit për</w:t>
            </w:r>
            <w:r w:rsidRPr="00D130F4">
              <w:rPr>
                <w:rFonts w:ascii="Calibri" w:eastAsia="Times New Roman" w:hAnsi="Calibri" w:cs="Calibri"/>
                <w:b/>
                <w:bCs/>
                <w:sz w:val="26"/>
                <w:szCs w:val="26"/>
              </w:rPr>
              <w:t xml:space="preserve"> programi</w:t>
            </w:r>
            <w:r>
              <w:rPr>
                <w:rFonts w:ascii="Calibri" w:eastAsia="Times New Roman" w:hAnsi="Calibri" w:cs="Calibri"/>
                <w:b/>
                <w:bCs/>
                <w:sz w:val="26"/>
                <w:szCs w:val="26"/>
              </w:rPr>
              <w:t>n “Përkujdesi Social”</w:t>
            </w:r>
          </w:p>
          <w:p w14:paraId="507A2B69" w14:textId="77777777" w:rsidR="008E3291" w:rsidRPr="00D130F4" w:rsidRDefault="008E3291" w:rsidP="0061738E">
            <w:pPr>
              <w:suppressAutoHyphens w:val="0"/>
              <w:spacing w:before="0" w:after="0" w:line="240" w:lineRule="auto"/>
              <w:jc w:val="center"/>
              <w:rPr>
                <w:rFonts w:ascii="Calibri" w:eastAsia="Times New Roman" w:hAnsi="Calibri" w:cs="Calibri"/>
                <w:b/>
                <w:bCs/>
                <w:sz w:val="26"/>
                <w:szCs w:val="26"/>
              </w:rPr>
            </w:pPr>
          </w:p>
          <w:p w14:paraId="79E035A8" w14:textId="77777777" w:rsidR="008E3291" w:rsidRPr="00D130F4" w:rsidRDefault="008E3291" w:rsidP="0061738E">
            <w:pPr>
              <w:suppressAutoHyphens w:val="0"/>
              <w:spacing w:before="0" w:after="0" w:line="240" w:lineRule="auto"/>
              <w:jc w:val="center"/>
              <w:rPr>
                <w:rFonts w:ascii="Calibri" w:eastAsia="Times New Roman" w:hAnsi="Calibri" w:cs="Calibri"/>
                <w:b/>
                <w:bCs/>
                <w:sz w:val="26"/>
                <w:szCs w:val="26"/>
              </w:rPr>
            </w:pPr>
          </w:p>
        </w:tc>
      </w:tr>
      <w:tr w:rsidR="008E3291" w:rsidRPr="00D130F4" w14:paraId="0A01DB86" w14:textId="77777777" w:rsidTr="007B4850">
        <w:trPr>
          <w:trHeight w:val="360"/>
        </w:trPr>
        <w:tc>
          <w:tcPr>
            <w:tcW w:w="5965" w:type="dxa"/>
            <w:gridSpan w:val="5"/>
            <w:tcBorders>
              <w:top w:val="nil"/>
              <w:left w:val="nil"/>
              <w:bottom w:val="single" w:sz="4" w:space="0" w:color="auto"/>
              <w:right w:val="nil"/>
            </w:tcBorders>
            <w:shd w:val="clear" w:color="000000" w:fill="FFFFFF"/>
            <w:noWrap/>
            <w:hideMark/>
          </w:tcPr>
          <w:p w14:paraId="6279EBD3" w14:textId="09F6DC27" w:rsidR="008E3291" w:rsidRPr="00D130F4" w:rsidRDefault="008E3291" w:rsidP="0061738E">
            <w:pPr>
              <w:suppressAutoHyphens w:val="0"/>
              <w:spacing w:before="0" w:after="0" w:line="240" w:lineRule="auto"/>
              <w:rPr>
                <w:rFonts w:ascii="Calibri" w:eastAsia="Times New Roman" w:hAnsi="Calibri" w:cs="Calibri"/>
                <w:b/>
                <w:bCs/>
                <w:sz w:val="26"/>
                <w:szCs w:val="26"/>
              </w:rPr>
            </w:pPr>
            <w:r w:rsidRPr="00D130F4">
              <w:rPr>
                <w:rFonts w:ascii="Calibri" w:eastAsia="Times New Roman" w:hAnsi="Calibri" w:cs="Calibri"/>
                <w:b/>
                <w:bCs/>
                <w:sz w:val="26"/>
                <w:szCs w:val="26"/>
              </w:rPr>
              <w:t>Periudha e Raportimit 12-2025</w:t>
            </w:r>
          </w:p>
        </w:tc>
        <w:tc>
          <w:tcPr>
            <w:tcW w:w="1148" w:type="dxa"/>
            <w:tcBorders>
              <w:top w:val="nil"/>
              <w:left w:val="nil"/>
              <w:bottom w:val="single" w:sz="4" w:space="0" w:color="auto"/>
              <w:right w:val="nil"/>
            </w:tcBorders>
            <w:vAlign w:val="bottom"/>
            <w:hideMark/>
          </w:tcPr>
          <w:p w14:paraId="7A58D637" w14:textId="77777777" w:rsidR="008E3291" w:rsidRPr="00D130F4" w:rsidRDefault="008E3291" w:rsidP="0061738E">
            <w:pPr>
              <w:suppressAutoHyphens w:val="0"/>
              <w:spacing w:before="0" w:after="0" w:line="240" w:lineRule="auto"/>
              <w:rPr>
                <w:rFonts w:ascii="Aptos Narrow" w:eastAsia="Times New Roman" w:hAnsi="Aptos Narrow" w:cs="Times New Roman"/>
                <w:sz w:val="22"/>
                <w:szCs w:val="22"/>
              </w:rPr>
            </w:pPr>
            <w:r w:rsidRPr="00D130F4">
              <w:rPr>
                <w:rFonts w:ascii="Aptos Narrow" w:eastAsia="Times New Roman" w:hAnsi="Aptos Narrow" w:cs="Times New Roman"/>
                <w:sz w:val="22"/>
                <w:szCs w:val="22"/>
              </w:rPr>
              <w:t> </w:t>
            </w:r>
          </w:p>
        </w:tc>
        <w:tc>
          <w:tcPr>
            <w:tcW w:w="1170" w:type="dxa"/>
            <w:tcBorders>
              <w:top w:val="nil"/>
              <w:left w:val="nil"/>
              <w:bottom w:val="single" w:sz="4" w:space="0" w:color="auto"/>
              <w:right w:val="nil"/>
            </w:tcBorders>
            <w:vAlign w:val="bottom"/>
            <w:hideMark/>
          </w:tcPr>
          <w:p w14:paraId="3D1EF0A5" w14:textId="77777777" w:rsidR="008E3291" w:rsidRPr="00D130F4" w:rsidRDefault="008E3291" w:rsidP="0061738E">
            <w:pPr>
              <w:suppressAutoHyphens w:val="0"/>
              <w:spacing w:before="0" w:after="0" w:line="240" w:lineRule="auto"/>
              <w:rPr>
                <w:rFonts w:ascii="Aptos Narrow" w:eastAsia="Times New Roman" w:hAnsi="Aptos Narrow" w:cs="Times New Roman"/>
                <w:sz w:val="22"/>
                <w:szCs w:val="22"/>
              </w:rPr>
            </w:pPr>
            <w:r w:rsidRPr="00D130F4">
              <w:rPr>
                <w:rFonts w:ascii="Aptos Narrow" w:eastAsia="Times New Roman" w:hAnsi="Aptos Narrow" w:cs="Times New Roman"/>
                <w:sz w:val="22"/>
                <w:szCs w:val="22"/>
              </w:rPr>
              <w:t> </w:t>
            </w:r>
          </w:p>
        </w:tc>
        <w:tc>
          <w:tcPr>
            <w:tcW w:w="1227" w:type="dxa"/>
            <w:tcBorders>
              <w:top w:val="nil"/>
              <w:left w:val="nil"/>
              <w:bottom w:val="single" w:sz="4" w:space="0" w:color="auto"/>
              <w:right w:val="nil"/>
            </w:tcBorders>
            <w:vAlign w:val="bottom"/>
            <w:hideMark/>
          </w:tcPr>
          <w:p w14:paraId="6702BCBC" w14:textId="77777777" w:rsidR="008E3291" w:rsidRPr="00D130F4" w:rsidRDefault="008E3291" w:rsidP="0061738E">
            <w:pPr>
              <w:suppressAutoHyphens w:val="0"/>
              <w:spacing w:before="0" w:after="0" w:line="240" w:lineRule="auto"/>
              <w:rPr>
                <w:rFonts w:ascii="Aptos Narrow" w:eastAsia="Times New Roman" w:hAnsi="Aptos Narrow" w:cs="Times New Roman"/>
                <w:sz w:val="22"/>
                <w:szCs w:val="22"/>
              </w:rPr>
            </w:pPr>
            <w:r w:rsidRPr="00D130F4">
              <w:rPr>
                <w:rFonts w:ascii="Aptos Narrow" w:eastAsia="Times New Roman" w:hAnsi="Aptos Narrow" w:cs="Times New Roman"/>
                <w:sz w:val="22"/>
                <w:szCs w:val="22"/>
              </w:rPr>
              <w:t> </w:t>
            </w:r>
          </w:p>
        </w:tc>
        <w:tc>
          <w:tcPr>
            <w:tcW w:w="933" w:type="dxa"/>
            <w:tcBorders>
              <w:top w:val="nil"/>
              <w:left w:val="nil"/>
              <w:bottom w:val="single" w:sz="4" w:space="0" w:color="auto"/>
              <w:right w:val="nil"/>
            </w:tcBorders>
            <w:vAlign w:val="bottom"/>
            <w:hideMark/>
          </w:tcPr>
          <w:p w14:paraId="6F0F6D7B" w14:textId="77777777" w:rsidR="008E3291" w:rsidRPr="00D130F4" w:rsidRDefault="008E3291" w:rsidP="0061738E">
            <w:pPr>
              <w:suppressAutoHyphens w:val="0"/>
              <w:spacing w:before="0" w:after="0" w:line="240" w:lineRule="auto"/>
              <w:rPr>
                <w:rFonts w:ascii="Aptos Narrow" w:eastAsia="Times New Roman" w:hAnsi="Aptos Narrow" w:cs="Times New Roman"/>
                <w:sz w:val="22"/>
                <w:szCs w:val="22"/>
              </w:rPr>
            </w:pPr>
            <w:r w:rsidRPr="00D130F4">
              <w:rPr>
                <w:rFonts w:ascii="Aptos Narrow" w:eastAsia="Times New Roman" w:hAnsi="Aptos Narrow" w:cs="Times New Roman"/>
                <w:sz w:val="22"/>
                <w:szCs w:val="22"/>
              </w:rPr>
              <w:t> </w:t>
            </w:r>
          </w:p>
        </w:tc>
        <w:tc>
          <w:tcPr>
            <w:tcW w:w="720" w:type="dxa"/>
            <w:tcBorders>
              <w:top w:val="nil"/>
              <w:left w:val="nil"/>
              <w:bottom w:val="single" w:sz="4" w:space="0" w:color="auto"/>
              <w:right w:val="nil"/>
            </w:tcBorders>
            <w:vAlign w:val="bottom"/>
            <w:hideMark/>
          </w:tcPr>
          <w:p w14:paraId="3DE80B2F" w14:textId="77777777" w:rsidR="008E3291" w:rsidRPr="00D130F4" w:rsidRDefault="008E3291" w:rsidP="0061738E">
            <w:pPr>
              <w:suppressAutoHyphens w:val="0"/>
              <w:spacing w:before="0" w:after="0" w:line="240" w:lineRule="auto"/>
              <w:rPr>
                <w:rFonts w:ascii="Aptos Narrow" w:eastAsia="Times New Roman" w:hAnsi="Aptos Narrow" w:cs="Times New Roman"/>
                <w:sz w:val="22"/>
                <w:szCs w:val="22"/>
              </w:rPr>
            </w:pPr>
            <w:r w:rsidRPr="00D130F4">
              <w:rPr>
                <w:rFonts w:ascii="Aptos Narrow" w:eastAsia="Times New Roman" w:hAnsi="Aptos Narrow" w:cs="Times New Roman"/>
                <w:sz w:val="22"/>
                <w:szCs w:val="22"/>
              </w:rPr>
              <w:t> </w:t>
            </w:r>
          </w:p>
        </w:tc>
      </w:tr>
      <w:tr w:rsidR="008E3291" w:rsidRPr="00D130F4" w14:paraId="2ACA871E" w14:textId="77777777" w:rsidTr="007B4850">
        <w:trPr>
          <w:trHeight w:val="300"/>
        </w:trPr>
        <w:tc>
          <w:tcPr>
            <w:tcW w:w="1440" w:type="dxa"/>
            <w:tcBorders>
              <w:top w:val="single" w:sz="4" w:space="0" w:color="auto"/>
              <w:left w:val="single" w:sz="4" w:space="0" w:color="auto"/>
              <w:bottom w:val="single" w:sz="4" w:space="0" w:color="auto"/>
              <w:right w:val="single" w:sz="4" w:space="0" w:color="auto"/>
            </w:tcBorders>
            <w:shd w:val="clear" w:color="000000" w:fill="EBF1DE"/>
            <w:vAlign w:val="center"/>
            <w:hideMark/>
          </w:tcPr>
          <w:p w14:paraId="044F682B" w14:textId="77777777" w:rsidR="008E3291" w:rsidRPr="00D130F4" w:rsidRDefault="008E3291" w:rsidP="0061738E">
            <w:pPr>
              <w:suppressAutoHyphens w:val="0"/>
              <w:spacing w:before="0" w:after="0" w:line="240" w:lineRule="auto"/>
              <w:jc w:val="center"/>
              <w:rPr>
                <w:rFonts w:ascii="Calibri" w:eastAsia="Times New Roman" w:hAnsi="Calibri" w:cs="Calibri"/>
                <w:b/>
                <w:bCs/>
              </w:rPr>
            </w:pPr>
            <w:r w:rsidRPr="00D130F4">
              <w:rPr>
                <w:rFonts w:ascii="Calibri" w:eastAsia="Times New Roman" w:hAnsi="Calibri" w:cs="Calibri"/>
                <w:b/>
                <w:bCs/>
              </w:rPr>
              <w:t>Emri i Grupit</w:t>
            </w:r>
          </w:p>
        </w:tc>
        <w:tc>
          <w:tcPr>
            <w:tcW w:w="2629" w:type="dxa"/>
            <w:gridSpan w:val="2"/>
            <w:tcBorders>
              <w:top w:val="single" w:sz="4" w:space="0" w:color="auto"/>
              <w:left w:val="single" w:sz="4" w:space="0" w:color="auto"/>
              <w:bottom w:val="single" w:sz="4" w:space="0" w:color="auto"/>
              <w:right w:val="single" w:sz="4" w:space="0" w:color="auto"/>
            </w:tcBorders>
            <w:shd w:val="clear" w:color="000000" w:fill="EBF1DE"/>
            <w:vAlign w:val="center"/>
            <w:hideMark/>
          </w:tcPr>
          <w:p w14:paraId="755BEDD8" w14:textId="452A4B4A" w:rsidR="008E3291" w:rsidRPr="00D130F4" w:rsidRDefault="008E3291" w:rsidP="0061738E">
            <w:pPr>
              <w:suppressAutoHyphens w:val="0"/>
              <w:spacing w:before="0" w:after="0" w:line="240" w:lineRule="auto"/>
              <w:jc w:val="center"/>
              <w:rPr>
                <w:rFonts w:ascii="Calibri" w:eastAsia="Times New Roman" w:hAnsi="Calibri" w:cs="Calibri"/>
                <w:b/>
                <w:bCs/>
              </w:rPr>
            </w:pPr>
            <w:r w:rsidRPr="00D130F4">
              <w:rPr>
                <w:rFonts w:ascii="Calibri" w:eastAsia="Times New Roman" w:hAnsi="Calibri" w:cs="Calibri"/>
                <w:b/>
                <w:bCs/>
              </w:rPr>
              <w:t>Ministria e Shëndetësisë dhe M</w:t>
            </w:r>
            <w:r w:rsidR="004D1CF8">
              <w:rPr>
                <w:rFonts w:ascii="Calibri" w:eastAsia="Times New Roman" w:hAnsi="Calibri" w:cs="Calibri"/>
                <w:b/>
                <w:bCs/>
              </w:rPr>
              <w:t>ir</w:t>
            </w:r>
            <w:r w:rsidR="00BA4B59">
              <w:rPr>
                <w:rFonts w:ascii="Calibri" w:eastAsia="Times New Roman" w:hAnsi="Calibri" w:cs="Calibri"/>
                <w:b/>
                <w:bCs/>
              </w:rPr>
              <w:t>ëqenies</w:t>
            </w:r>
            <w:r w:rsidRPr="00D130F4">
              <w:rPr>
                <w:rFonts w:ascii="Calibri" w:eastAsia="Times New Roman" w:hAnsi="Calibri" w:cs="Calibri"/>
                <w:b/>
                <w:bCs/>
              </w:rPr>
              <w:t xml:space="preserve"> Sociale</w:t>
            </w:r>
          </w:p>
        </w:tc>
        <w:tc>
          <w:tcPr>
            <w:tcW w:w="1896" w:type="dxa"/>
            <w:gridSpan w:val="2"/>
            <w:tcBorders>
              <w:top w:val="single" w:sz="4" w:space="0" w:color="auto"/>
              <w:left w:val="single" w:sz="4" w:space="0" w:color="auto"/>
              <w:bottom w:val="single" w:sz="4" w:space="0" w:color="auto"/>
              <w:right w:val="single" w:sz="4" w:space="0" w:color="auto"/>
            </w:tcBorders>
            <w:shd w:val="clear" w:color="000000" w:fill="EBF1DE"/>
            <w:noWrap/>
            <w:vAlign w:val="center"/>
            <w:hideMark/>
          </w:tcPr>
          <w:p w14:paraId="62C06875" w14:textId="77777777" w:rsidR="008E3291" w:rsidRPr="00D130F4" w:rsidRDefault="008E3291" w:rsidP="0061738E">
            <w:pPr>
              <w:suppressAutoHyphens w:val="0"/>
              <w:spacing w:before="0" w:after="0" w:line="240" w:lineRule="auto"/>
              <w:jc w:val="center"/>
              <w:rPr>
                <w:rFonts w:ascii="Calibri" w:eastAsia="Times New Roman" w:hAnsi="Calibri" w:cs="Calibri"/>
                <w:b/>
                <w:bCs/>
              </w:rPr>
            </w:pPr>
            <w:r w:rsidRPr="00D130F4">
              <w:rPr>
                <w:rFonts w:ascii="Calibri" w:eastAsia="Times New Roman" w:hAnsi="Calibri" w:cs="Calibri"/>
                <w:b/>
                <w:bCs/>
              </w:rPr>
              <w:t>Kodi i Grupit</w:t>
            </w:r>
          </w:p>
        </w:tc>
        <w:tc>
          <w:tcPr>
            <w:tcW w:w="5198" w:type="dxa"/>
            <w:gridSpan w:val="5"/>
            <w:tcBorders>
              <w:top w:val="single" w:sz="4" w:space="0" w:color="auto"/>
              <w:left w:val="single" w:sz="4" w:space="0" w:color="auto"/>
              <w:bottom w:val="single" w:sz="4" w:space="0" w:color="auto"/>
              <w:right w:val="single" w:sz="4" w:space="0" w:color="auto"/>
            </w:tcBorders>
            <w:shd w:val="clear" w:color="000000" w:fill="EBF1DE"/>
            <w:noWrap/>
            <w:vAlign w:val="center"/>
            <w:hideMark/>
          </w:tcPr>
          <w:p w14:paraId="0A744D6A" w14:textId="77777777" w:rsidR="008E3291" w:rsidRPr="00D130F4" w:rsidRDefault="008E3291" w:rsidP="0061738E">
            <w:pPr>
              <w:suppressAutoHyphens w:val="0"/>
              <w:spacing w:before="0" w:after="0" w:line="240" w:lineRule="auto"/>
              <w:jc w:val="center"/>
              <w:rPr>
                <w:rFonts w:ascii="Calibri" w:eastAsia="Times New Roman" w:hAnsi="Calibri" w:cs="Calibri"/>
                <w:b/>
                <w:bCs/>
              </w:rPr>
            </w:pPr>
            <w:r w:rsidRPr="00D130F4">
              <w:rPr>
                <w:rFonts w:ascii="Calibri" w:eastAsia="Times New Roman" w:hAnsi="Calibri" w:cs="Calibri"/>
                <w:b/>
                <w:bCs/>
              </w:rPr>
              <w:t>13</w:t>
            </w:r>
          </w:p>
        </w:tc>
      </w:tr>
      <w:tr w:rsidR="008E3291" w:rsidRPr="00D130F4" w14:paraId="3539F320" w14:textId="77777777" w:rsidTr="007B4850">
        <w:trPr>
          <w:trHeight w:val="315"/>
        </w:trPr>
        <w:tc>
          <w:tcPr>
            <w:tcW w:w="1440" w:type="dxa"/>
            <w:tcBorders>
              <w:top w:val="single" w:sz="4" w:space="0" w:color="auto"/>
              <w:left w:val="single" w:sz="4" w:space="0" w:color="auto"/>
              <w:bottom w:val="single" w:sz="4" w:space="0" w:color="auto"/>
              <w:right w:val="single" w:sz="4" w:space="0" w:color="auto"/>
            </w:tcBorders>
            <w:shd w:val="clear" w:color="000000" w:fill="EBF1DE"/>
            <w:vAlign w:val="center"/>
            <w:hideMark/>
          </w:tcPr>
          <w:p w14:paraId="36AE58CC" w14:textId="77777777" w:rsidR="008E3291" w:rsidRPr="00D130F4" w:rsidRDefault="008E3291" w:rsidP="0061738E">
            <w:pPr>
              <w:suppressAutoHyphens w:val="0"/>
              <w:spacing w:before="0" w:after="0" w:line="240" w:lineRule="auto"/>
              <w:jc w:val="center"/>
              <w:rPr>
                <w:rFonts w:ascii="Calibri" w:eastAsia="Times New Roman" w:hAnsi="Calibri" w:cs="Calibri"/>
                <w:b/>
                <w:bCs/>
              </w:rPr>
            </w:pPr>
            <w:r w:rsidRPr="00D130F4">
              <w:rPr>
                <w:rFonts w:ascii="Calibri" w:eastAsia="Times New Roman" w:hAnsi="Calibri" w:cs="Calibri"/>
                <w:b/>
                <w:bCs/>
              </w:rPr>
              <w:t>Emri i Programit</w:t>
            </w:r>
          </w:p>
        </w:tc>
        <w:tc>
          <w:tcPr>
            <w:tcW w:w="2629" w:type="dxa"/>
            <w:gridSpan w:val="2"/>
            <w:tcBorders>
              <w:top w:val="single" w:sz="4" w:space="0" w:color="auto"/>
              <w:left w:val="single" w:sz="4" w:space="0" w:color="auto"/>
              <w:bottom w:val="single" w:sz="4" w:space="0" w:color="auto"/>
              <w:right w:val="single" w:sz="4" w:space="0" w:color="auto"/>
            </w:tcBorders>
            <w:shd w:val="clear" w:color="000000" w:fill="EBF1DE"/>
            <w:vAlign w:val="center"/>
            <w:hideMark/>
          </w:tcPr>
          <w:p w14:paraId="59916E36" w14:textId="77777777" w:rsidR="008E3291" w:rsidRPr="00D130F4" w:rsidRDefault="008E3291" w:rsidP="0061738E">
            <w:pPr>
              <w:suppressAutoHyphens w:val="0"/>
              <w:spacing w:before="0" w:after="0" w:line="240" w:lineRule="auto"/>
              <w:jc w:val="center"/>
              <w:rPr>
                <w:rFonts w:ascii="Calibri" w:eastAsia="Times New Roman" w:hAnsi="Calibri" w:cs="Calibri"/>
                <w:b/>
                <w:bCs/>
              </w:rPr>
            </w:pPr>
            <w:r w:rsidRPr="00D130F4">
              <w:rPr>
                <w:rFonts w:ascii="Calibri" w:eastAsia="Times New Roman" w:hAnsi="Calibri" w:cs="Calibri"/>
                <w:b/>
                <w:bCs/>
              </w:rPr>
              <w:t>Përkujdesja Sociale</w:t>
            </w:r>
          </w:p>
        </w:tc>
        <w:tc>
          <w:tcPr>
            <w:tcW w:w="1896" w:type="dxa"/>
            <w:gridSpan w:val="2"/>
            <w:tcBorders>
              <w:top w:val="single" w:sz="4" w:space="0" w:color="auto"/>
              <w:left w:val="single" w:sz="4" w:space="0" w:color="auto"/>
              <w:bottom w:val="single" w:sz="4" w:space="0" w:color="auto"/>
              <w:right w:val="single" w:sz="4" w:space="0" w:color="auto"/>
            </w:tcBorders>
            <w:shd w:val="clear" w:color="000000" w:fill="EBF1DE"/>
            <w:noWrap/>
            <w:vAlign w:val="center"/>
            <w:hideMark/>
          </w:tcPr>
          <w:p w14:paraId="3B3E013B" w14:textId="77777777" w:rsidR="008E3291" w:rsidRPr="00D130F4" w:rsidRDefault="008E3291" w:rsidP="0061738E">
            <w:pPr>
              <w:suppressAutoHyphens w:val="0"/>
              <w:spacing w:before="0" w:after="0" w:line="240" w:lineRule="auto"/>
              <w:jc w:val="center"/>
              <w:rPr>
                <w:rFonts w:ascii="Calibri" w:eastAsia="Times New Roman" w:hAnsi="Calibri" w:cs="Calibri"/>
                <w:b/>
                <w:bCs/>
              </w:rPr>
            </w:pPr>
            <w:r w:rsidRPr="00D130F4">
              <w:rPr>
                <w:rFonts w:ascii="Calibri" w:eastAsia="Times New Roman" w:hAnsi="Calibri" w:cs="Calibri"/>
                <w:b/>
                <w:bCs/>
              </w:rPr>
              <w:t>Kodi i Programit</w:t>
            </w:r>
          </w:p>
        </w:tc>
        <w:tc>
          <w:tcPr>
            <w:tcW w:w="5198" w:type="dxa"/>
            <w:gridSpan w:val="5"/>
            <w:tcBorders>
              <w:top w:val="single" w:sz="4" w:space="0" w:color="auto"/>
              <w:left w:val="single" w:sz="4" w:space="0" w:color="auto"/>
              <w:bottom w:val="single" w:sz="4" w:space="0" w:color="auto"/>
              <w:right w:val="single" w:sz="4" w:space="0" w:color="auto"/>
            </w:tcBorders>
            <w:shd w:val="clear" w:color="000000" w:fill="EBF1DE"/>
            <w:noWrap/>
            <w:vAlign w:val="center"/>
            <w:hideMark/>
          </w:tcPr>
          <w:p w14:paraId="54C218B0" w14:textId="77777777" w:rsidR="008E3291" w:rsidRPr="00D130F4" w:rsidRDefault="008E3291" w:rsidP="0061738E">
            <w:pPr>
              <w:suppressAutoHyphens w:val="0"/>
              <w:spacing w:before="0" w:after="0" w:line="240" w:lineRule="auto"/>
              <w:jc w:val="center"/>
              <w:rPr>
                <w:rFonts w:ascii="Calibri" w:eastAsia="Times New Roman" w:hAnsi="Calibri" w:cs="Calibri"/>
                <w:b/>
                <w:bCs/>
              </w:rPr>
            </w:pPr>
            <w:r w:rsidRPr="00D130F4">
              <w:rPr>
                <w:rFonts w:ascii="Calibri" w:eastAsia="Times New Roman" w:hAnsi="Calibri" w:cs="Calibri"/>
                <w:b/>
                <w:bCs/>
              </w:rPr>
              <w:t>10430</w:t>
            </w:r>
          </w:p>
        </w:tc>
      </w:tr>
      <w:tr w:rsidR="008E3291" w:rsidRPr="00D130F4" w14:paraId="7B951022" w14:textId="77777777" w:rsidTr="007B4850">
        <w:trPr>
          <w:trHeight w:val="1035"/>
        </w:trPr>
        <w:tc>
          <w:tcPr>
            <w:tcW w:w="1440" w:type="dxa"/>
            <w:tcBorders>
              <w:top w:val="single" w:sz="4" w:space="0" w:color="auto"/>
              <w:left w:val="single" w:sz="4" w:space="0" w:color="auto"/>
              <w:bottom w:val="single" w:sz="4" w:space="0" w:color="auto"/>
              <w:right w:val="single" w:sz="4" w:space="0" w:color="auto"/>
            </w:tcBorders>
            <w:vAlign w:val="center"/>
            <w:hideMark/>
          </w:tcPr>
          <w:p w14:paraId="0B30EEA4" w14:textId="6B254DCB" w:rsidR="008E3291" w:rsidRPr="00D130F4" w:rsidRDefault="008E3291" w:rsidP="0061738E">
            <w:pPr>
              <w:suppressAutoHyphens w:val="0"/>
              <w:spacing w:before="0" w:after="0" w:line="240" w:lineRule="auto"/>
              <w:jc w:val="center"/>
              <w:rPr>
                <w:rFonts w:ascii="Calibri" w:eastAsia="Times New Roman" w:hAnsi="Calibri" w:cs="Calibri"/>
                <w:b/>
                <w:bCs/>
                <w:color w:val="000000"/>
                <w:sz w:val="26"/>
                <w:szCs w:val="26"/>
              </w:rPr>
            </w:pPr>
            <w:r w:rsidRPr="00D130F4">
              <w:rPr>
                <w:rFonts w:ascii="Calibri" w:eastAsia="Times New Roman" w:hAnsi="Calibri" w:cs="Calibri"/>
                <w:b/>
                <w:bCs/>
                <w:color w:val="000000"/>
                <w:sz w:val="26"/>
                <w:szCs w:val="26"/>
              </w:rPr>
              <w:t>Qëllimi i politikës së programit</w:t>
            </w:r>
          </w:p>
        </w:tc>
        <w:tc>
          <w:tcPr>
            <w:tcW w:w="9723" w:type="dxa"/>
            <w:gridSpan w:val="9"/>
            <w:tcBorders>
              <w:top w:val="single" w:sz="4" w:space="0" w:color="auto"/>
              <w:left w:val="single" w:sz="4" w:space="0" w:color="auto"/>
              <w:bottom w:val="single" w:sz="4" w:space="0" w:color="auto"/>
              <w:right w:val="single" w:sz="4" w:space="0" w:color="auto"/>
            </w:tcBorders>
            <w:vAlign w:val="center"/>
            <w:hideMark/>
          </w:tcPr>
          <w:p w14:paraId="6F3FBF26" w14:textId="77777777" w:rsidR="008E3291" w:rsidRPr="00D130F4" w:rsidRDefault="008E3291" w:rsidP="0061738E">
            <w:pPr>
              <w:suppressAutoHyphens w:val="0"/>
              <w:spacing w:before="0" w:after="0" w:line="240" w:lineRule="auto"/>
              <w:ind w:left="-44"/>
              <w:rPr>
                <w:rFonts w:ascii="Calibri" w:eastAsia="Times New Roman" w:hAnsi="Calibri" w:cs="Calibri"/>
                <w:b/>
                <w:bCs/>
                <w:color w:val="000000"/>
                <w:sz w:val="18"/>
                <w:szCs w:val="18"/>
              </w:rPr>
            </w:pPr>
            <w:r w:rsidRPr="00D130F4">
              <w:rPr>
                <w:rFonts w:ascii="Calibri" w:eastAsia="Times New Roman" w:hAnsi="Calibri" w:cs="Calibri"/>
                <w:color w:val="000000"/>
                <w:sz w:val="18"/>
                <w:szCs w:val="18"/>
              </w:rPr>
              <w:t xml:space="preserve"> </w:t>
            </w:r>
            <w:r w:rsidRPr="00D130F4">
              <w:rPr>
                <w:rFonts w:ascii="Calibri" w:eastAsia="Times New Roman" w:hAnsi="Calibri" w:cs="Calibri"/>
                <w:b/>
                <w:bCs/>
                <w:color w:val="000000"/>
                <w:sz w:val="18"/>
                <w:szCs w:val="18"/>
              </w:rPr>
              <w:t>Ndë</w:t>
            </w:r>
            <w:r w:rsidRPr="002E6972">
              <w:rPr>
                <w:rFonts w:ascii="Calibri" w:eastAsia="Times New Roman" w:hAnsi="Calibri" w:cs="Calibri"/>
                <w:b/>
                <w:bCs/>
                <w:color w:val="000000"/>
                <w:sz w:val="18"/>
                <w:szCs w:val="18"/>
              </w:rPr>
              <w:t>r</w:t>
            </w:r>
            <w:r w:rsidRPr="00D130F4">
              <w:rPr>
                <w:rFonts w:ascii="Calibri" w:eastAsia="Times New Roman" w:hAnsi="Calibri" w:cs="Calibri"/>
                <w:b/>
                <w:bCs/>
                <w:color w:val="000000"/>
                <w:sz w:val="18"/>
                <w:szCs w:val="18"/>
              </w:rPr>
              <w:t>timi i n</w:t>
            </w:r>
            <w:r w:rsidRPr="002E6972">
              <w:rPr>
                <w:rFonts w:ascii="Calibri" w:eastAsia="Times New Roman" w:hAnsi="Calibri" w:cs="Calibri"/>
                <w:b/>
                <w:bCs/>
                <w:color w:val="000000"/>
                <w:sz w:val="18"/>
                <w:szCs w:val="18"/>
              </w:rPr>
              <w:t>j</w:t>
            </w:r>
            <w:r w:rsidRPr="00D130F4">
              <w:rPr>
                <w:rFonts w:ascii="Calibri" w:eastAsia="Times New Roman" w:hAnsi="Calibri" w:cs="Calibri"/>
                <w:b/>
                <w:bCs/>
                <w:color w:val="000000"/>
                <w:sz w:val="18"/>
                <w:szCs w:val="18"/>
              </w:rPr>
              <w:t>ë sistemi mbrojtje sociale nëpërmjet politikave dhe mekanizmave për të mbrojtuir individët ne nevojë.</w:t>
            </w:r>
          </w:p>
        </w:tc>
      </w:tr>
      <w:tr w:rsidR="008E3291" w:rsidRPr="00D130F4" w14:paraId="27558B1D" w14:textId="77777777" w:rsidTr="007B4850">
        <w:trPr>
          <w:trHeight w:val="345"/>
        </w:trPr>
        <w:tc>
          <w:tcPr>
            <w:tcW w:w="3330" w:type="dxa"/>
            <w:gridSpan w:val="2"/>
            <w:tcBorders>
              <w:top w:val="single" w:sz="4" w:space="0" w:color="auto"/>
              <w:left w:val="single" w:sz="4" w:space="0" w:color="auto"/>
              <w:bottom w:val="single" w:sz="4" w:space="0" w:color="auto"/>
              <w:right w:val="single" w:sz="4" w:space="0" w:color="auto"/>
            </w:tcBorders>
            <w:noWrap/>
            <w:vAlign w:val="center"/>
            <w:hideMark/>
          </w:tcPr>
          <w:p w14:paraId="2098E7F5" w14:textId="77777777" w:rsidR="008E3291" w:rsidRPr="00D130F4" w:rsidRDefault="008E3291" w:rsidP="0061738E">
            <w:pPr>
              <w:suppressAutoHyphens w:val="0"/>
              <w:spacing w:before="0" w:after="0" w:line="240" w:lineRule="auto"/>
              <w:jc w:val="center"/>
              <w:rPr>
                <w:rFonts w:ascii="Calibri" w:eastAsia="Times New Roman" w:hAnsi="Calibri" w:cs="Calibri"/>
                <w:b/>
                <w:bCs/>
                <w:color w:val="000000"/>
                <w:sz w:val="26"/>
                <w:szCs w:val="26"/>
              </w:rPr>
            </w:pPr>
            <w:r w:rsidRPr="00D130F4">
              <w:rPr>
                <w:rFonts w:ascii="Calibri" w:eastAsia="Times New Roman" w:hAnsi="Calibri" w:cs="Calibri"/>
                <w:b/>
                <w:bCs/>
                <w:color w:val="000000"/>
                <w:sz w:val="26"/>
                <w:szCs w:val="26"/>
              </w:rPr>
              <w:t xml:space="preserve">Treguesit e performancës </w:t>
            </w:r>
          </w:p>
        </w:tc>
        <w:tc>
          <w:tcPr>
            <w:tcW w:w="7833" w:type="dxa"/>
            <w:gridSpan w:val="8"/>
            <w:tcBorders>
              <w:top w:val="single" w:sz="4" w:space="0" w:color="auto"/>
              <w:left w:val="single" w:sz="4" w:space="0" w:color="auto"/>
              <w:bottom w:val="single" w:sz="4" w:space="0" w:color="auto"/>
              <w:right w:val="single" w:sz="4" w:space="0" w:color="auto"/>
            </w:tcBorders>
            <w:noWrap/>
            <w:vAlign w:val="center"/>
            <w:hideMark/>
          </w:tcPr>
          <w:p w14:paraId="2507625F" w14:textId="77777777" w:rsidR="008E3291" w:rsidRPr="00D130F4" w:rsidRDefault="008E3291" w:rsidP="0061738E">
            <w:pPr>
              <w:suppressAutoHyphens w:val="0"/>
              <w:spacing w:before="0" w:after="0" w:line="240" w:lineRule="auto"/>
              <w:jc w:val="center"/>
              <w:rPr>
                <w:rFonts w:ascii="Calibri" w:eastAsia="Times New Roman" w:hAnsi="Calibri" w:cs="Calibri"/>
                <w:b/>
                <w:bCs/>
                <w:color w:val="000000"/>
                <w:sz w:val="26"/>
                <w:szCs w:val="26"/>
              </w:rPr>
            </w:pPr>
          </w:p>
        </w:tc>
      </w:tr>
      <w:tr w:rsidR="008E3291" w:rsidRPr="00D130F4" w14:paraId="567BF735" w14:textId="77777777" w:rsidTr="007B4850">
        <w:trPr>
          <w:trHeight w:val="720"/>
        </w:trPr>
        <w:tc>
          <w:tcPr>
            <w:tcW w:w="1440" w:type="dxa"/>
            <w:tcBorders>
              <w:top w:val="single" w:sz="4" w:space="0" w:color="auto"/>
              <w:left w:val="single" w:sz="4" w:space="0" w:color="auto"/>
              <w:bottom w:val="single" w:sz="4" w:space="0" w:color="auto"/>
              <w:right w:val="single" w:sz="4" w:space="0" w:color="auto"/>
            </w:tcBorders>
            <w:vAlign w:val="center"/>
            <w:hideMark/>
          </w:tcPr>
          <w:p w14:paraId="17C69EA5" w14:textId="77777777" w:rsidR="008E3291" w:rsidRPr="00D130F4" w:rsidRDefault="008E3291" w:rsidP="0061738E">
            <w:pPr>
              <w:suppressAutoHyphens w:val="0"/>
              <w:spacing w:before="0" w:after="0" w:line="240" w:lineRule="auto"/>
              <w:jc w:val="center"/>
              <w:rPr>
                <w:rFonts w:ascii="Calibri" w:eastAsia="Times New Roman" w:hAnsi="Calibri" w:cs="Calibri"/>
                <w:b/>
                <w:bCs/>
                <w:color w:val="000000"/>
                <w:sz w:val="16"/>
                <w:szCs w:val="16"/>
              </w:rPr>
            </w:pPr>
            <w:r w:rsidRPr="00D130F4">
              <w:rPr>
                <w:rFonts w:ascii="Calibri" w:eastAsia="Times New Roman" w:hAnsi="Calibri" w:cs="Calibri"/>
                <w:b/>
                <w:bCs/>
                <w:color w:val="000000"/>
                <w:sz w:val="16"/>
                <w:szCs w:val="16"/>
              </w:rPr>
              <w:t xml:space="preserve">Kodi i treguesit </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39C0E1E1" w14:textId="77777777" w:rsidR="008E3291" w:rsidRPr="00D130F4" w:rsidRDefault="008E3291" w:rsidP="0061738E">
            <w:pPr>
              <w:suppressAutoHyphens w:val="0"/>
              <w:spacing w:before="0" w:after="0" w:line="240" w:lineRule="auto"/>
              <w:jc w:val="center"/>
              <w:rPr>
                <w:rFonts w:ascii="Calibri" w:eastAsia="Times New Roman" w:hAnsi="Calibri" w:cs="Calibri"/>
                <w:b/>
                <w:bCs/>
                <w:color w:val="000000"/>
                <w:sz w:val="16"/>
                <w:szCs w:val="16"/>
              </w:rPr>
            </w:pPr>
            <w:r w:rsidRPr="00D130F4">
              <w:rPr>
                <w:rFonts w:ascii="Calibri" w:eastAsia="Times New Roman" w:hAnsi="Calibri" w:cs="Calibri"/>
                <w:b/>
                <w:bCs/>
                <w:color w:val="000000"/>
                <w:sz w:val="16"/>
                <w:szCs w:val="16"/>
              </w:rPr>
              <w:t xml:space="preserve">Emërtimi i treguesit </w:t>
            </w:r>
          </w:p>
        </w:tc>
        <w:tc>
          <w:tcPr>
            <w:tcW w:w="739" w:type="dxa"/>
            <w:tcBorders>
              <w:top w:val="single" w:sz="4" w:space="0" w:color="auto"/>
              <w:left w:val="single" w:sz="4" w:space="0" w:color="auto"/>
              <w:bottom w:val="single" w:sz="4" w:space="0" w:color="auto"/>
              <w:right w:val="single" w:sz="4" w:space="0" w:color="auto"/>
            </w:tcBorders>
            <w:vAlign w:val="center"/>
            <w:hideMark/>
          </w:tcPr>
          <w:p w14:paraId="37A64895" w14:textId="77777777" w:rsidR="008E3291" w:rsidRPr="00D130F4" w:rsidRDefault="008E3291" w:rsidP="0061738E">
            <w:pPr>
              <w:suppressAutoHyphens w:val="0"/>
              <w:spacing w:before="0" w:after="0" w:line="240" w:lineRule="auto"/>
              <w:jc w:val="center"/>
              <w:rPr>
                <w:rFonts w:ascii="Calibri" w:eastAsia="Times New Roman" w:hAnsi="Calibri" w:cs="Calibri"/>
                <w:b/>
                <w:bCs/>
                <w:color w:val="000000"/>
                <w:sz w:val="16"/>
                <w:szCs w:val="16"/>
              </w:rPr>
            </w:pPr>
            <w:r w:rsidRPr="00D130F4">
              <w:rPr>
                <w:rFonts w:ascii="Calibri" w:eastAsia="Times New Roman" w:hAnsi="Calibri" w:cs="Calibri"/>
                <w:b/>
                <w:bCs/>
                <w:color w:val="000000"/>
                <w:sz w:val="16"/>
                <w:szCs w:val="16"/>
              </w:rPr>
              <w:t xml:space="preserve">Tregues me bazë </w:t>
            </w:r>
            <w:r w:rsidRPr="00D130F4">
              <w:rPr>
                <w:rFonts w:ascii="Calibri" w:eastAsia="Times New Roman" w:hAnsi="Calibri" w:cs="Calibri"/>
                <w:b/>
                <w:bCs/>
                <w:color w:val="000000"/>
                <w:sz w:val="16"/>
                <w:szCs w:val="16"/>
              </w:rPr>
              <w:br/>
              <w:t xml:space="preserve"> gjinore </w:t>
            </w:r>
            <w:r w:rsidRPr="00D130F4">
              <w:rPr>
                <w:rFonts w:ascii="Calibri" w:eastAsia="Times New Roman" w:hAnsi="Calibri" w:cs="Calibri"/>
                <w:b/>
                <w:bCs/>
                <w:color w:val="000000"/>
                <w:sz w:val="16"/>
                <w:szCs w:val="16"/>
              </w:rPr>
              <w:br/>
              <w:t>( PO )</w:t>
            </w:r>
          </w:p>
        </w:tc>
        <w:tc>
          <w:tcPr>
            <w:tcW w:w="791" w:type="dxa"/>
            <w:tcBorders>
              <w:top w:val="single" w:sz="4" w:space="0" w:color="auto"/>
              <w:left w:val="single" w:sz="4" w:space="0" w:color="auto"/>
              <w:bottom w:val="single" w:sz="4" w:space="0" w:color="auto"/>
              <w:right w:val="single" w:sz="4" w:space="0" w:color="auto"/>
            </w:tcBorders>
            <w:vAlign w:val="center"/>
            <w:hideMark/>
          </w:tcPr>
          <w:p w14:paraId="013B5FCA" w14:textId="77777777" w:rsidR="008E3291" w:rsidRPr="00D130F4" w:rsidRDefault="008E3291" w:rsidP="0061738E">
            <w:pPr>
              <w:suppressAutoHyphens w:val="0"/>
              <w:spacing w:before="0" w:after="0" w:line="240" w:lineRule="auto"/>
              <w:jc w:val="center"/>
              <w:rPr>
                <w:rFonts w:ascii="Calibri" w:eastAsia="Times New Roman" w:hAnsi="Calibri" w:cs="Calibri"/>
                <w:b/>
                <w:bCs/>
                <w:color w:val="000000"/>
                <w:sz w:val="16"/>
                <w:szCs w:val="16"/>
              </w:rPr>
            </w:pPr>
            <w:r w:rsidRPr="00D130F4">
              <w:rPr>
                <w:rFonts w:ascii="Calibri" w:eastAsia="Times New Roman" w:hAnsi="Calibri" w:cs="Calibri"/>
                <w:b/>
                <w:bCs/>
                <w:color w:val="000000"/>
                <w:sz w:val="16"/>
                <w:szCs w:val="16"/>
              </w:rPr>
              <w:t>Njësia mat</w:t>
            </w:r>
            <w:r>
              <w:rPr>
                <w:rFonts w:ascii="Calibri" w:eastAsia="Times New Roman" w:hAnsi="Calibri" w:cs="Calibri"/>
                <w:b/>
                <w:bCs/>
                <w:color w:val="000000"/>
                <w:sz w:val="16"/>
                <w:szCs w:val="16"/>
              </w:rPr>
              <w:t>ë</w:t>
            </w:r>
            <w:r w:rsidRPr="00D130F4">
              <w:rPr>
                <w:rFonts w:ascii="Calibri" w:eastAsia="Times New Roman" w:hAnsi="Calibri" w:cs="Calibri"/>
                <w:b/>
                <w:bCs/>
                <w:color w:val="000000"/>
                <w:sz w:val="16"/>
                <w:szCs w:val="16"/>
              </w:rPr>
              <w:t>se</w:t>
            </w:r>
          </w:p>
        </w:tc>
        <w:tc>
          <w:tcPr>
            <w:tcW w:w="1105" w:type="dxa"/>
            <w:tcBorders>
              <w:top w:val="single" w:sz="4" w:space="0" w:color="auto"/>
              <w:left w:val="single" w:sz="4" w:space="0" w:color="auto"/>
              <w:bottom w:val="single" w:sz="4" w:space="0" w:color="auto"/>
              <w:right w:val="single" w:sz="4" w:space="0" w:color="auto"/>
            </w:tcBorders>
            <w:vAlign w:val="center"/>
            <w:hideMark/>
          </w:tcPr>
          <w:p w14:paraId="5DD66BD3" w14:textId="77777777" w:rsidR="008E3291" w:rsidRPr="00D130F4" w:rsidRDefault="008E3291" w:rsidP="0061738E">
            <w:pPr>
              <w:suppressAutoHyphens w:val="0"/>
              <w:spacing w:before="0" w:after="0" w:line="240" w:lineRule="auto"/>
              <w:jc w:val="center"/>
              <w:rPr>
                <w:rFonts w:ascii="Calibri" w:eastAsia="Times New Roman" w:hAnsi="Calibri" w:cs="Calibri"/>
                <w:b/>
                <w:bCs/>
                <w:color w:val="000000"/>
                <w:sz w:val="16"/>
                <w:szCs w:val="16"/>
              </w:rPr>
            </w:pPr>
            <w:r w:rsidRPr="00D130F4">
              <w:rPr>
                <w:rFonts w:ascii="Calibri" w:eastAsia="Times New Roman" w:hAnsi="Calibri" w:cs="Calibri"/>
                <w:b/>
                <w:bCs/>
                <w:color w:val="000000"/>
                <w:sz w:val="16"/>
                <w:szCs w:val="16"/>
              </w:rPr>
              <w:t>Fakti i Vitit</w:t>
            </w:r>
            <w:r w:rsidRPr="00D130F4">
              <w:rPr>
                <w:rFonts w:ascii="Calibri" w:eastAsia="Times New Roman" w:hAnsi="Calibri" w:cs="Calibri"/>
                <w:b/>
                <w:bCs/>
                <w:color w:val="000000"/>
                <w:sz w:val="16"/>
                <w:szCs w:val="16"/>
              </w:rPr>
              <w:br/>
              <w:t xml:space="preserve">Paraardhës  </w:t>
            </w:r>
          </w:p>
        </w:tc>
        <w:tc>
          <w:tcPr>
            <w:tcW w:w="1148" w:type="dxa"/>
            <w:tcBorders>
              <w:top w:val="single" w:sz="4" w:space="0" w:color="auto"/>
              <w:left w:val="single" w:sz="4" w:space="0" w:color="auto"/>
              <w:bottom w:val="single" w:sz="4" w:space="0" w:color="auto"/>
              <w:right w:val="single" w:sz="4" w:space="0" w:color="auto"/>
            </w:tcBorders>
            <w:vAlign w:val="center"/>
            <w:hideMark/>
          </w:tcPr>
          <w:p w14:paraId="05F35446" w14:textId="77777777" w:rsidR="008E3291" w:rsidRPr="00D130F4" w:rsidRDefault="008E3291" w:rsidP="0061738E">
            <w:pPr>
              <w:suppressAutoHyphens w:val="0"/>
              <w:spacing w:before="0" w:after="0" w:line="240" w:lineRule="auto"/>
              <w:jc w:val="center"/>
              <w:rPr>
                <w:rFonts w:ascii="Calibri" w:eastAsia="Times New Roman" w:hAnsi="Calibri" w:cs="Calibri"/>
                <w:b/>
                <w:bCs/>
                <w:color w:val="000000"/>
                <w:sz w:val="16"/>
                <w:szCs w:val="16"/>
              </w:rPr>
            </w:pPr>
            <w:r w:rsidRPr="00D130F4">
              <w:rPr>
                <w:rFonts w:ascii="Calibri" w:eastAsia="Times New Roman" w:hAnsi="Calibri" w:cs="Calibri"/>
                <w:b/>
                <w:bCs/>
                <w:color w:val="000000"/>
                <w:sz w:val="16"/>
                <w:szCs w:val="16"/>
              </w:rPr>
              <w:t xml:space="preserve">Buxheti Vjetor </w:t>
            </w:r>
            <w:r w:rsidRPr="00D130F4">
              <w:rPr>
                <w:rFonts w:ascii="Calibri" w:eastAsia="Times New Roman" w:hAnsi="Calibri" w:cs="Calibri"/>
                <w:b/>
                <w:bCs/>
                <w:color w:val="000000"/>
                <w:sz w:val="16"/>
                <w:szCs w:val="16"/>
              </w:rPr>
              <w:br/>
              <w:t xml:space="preserve">Plan Fillestar </w:t>
            </w:r>
            <w:r w:rsidRPr="00D130F4">
              <w:rPr>
                <w:rFonts w:ascii="Calibri" w:eastAsia="Times New Roman" w:hAnsi="Calibri" w:cs="Calibri"/>
                <w:b/>
                <w:bCs/>
                <w:color w:val="000000"/>
                <w:sz w:val="16"/>
                <w:szCs w:val="16"/>
              </w:rPr>
              <w:br/>
              <w:t>Viti 2025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2F4BF78" w14:textId="77777777" w:rsidR="008E3291" w:rsidRPr="00D130F4" w:rsidRDefault="008E3291" w:rsidP="0061738E">
            <w:pPr>
              <w:suppressAutoHyphens w:val="0"/>
              <w:spacing w:before="0" w:after="0" w:line="240" w:lineRule="auto"/>
              <w:jc w:val="center"/>
              <w:rPr>
                <w:rFonts w:ascii="Calibri" w:eastAsia="Times New Roman" w:hAnsi="Calibri" w:cs="Calibri"/>
                <w:b/>
                <w:bCs/>
                <w:color w:val="000000"/>
                <w:sz w:val="16"/>
                <w:szCs w:val="16"/>
              </w:rPr>
            </w:pPr>
            <w:r w:rsidRPr="00D130F4">
              <w:rPr>
                <w:rFonts w:ascii="Calibri" w:eastAsia="Times New Roman" w:hAnsi="Calibri" w:cs="Calibri"/>
                <w:b/>
                <w:bCs/>
                <w:color w:val="000000"/>
                <w:sz w:val="16"/>
                <w:szCs w:val="16"/>
              </w:rPr>
              <w:t xml:space="preserve">Buxheti Vjetor </w:t>
            </w:r>
            <w:r w:rsidRPr="00D130F4">
              <w:rPr>
                <w:rFonts w:ascii="Calibri" w:eastAsia="Times New Roman" w:hAnsi="Calibri" w:cs="Calibri"/>
                <w:b/>
                <w:bCs/>
                <w:color w:val="000000"/>
                <w:sz w:val="16"/>
                <w:szCs w:val="16"/>
              </w:rPr>
              <w:br/>
              <w:t xml:space="preserve">Plan i Rishikuar </w:t>
            </w:r>
            <w:r w:rsidRPr="00D130F4">
              <w:rPr>
                <w:rFonts w:ascii="Calibri" w:eastAsia="Times New Roman" w:hAnsi="Calibri" w:cs="Calibri"/>
                <w:b/>
                <w:bCs/>
                <w:color w:val="000000"/>
                <w:sz w:val="16"/>
                <w:szCs w:val="16"/>
              </w:rPr>
              <w:br/>
              <w:t>Viti 2025</w:t>
            </w:r>
          </w:p>
        </w:tc>
        <w:tc>
          <w:tcPr>
            <w:tcW w:w="1227" w:type="dxa"/>
            <w:tcBorders>
              <w:top w:val="single" w:sz="4" w:space="0" w:color="auto"/>
              <w:left w:val="single" w:sz="4" w:space="0" w:color="auto"/>
              <w:bottom w:val="single" w:sz="4" w:space="0" w:color="auto"/>
              <w:right w:val="single" w:sz="4" w:space="0" w:color="auto"/>
            </w:tcBorders>
            <w:vAlign w:val="center"/>
            <w:hideMark/>
          </w:tcPr>
          <w:p w14:paraId="626247B7" w14:textId="77777777" w:rsidR="008E3291" w:rsidRPr="00D130F4" w:rsidRDefault="008E3291" w:rsidP="0061738E">
            <w:pPr>
              <w:suppressAutoHyphens w:val="0"/>
              <w:spacing w:before="0" w:after="0" w:line="240" w:lineRule="auto"/>
              <w:jc w:val="center"/>
              <w:rPr>
                <w:rFonts w:ascii="Calibri" w:eastAsia="Times New Roman" w:hAnsi="Calibri" w:cs="Calibri"/>
                <w:b/>
                <w:bCs/>
                <w:color w:val="000000"/>
                <w:sz w:val="16"/>
                <w:szCs w:val="16"/>
              </w:rPr>
            </w:pPr>
            <w:r w:rsidRPr="00D130F4">
              <w:rPr>
                <w:rFonts w:ascii="Calibri" w:eastAsia="Times New Roman" w:hAnsi="Calibri" w:cs="Calibri"/>
                <w:b/>
                <w:bCs/>
                <w:color w:val="000000"/>
                <w:sz w:val="16"/>
                <w:szCs w:val="16"/>
              </w:rPr>
              <w:t xml:space="preserve">Fakti </w:t>
            </w:r>
            <w:r w:rsidRPr="00D130F4">
              <w:rPr>
                <w:rFonts w:ascii="Calibri" w:eastAsia="Times New Roman" w:hAnsi="Calibri" w:cs="Calibri"/>
                <w:b/>
                <w:bCs/>
                <w:color w:val="000000"/>
                <w:sz w:val="16"/>
                <w:szCs w:val="16"/>
              </w:rPr>
              <w:br/>
              <w:t xml:space="preserve">i </w:t>
            </w:r>
            <w:r w:rsidRPr="00D130F4">
              <w:rPr>
                <w:rFonts w:ascii="Calibri" w:eastAsia="Times New Roman" w:hAnsi="Calibri" w:cs="Calibri"/>
                <w:b/>
                <w:bCs/>
                <w:color w:val="000000"/>
                <w:sz w:val="16"/>
                <w:szCs w:val="16"/>
              </w:rPr>
              <w:br/>
              <w:t>Periudhës/progresive</w:t>
            </w:r>
          </w:p>
        </w:tc>
        <w:tc>
          <w:tcPr>
            <w:tcW w:w="933" w:type="dxa"/>
            <w:tcBorders>
              <w:top w:val="single" w:sz="4" w:space="0" w:color="auto"/>
              <w:left w:val="single" w:sz="4" w:space="0" w:color="auto"/>
              <w:bottom w:val="single" w:sz="4" w:space="0" w:color="auto"/>
              <w:right w:val="single" w:sz="4" w:space="0" w:color="auto"/>
            </w:tcBorders>
            <w:vAlign w:val="center"/>
            <w:hideMark/>
          </w:tcPr>
          <w:p w14:paraId="6F66319C" w14:textId="77777777" w:rsidR="008E3291" w:rsidRPr="00D130F4" w:rsidRDefault="008E3291" w:rsidP="0061738E">
            <w:pPr>
              <w:suppressAutoHyphens w:val="0"/>
              <w:spacing w:before="0" w:after="0" w:line="240" w:lineRule="auto"/>
              <w:jc w:val="center"/>
              <w:rPr>
                <w:rFonts w:ascii="Calibri" w:eastAsia="Times New Roman" w:hAnsi="Calibri" w:cs="Calibri"/>
                <w:b/>
                <w:bCs/>
                <w:color w:val="000000"/>
                <w:sz w:val="16"/>
                <w:szCs w:val="16"/>
              </w:rPr>
            </w:pPr>
            <w:r w:rsidRPr="00D130F4">
              <w:rPr>
                <w:rFonts w:ascii="Calibri" w:eastAsia="Times New Roman" w:hAnsi="Calibri" w:cs="Calibri"/>
                <w:b/>
                <w:bCs/>
                <w:color w:val="000000"/>
                <w:sz w:val="16"/>
                <w:szCs w:val="16"/>
              </w:rPr>
              <w:t xml:space="preserve">Ndryshimi </w:t>
            </w:r>
            <w:r w:rsidRPr="00D130F4">
              <w:rPr>
                <w:rFonts w:ascii="Calibri" w:eastAsia="Times New Roman" w:hAnsi="Calibri" w:cs="Calibri"/>
                <w:b/>
                <w:bCs/>
                <w:color w:val="000000"/>
                <w:sz w:val="16"/>
                <w:szCs w:val="16"/>
              </w:rPr>
              <w:br/>
              <w:t>(Plan - Fakt)</w:t>
            </w:r>
          </w:p>
        </w:tc>
        <w:tc>
          <w:tcPr>
            <w:tcW w:w="720" w:type="dxa"/>
            <w:tcBorders>
              <w:top w:val="nil"/>
              <w:left w:val="single" w:sz="4" w:space="0" w:color="auto"/>
              <w:bottom w:val="single" w:sz="4" w:space="0" w:color="auto"/>
              <w:right w:val="single" w:sz="8" w:space="0" w:color="000000"/>
            </w:tcBorders>
            <w:noWrap/>
            <w:vAlign w:val="center"/>
            <w:hideMark/>
          </w:tcPr>
          <w:p w14:paraId="3E8A30B9" w14:textId="77777777" w:rsidR="008E3291" w:rsidRPr="00D130F4" w:rsidRDefault="008E3291" w:rsidP="0061738E">
            <w:pPr>
              <w:suppressAutoHyphens w:val="0"/>
              <w:spacing w:before="0" w:after="0" w:line="240" w:lineRule="auto"/>
              <w:jc w:val="center"/>
              <w:rPr>
                <w:rFonts w:ascii="Calibri" w:eastAsia="Times New Roman" w:hAnsi="Calibri" w:cs="Calibri"/>
                <w:b/>
                <w:bCs/>
                <w:color w:val="000000"/>
                <w:sz w:val="16"/>
                <w:szCs w:val="16"/>
              </w:rPr>
            </w:pPr>
            <w:r w:rsidRPr="00D130F4">
              <w:rPr>
                <w:rFonts w:ascii="Calibri" w:eastAsia="Times New Roman" w:hAnsi="Calibri" w:cs="Calibri"/>
                <w:b/>
                <w:bCs/>
                <w:color w:val="000000"/>
                <w:sz w:val="16"/>
                <w:szCs w:val="16"/>
              </w:rPr>
              <w:t>% e realizimit</w:t>
            </w:r>
          </w:p>
        </w:tc>
      </w:tr>
      <w:tr w:rsidR="008E3291" w:rsidRPr="00D130F4" w14:paraId="178F1E11" w14:textId="77777777" w:rsidTr="007B4850">
        <w:trPr>
          <w:trHeight w:val="512"/>
        </w:trPr>
        <w:tc>
          <w:tcPr>
            <w:tcW w:w="1440" w:type="dxa"/>
            <w:tcBorders>
              <w:top w:val="single" w:sz="4" w:space="0" w:color="auto"/>
              <w:left w:val="single" w:sz="4" w:space="0" w:color="auto"/>
              <w:bottom w:val="single" w:sz="4" w:space="0" w:color="auto"/>
              <w:right w:val="single" w:sz="4" w:space="0" w:color="auto"/>
            </w:tcBorders>
            <w:noWrap/>
            <w:vAlign w:val="center"/>
            <w:hideMark/>
          </w:tcPr>
          <w:p w14:paraId="6CC78976" w14:textId="77777777" w:rsidR="008E3291" w:rsidRPr="00D130F4" w:rsidRDefault="008E3291" w:rsidP="0061738E">
            <w:pPr>
              <w:suppressAutoHyphens w:val="0"/>
              <w:spacing w:before="0" w:after="0" w:line="240" w:lineRule="auto"/>
              <w:jc w:val="center"/>
              <w:rPr>
                <w:rFonts w:ascii="Calibri" w:eastAsia="Times New Roman" w:hAnsi="Calibri" w:cs="Calibri"/>
                <w:i/>
                <w:iCs/>
                <w:color w:val="000000"/>
                <w:sz w:val="14"/>
                <w:szCs w:val="14"/>
              </w:rPr>
            </w:pPr>
            <w:r w:rsidRPr="00D130F4">
              <w:rPr>
                <w:rFonts w:ascii="Calibri" w:eastAsia="Times New Roman" w:hAnsi="Calibri" w:cs="Calibri"/>
                <w:i/>
                <w:iCs/>
                <w:color w:val="000000"/>
                <w:sz w:val="14"/>
                <w:szCs w:val="14"/>
              </w:rPr>
              <w:t>91307AA</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DF17292" w14:textId="77777777" w:rsidR="008E3291" w:rsidRPr="00D130F4" w:rsidRDefault="008E3291" w:rsidP="0061738E">
            <w:pPr>
              <w:suppressAutoHyphens w:val="0"/>
              <w:spacing w:before="0" w:after="0" w:line="240" w:lineRule="auto"/>
              <w:rPr>
                <w:rFonts w:ascii="Calibri" w:eastAsia="Times New Roman" w:hAnsi="Calibri" w:cs="Calibri"/>
                <w:color w:val="000000"/>
                <w:sz w:val="14"/>
                <w:szCs w:val="14"/>
              </w:rPr>
            </w:pPr>
            <w:r w:rsidRPr="00D130F4">
              <w:rPr>
                <w:rFonts w:ascii="Calibri" w:eastAsia="Times New Roman" w:hAnsi="Calibri" w:cs="Calibri"/>
                <w:color w:val="000000"/>
                <w:sz w:val="14"/>
                <w:szCs w:val="14"/>
              </w:rPr>
              <w:t>Familje dhe individë ne nevojë qe përfitojne nga skema e NE</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72C52ADF" w14:textId="77777777" w:rsidR="008E3291" w:rsidRPr="00D130F4" w:rsidRDefault="008E3291" w:rsidP="0061738E">
            <w:pPr>
              <w:suppressAutoHyphens w:val="0"/>
              <w:spacing w:before="0" w:after="0" w:line="240" w:lineRule="auto"/>
              <w:jc w:val="center"/>
              <w:rPr>
                <w:rFonts w:ascii="Calibri" w:eastAsia="Times New Roman" w:hAnsi="Calibri" w:cs="Calibri"/>
                <w:color w:val="000000"/>
                <w:sz w:val="14"/>
                <w:szCs w:val="14"/>
              </w:rPr>
            </w:pPr>
            <w:r w:rsidRPr="00D130F4">
              <w:rPr>
                <w:rFonts w:ascii="Calibri" w:eastAsia="Times New Roman" w:hAnsi="Calibri" w:cs="Calibri"/>
                <w:color w:val="000000"/>
                <w:sz w:val="14"/>
                <w:szCs w:val="14"/>
              </w:rPr>
              <w:t> </w:t>
            </w:r>
          </w:p>
        </w:tc>
        <w:tc>
          <w:tcPr>
            <w:tcW w:w="791" w:type="dxa"/>
            <w:tcBorders>
              <w:top w:val="single" w:sz="4" w:space="0" w:color="auto"/>
              <w:left w:val="single" w:sz="4" w:space="0" w:color="auto"/>
              <w:bottom w:val="single" w:sz="4" w:space="0" w:color="auto"/>
              <w:right w:val="single" w:sz="4" w:space="0" w:color="auto"/>
            </w:tcBorders>
            <w:noWrap/>
            <w:vAlign w:val="center"/>
            <w:hideMark/>
          </w:tcPr>
          <w:p w14:paraId="110A9311" w14:textId="77777777" w:rsidR="008E3291" w:rsidRPr="00D130F4" w:rsidRDefault="008E3291" w:rsidP="0061738E">
            <w:pPr>
              <w:suppressAutoHyphens w:val="0"/>
              <w:spacing w:before="0" w:after="0" w:line="240" w:lineRule="auto"/>
              <w:rPr>
                <w:rFonts w:ascii="Calibri" w:eastAsia="Times New Roman" w:hAnsi="Calibri" w:cs="Calibri"/>
                <w:color w:val="000000"/>
                <w:sz w:val="14"/>
                <w:szCs w:val="14"/>
              </w:rPr>
            </w:pPr>
            <w:r w:rsidRPr="00D130F4">
              <w:rPr>
                <w:rFonts w:ascii="Calibri" w:eastAsia="Times New Roman" w:hAnsi="Calibri" w:cs="Calibri"/>
                <w:color w:val="000000"/>
                <w:sz w:val="14"/>
                <w:szCs w:val="14"/>
              </w:rPr>
              <w:t xml:space="preserve">lekë </w:t>
            </w:r>
          </w:p>
        </w:tc>
        <w:tc>
          <w:tcPr>
            <w:tcW w:w="1105" w:type="dxa"/>
            <w:tcBorders>
              <w:top w:val="single" w:sz="4" w:space="0" w:color="auto"/>
              <w:left w:val="single" w:sz="4" w:space="0" w:color="auto"/>
              <w:bottom w:val="single" w:sz="4" w:space="0" w:color="auto"/>
              <w:right w:val="single" w:sz="4" w:space="0" w:color="auto"/>
            </w:tcBorders>
            <w:vAlign w:val="center"/>
            <w:hideMark/>
          </w:tcPr>
          <w:p w14:paraId="5DB8B5EF" w14:textId="77777777" w:rsidR="008E3291" w:rsidRPr="00D130F4" w:rsidRDefault="008E3291" w:rsidP="0061738E">
            <w:pPr>
              <w:suppressAutoHyphens w:val="0"/>
              <w:spacing w:before="0" w:after="0" w:line="240" w:lineRule="auto"/>
              <w:rPr>
                <w:rFonts w:ascii="Calibri" w:eastAsia="Times New Roman" w:hAnsi="Calibri" w:cs="Calibri"/>
                <w:color w:val="000000"/>
                <w:sz w:val="14"/>
                <w:szCs w:val="14"/>
              </w:rPr>
            </w:pPr>
            <w:r w:rsidRPr="00D130F4">
              <w:rPr>
                <w:rFonts w:ascii="Calibri" w:eastAsia="Times New Roman" w:hAnsi="Calibri" w:cs="Calibri"/>
                <w:color w:val="000000"/>
                <w:sz w:val="14"/>
                <w:szCs w:val="14"/>
              </w:rPr>
              <w:t>5,763,983,902</w:t>
            </w:r>
          </w:p>
        </w:tc>
        <w:tc>
          <w:tcPr>
            <w:tcW w:w="1148" w:type="dxa"/>
            <w:tcBorders>
              <w:top w:val="single" w:sz="4" w:space="0" w:color="auto"/>
              <w:left w:val="single" w:sz="4" w:space="0" w:color="auto"/>
              <w:bottom w:val="single" w:sz="4" w:space="0" w:color="auto"/>
              <w:right w:val="single" w:sz="4" w:space="0" w:color="auto"/>
            </w:tcBorders>
            <w:noWrap/>
            <w:vAlign w:val="center"/>
            <w:hideMark/>
          </w:tcPr>
          <w:p w14:paraId="12288BF6" w14:textId="77777777" w:rsidR="008E3291" w:rsidRPr="00D130F4" w:rsidRDefault="008E3291" w:rsidP="0061738E">
            <w:pPr>
              <w:suppressAutoHyphens w:val="0"/>
              <w:spacing w:before="0" w:after="0" w:line="240" w:lineRule="auto"/>
              <w:rPr>
                <w:rFonts w:ascii="Calibri" w:eastAsia="Times New Roman" w:hAnsi="Calibri" w:cs="Calibri"/>
                <w:color w:val="000000"/>
                <w:sz w:val="14"/>
                <w:szCs w:val="14"/>
              </w:rPr>
            </w:pPr>
            <w:r w:rsidRPr="00D130F4">
              <w:rPr>
                <w:rFonts w:ascii="Calibri" w:eastAsia="Times New Roman" w:hAnsi="Calibri" w:cs="Calibri"/>
                <w:color w:val="000000"/>
                <w:sz w:val="14"/>
                <w:szCs w:val="14"/>
              </w:rPr>
              <w:t>7,232,000,000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388E12B1" w14:textId="77777777" w:rsidR="008E3291" w:rsidRPr="00D130F4" w:rsidRDefault="008E3291" w:rsidP="0061738E">
            <w:pPr>
              <w:suppressAutoHyphens w:val="0"/>
              <w:spacing w:before="0" w:after="0" w:line="240" w:lineRule="auto"/>
              <w:rPr>
                <w:rFonts w:ascii="Calibri" w:eastAsia="Times New Roman" w:hAnsi="Calibri" w:cs="Calibri"/>
                <w:color w:val="000000"/>
                <w:sz w:val="14"/>
                <w:szCs w:val="14"/>
              </w:rPr>
            </w:pPr>
            <w:r w:rsidRPr="00D130F4">
              <w:rPr>
                <w:rFonts w:ascii="Calibri" w:eastAsia="Times New Roman" w:hAnsi="Calibri" w:cs="Calibri"/>
                <w:color w:val="000000"/>
                <w:sz w:val="14"/>
                <w:szCs w:val="14"/>
              </w:rPr>
              <w:t>5,392,720,000</w:t>
            </w:r>
          </w:p>
        </w:tc>
        <w:tc>
          <w:tcPr>
            <w:tcW w:w="1227" w:type="dxa"/>
            <w:tcBorders>
              <w:top w:val="single" w:sz="4" w:space="0" w:color="auto"/>
              <w:left w:val="single" w:sz="4" w:space="0" w:color="auto"/>
              <w:bottom w:val="single" w:sz="4" w:space="0" w:color="auto"/>
              <w:right w:val="single" w:sz="4" w:space="0" w:color="auto"/>
            </w:tcBorders>
            <w:noWrap/>
            <w:vAlign w:val="center"/>
            <w:hideMark/>
          </w:tcPr>
          <w:p w14:paraId="3D6FDE3A" w14:textId="77777777" w:rsidR="008E3291" w:rsidRPr="00D130F4" w:rsidRDefault="008E3291" w:rsidP="0061738E">
            <w:pPr>
              <w:suppressAutoHyphens w:val="0"/>
              <w:spacing w:before="0" w:after="0" w:line="240" w:lineRule="auto"/>
              <w:rPr>
                <w:rFonts w:ascii="Calibri" w:eastAsia="Times New Roman" w:hAnsi="Calibri" w:cs="Calibri"/>
                <w:color w:val="000000"/>
                <w:sz w:val="14"/>
                <w:szCs w:val="14"/>
              </w:rPr>
            </w:pPr>
            <w:r w:rsidRPr="00D130F4">
              <w:rPr>
                <w:rFonts w:ascii="Calibri" w:eastAsia="Times New Roman" w:hAnsi="Calibri" w:cs="Calibri"/>
                <w:color w:val="000000"/>
                <w:sz w:val="14"/>
                <w:szCs w:val="14"/>
              </w:rPr>
              <w:t>5,309,265,379</w:t>
            </w:r>
          </w:p>
        </w:tc>
        <w:tc>
          <w:tcPr>
            <w:tcW w:w="933" w:type="dxa"/>
            <w:tcBorders>
              <w:top w:val="single" w:sz="4" w:space="0" w:color="auto"/>
              <w:left w:val="single" w:sz="4" w:space="0" w:color="auto"/>
              <w:bottom w:val="single" w:sz="4" w:space="0" w:color="auto"/>
              <w:right w:val="single" w:sz="4" w:space="0" w:color="auto"/>
            </w:tcBorders>
            <w:noWrap/>
            <w:vAlign w:val="center"/>
            <w:hideMark/>
          </w:tcPr>
          <w:p w14:paraId="07AD2D51" w14:textId="77777777" w:rsidR="008E3291" w:rsidRPr="00D130F4" w:rsidRDefault="008E3291" w:rsidP="0061738E">
            <w:pPr>
              <w:suppressAutoHyphens w:val="0"/>
              <w:spacing w:before="0" w:after="0" w:line="240" w:lineRule="auto"/>
              <w:rPr>
                <w:rFonts w:ascii="Calibri" w:eastAsia="Times New Roman" w:hAnsi="Calibri" w:cs="Calibri"/>
                <w:color w:val="000000"/>
                <w:sz w:val="14"/>
                <w:szCs w:val="14"/>
              </w:rPr>
            </w:pPr>
            <w:r w:rsidRPr="00D130F4">
              <w:rPr>
                <w:rFonts w:ascii="Calibri" w:eastAsia="Times New Roman" w:hAnsi="Calibri" w:cs="Calibri"/>
                <w:color w:val="000000"/>
                <w:sz w:val="14"/>
                <w:szCs w:val="14"/>
              </w:rPr>
              <w:t>83,454,621</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19B03287" w14:textId="77777777" w:rsidR="008E3291" w:rsidRPr="00D130F4" w:rsidRDefault="008E3291" w:rsidP="0061738E">
            <w:pPr>
              <w:suppressAutoHyphens w:val="0"/>
              <w:spacing w:before="0" w:after="0" w:line="240" w:lineRule="auto"/>
              <w:rPr>
                <w:rFonts w:ascii="Calibri" w:eastAsia="Times New Roman" w:hAnsi="Calibri" w:cs="Calibri"/>
                <w:color w:val="000000"/>
                <w:sz w:val="14"/>
                <w:szCs w:val="14"/>
              </w:rPr>
            </w:pPr>
            <w:r w:rsidRPr="00D130F4">
              <w:rPr>
                <w:rFonts w:ascii="Calibri" w:eastAsia="Times New Roman" w:hAnsi="Calibri" w:cs="Calibri"/>
                <w:color w:val="000000"/>
                <w:sz w:val="14"/>
                <w:szCs w:val="14"/>
              </w:rPr>
              <w:t>98</w:t>
            </w:r>
          </w:p>
        </w:tc>
      </w:tr>
      <w:tr w:rsidR="008E3291" w:rsidRPr="00D130F4" w14:paraId="720DAF34" w14:textId="77777777" w:rsidTr="007B4850">
        <w:trPr>
          <w:trHeight w:val="512"/>
        </w:trPr>
        <w:tc>
          <w:tcPr>
            <w:tcW w:w="1440" w:type="dxa"/>
            <w:tcBorders>
              <w:top w:val="single" w:sz="4" w:space="0" w:color="auto"/>
              <w:left w:val="single" w:sz="4" w:space="0" w:color="auto"/>
              <w:bottom w:val="single" w:sz="4" w:space="0" w:color="auto"/>
              <w:right w:val="single" w:sz="4" w:space="0" w:color="auto"/>
            </w:tcBorders>
            <w:noWrap/>
            <w:vAlign w:val="center"/>
            <w:hideMark/>
          </w:tcPr>
          <w:p w14:paraId="68812E6A" w14:textId="77777777" w:rsidR="008E3291" w:rsidRPr="00D130F4" w:rsidRDefault="008E3291" w:rsidP="0061738E">
            <w:pPr>
              <w:suppressAutoHyphens w:val="0"/>
              <w:spacing w:before="0" w:after="0" w:line="240" w:lineRule="auto"/>
              <w:jc w:val="center"/>
              <w:rPr>
                <w:rFonts w:ascii="Calibri" w:eastAsia="Times New Roman" w:hAnsi="Calibri" w:cs="Calibri"/>
                <w:i/>
                <w:iCs/>
                <w:color w:val="000000"/>
                <w:sz w:val="14"/>
                <w:szCs w:val="14"/>
              </w:rPr>
            </w:pPr>
            <w:r w:rsidRPr="00D130F4">
              <w:rPr>
                <w:rFonts w:ascii="Calibri" w:eastAsia="Times New Roman" w:hAnsi="Calibri" w:cs="Calibri"/>
                <w:i/>
                <w:iCs/>
                <w:color w:val="000000"/>
                <w:sz w:val="14"/>
                <w:szCs w:val="14"/>
              </w:rPr>
              <w:t>91307AB</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EDE9A36" w14:textId="77777777" w:rsidR="008E3291" w:rsidRPr="00D130F4" w:rsidRDefault="008E3291" w:rsidP="0061738E">
            <w:pPr>
              <w:suppressAutoHyphens w:val="0"/>
              <w:spacing w:before="0" w:after="0" w:line="240" w:lineRule="auto"/>
              <w:rPr>
                <w:rFonts w:ascii="Calibri" w:eastAsia="Times New Roman" w:hAnsi="Calibri" w:cs="Calibri"/>
                <w:color w:val="000000"/>
                <w:sz w:val="14"/>
                <w:szCs w:val="14"/>
              </w:rPr>
            </w:pPr>
            <w:r w:rsidRPr="00D130F4">
              <w:rPr>
                <w:rFonts w:ascii="Calibri" w:eastAsia="Times New Roman" w:hAnsi="Calibri" w:cs="Calibri"/>
                <w:color w:val="000000"/>
                <w:sz w:val="14"/>
                <w:szCs w:val="14"/>
              </w:rPr>
              <w:t>PAK dhe kujdestarë që përfitojnë pagesa</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7CCECD33" w14:textId="77777777" w:rsidR="008E3291" w:rsidRPr="00D130F4" w:rsidRDefault="008E3291" w:rsidP="0061738E">
            <w:pPr>
              <w:suppressAutoHyphens w:val="0"/>
              <w:spacing w:before="0" w:after="0" w:line="240" w:lineRule="auto"/>
              <w:jc w:val="center"/>
              <w:rPr>
                <w:rFonts w:ascii="Calibri" w:eastAsia="Times New Roman" w:hAnsi="Calibri" w:cs="Calibri"/>
                <w:color w:val="000000"/>
                <w:sz w:val="14"/>
                <w:szCs w:val="14"/>
              </w:rPr>
            </w:pPr>
            <w:r w:rsidRPr="00D130F4">
              <w:rPr>
                <w:rFonts w:ascii="Calibri" w:eastAsia="Times New Roman" w:hAnsi="Calibri" w:cs="Calibri"/>
                <w:color w:val="000000"/>
                <w:sz w:val="14"/>
                <w:szCs w:val="14"/>
              </w:rPr>
              <w:t> </w:t>
            </w:r>
          </w:p>
        </w:tc>
        <w:tc>
          <w:tcPr>
            <w:tcW w:w="791" w:type="dxa"/>
            <w:tcBorders>
              <w:top w:val="single" w:sz="4" w:space="0" w:color="auto"/>
              <w:left w:val="single" w:sz="4" w:space="0" w:color="auto"/>
              <w:bottom w:val="single" w:sz="4" w:space="0" w:color="auto"/>
              <w:right w:val="single" w:sz="4" w:space="0" w:color="auto"/>
            </w:tcBorders>
            <w:noWrap/>
            <w:vAlign w:val="center"/>
            <w:hideMark/>
          </w:tcPr>
          <w:p w14:paraId="24A31796" w14:textId="77777777" w:rsidR="008E3291" w:rsidRPr="00D130F4" w:rsidRDefault="008E3291" w:rsidP="0061738E">
            <w:pPr>
              <w:tabs>
                <w:tab w:val="left" w:pos="6511"/>
              </w:tabs>
              <w:suppressAutoHyphens w:val="0"/>
              <w:spacing w:before="0" w:after="0" w:line="240" w:lineRule="auto"/>
              <w:rPr>
                <w:rFonts w:ascii="Calibri" w:eastAsia="Times New Roman" w:hAnsi="Calibri" w:cs="Calibri"/>
                <w:color w:val="000000"/>
                <w:sz w:val="14"/>
                <w:szCs w:val="14"/>
              </w:rPr>
            </w:pPr>
            <w:r w:rsidRPr="00D130F4">
              <w:rPr>
                <w:rFonts w:ascii="Calibri" w:eastAsia="Times New Roman" w:hAnsi="Calibri" w:cs="Calibri"/>
                <w:color w:val="000000"/>
                <w:sz w:val="14"/>
                <w:szCs w:val="14"/>
              </w:rPr>
              <w:t xml:space="preserve">lekë </w:t>
            </w:r>
          </w:p>
        </w:tc>
        <w:tc>
          <w:tcPr>
            <w:tcW w:w="1105" w:type="dxa"/>
            <w:tcBorders>
              <w:top w:val="single" w:sz="4" w:space="0" w:color="auto"/>
              <w:left w:val="single" w:sz="4" w:space="0" w:color="auto"/>
              <w:bottom w:val="single" w:sz="4" w:space="0" w:color="auto"/>
              <w:right w:val="single" w:sz="4" w:space="0" w:color="auto"/>
            </w:tcBorders>
            <w:vAlign w:val="center"/>
            <w:hideMark/>
          </w:tcPr>
          <w:p w14:paraId="1FCCAB4A" w14:textId="77777777" w:rsidR="008E3291" w:rsidRPr="00D130F4" w:rsidRDefault="008E3291" w:rsidP="0061738E">
            <w:pPr>
              <w:suppressAutoHyphens w:val="0"/>
              <w:spacing w:before="0" w:after="0" w:line="240" w:lineRule="auto"/>
              <w:rPr>
                <w:rFonts w:ascii="Calibri" w:eastAsia="Times New Roman" w:hAnsi="Calibri" w:cs="Calibri"/>
                <w:color w:val="000000"/>
                <w:sz w:val="14"/>
                <w:szCs w:val="14"/>
              </w:rPr>
            </w:pPr>
            <w:r w:rsidRPr="00D130F4">
              <w:rPr>
                <w:rFonts w:ascii="Calibri" w:eastAsia="Times New Roman" w:hAnsi="Calibri" w:cs="Calibri"/>
                <w:color w:val="000000"/>
                <w:sz w:val="14"/>
                <w:szCs w:val="14"/>
              </w:rPr>
              <w:t>19,612,354,218</w:t>
            </w:r>
          </w:p>
        </w:tc>
        <w:tc>
          <w:tcPr>
            <w:tcW w:w="1148" w:type="dxa"/>
            <w:tcBorders>
              <w:top w:val="single" w:sz="4" w:space="0" w:color="auto"/>
              <w:left w:val="single" w:sz="4" w:space="0" w:color="auto"/>
              <w:bottom w:val="single" w:sz="4" w:space="0" w:color="auto"/>
              <w:right w:val="single" w:sz="4" w:space="0" w:color="auto"/>
            </w:tcBorders>
            <w:noWrap/>
            <w:vAlign w:val="center"/>
            <w:hideMark/>
          </w:tcPr>
          <w:p w14:paraId="09D3E88A" w14:textId="77777777" w:rsidR="008E3291" w:rsidRPr="00D130F4" w:rsidRDefault="008E3291" w:rsidP="0061738E">
            <w:pPr>
              <w:suppressAutoHyphens w:val="0"/>
              <w:spacing w:before="0" w:after="0" w:line="240" w:lineRule="auto"/>
              <w:rPr>
                <w:rFonts w:ascii="Calibri" w:eastAsia="Times New Roman" w:hAnsi="Calibri" w:cs="Calibri"/>
                <w:color w:val="000000"/>
                <w:sz w:val="14"/>
                <w:szCs w:val="14"/>
              </w:rPr>
            </w:pPr>
            <w:r w:rsidRPr="00D130F4">
              <w:rPr>
                <w:rFonts w:ascii="Calibri" w:eastAsia="Times New Roman" w:hAnsi="Calibri" w:cs="Calibri"/>
                <w:color w:val="000000"/>
                <w:sz w:val="14"/>
                <w:szCs w:val="14"/>
              </w:rPr>
              <w:t>15,238,000,000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218CA185" w14:textId="77777777" w:rsidR="008E3291" w:rsidRPr="00D130F4" w:rsidRDefault="008E3291" w:rsidP="0061738E">
            <w:pPr>
              <w:suppressAutoHyphens w:val="0"/>
              <w:spacing w:before="0" w:after="0" w:line="240" w:lineRule="auto"/>
              <w:rPr>
                <w:rFonts w:ascii="Calibri" w:eastAsia="Times New Roman" w:hAnsi="Calibri" w:cs="Calibri"/>
                <w:color w:val="000000"/>
                <w:sz w:val="14"/>
                <w:szCs w:val="14"/>
              </w:rPr>
            </w:pPr>
            <w:r w:rsidRPr="00D130F4">
              <w:rPr>
                <w:rFonts w:ascii="Calibri" w:eastAsia="Times New Roman" w:hAnsi="Calibri" w:cs="Calibri"/>
                <w:color w:val="000000"/>
                <w:sz w:val="14"/>
                <w:szCs w:val="14"/>
              </w:rPr>
              <w:t>18,696,948,000</w:t>
            </w:r>
          </w:p>
        </w:tc>
        <w:tc>
          <w:tcPr>
            <w:tcW w:w="1227" w:type="dxa"/>
            <w:tcBorders>
              <w:top w:val="single" w:sz="4" w:space="0" w:color="auto"/>
              <w:left w:val="single" w:sz="4" w:space="0" w:color="auto"/>
              <w:bottom w:val="single" w:sz="4" w:space="0" w:color="auto"/>
              <w:right w:val="single" w:sz="4" w:space="0" w:color="auto"/>
            </w:tcBorders>
            <w:noWrap/>
            <w:vAlign w:val="center"/>
            <w:hideMark/>
          </w:tcPr>
          <w:p w14:paraId="2B1D2550" w14:textId="77777777" w:rsidR="008E3291" w:rsidRPr="00D130F4" w:rsidRDefault="008E3291" w:rsidP="0061738E">
            <w:pPr>
              <w:suppressAutoHyphens w:val="0"/>
              <w:spacing w:before="0" w:after="0" w:line="240" w:lineRule="auto"/>
              <w:rPr>
                <w:rFonts w:ascii="Calibri" w:eastAsia="Times New Roman" w:hAnsi="Calibri" w:cs="Calibri"/>
                <w:color w:val="000000"/>
                <w:sz w:val="14"/>
                <w:szCs w:val="14"/>
              </w:rPr>
            </w:pPr>
            <w:r w:rsidRPr="00D130F4">
              <w:rPr>
                <w:rFonts w:ascii="Calibri" w:eastAsia="Times New Roman" w:hAnsi="Calibri" w:cs="Calibri"/>
                <w:color w:val="000000"/>
                <w:sz w:val="14"/>
                <w:szCs w:val="14"/>
              </w:rPr>
              <w:t>18,603,924,791</w:t>
            </w:r>
          </w:p>
        </w:tc>
        <w:tc>
          <w:tcPr>
            <w:tcW w:w="933" w:type="dxa"/>
            <w:tcBorders>
              <w:top w:val="single" w:sz="4" w:space="0" w:color="auto"/>
              <w:left w:val="single" w:sz="4" w:space="0" w:color="auto"/>
              <w:bottom w:val="single" w:sz="4" w:space="0" w:color="auto"/>
              <w:right w:val="single" w:sz="4" w:space="0" w:color="auto"/>
            </w:tcBorders>
            <w:noWrap/>
            <w:vAlign w:val="center"/>
            <w:hideMark/>
          </w:tcPr>
          <w:p w14:paraId="182D382B" w14:textId="77777777" w:rsidR="008E3291" w:rsidRPr="00D130F4" w:rsidRDefault="008E3291" w:rsidP="0061738E">
            <w:pPr>
              <w:suppressAutoHyphens w:val="0"/>
              <w:spacing w:before="0" w:after="0" w:line="240" w:lineRule="auto"/>
              <w:rPr>
                <w:rFonts w:ascii="Calibri" w:eastAsia="Times New Roman" w:hAnsi="Calibri" w:cs="Calibri"/>
                <w:color w:val="000000"/>
                <w:sz w:val="14"/>
                <w:szCs w:val="14"/>
              </w:rPr>
            </w:pPr>
            <w:r w:rsidRPr="00D130F4">
              <w:rPr>
                <w:rFonts w:ascii="Calibri" w:eastAsia="Times New Roman" w:hAnsi="Calibri" w:cs="Calibri"/>
                <w:color w:val="000000"/>
                <w:sz w:val="14"/>
                <w:szCs w:val="14"/>
              </w:rPr>
              <w:t>93,023,209</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19D095C0" w14:textId="77777777" w:rsidR="008E3291" w:rsidRPr="00D130F4" w:rsidRDefault="008E3291" w:rsidP="0061738E">
            <w:pPr>
              <w:suppressAutoHyphens w:val="0"/>
              <w:spacing w:before="0" w:after="0" w:line="240" w:lineRule="auto"/>
              <w:rPr>
                <w:rFonts w:ascii="Calibri" w:eastAsia="Times New Roman" w:hAnsi="Calibri" w:cs="Calibri"/>
                <w:color w:val="000000"/>
                <w:sz w:val="14"/>
                <w:szCs w:val="14"/>
              </w:rPr>
            </w:pPr>
            <w:r w:rsidRPr="00D130F4">
              <w:rPr>
                <w:rFonts w:ascii="Calibri" w:eastAsia="Times New Roman" w:hAnsi="Calibri" w:cs="Calibri"/>
                <w:color w:val="000000"/>
                <w:sz w:val="14"/>
                <w:szCs w:val="14"/>
              </w:rPr>
              <w:t>100</w:t>
            </w:r>
          </w:p>
        </w:tc>
      </w:tr>
      <w:tr w:rsidR="008E3291" w:rsidRPr="00D130F4" w14:paraId="44E9BF69" w14:textId="77777777" w:rsidTr="007B4850">
        <w:trPr>
          <w:trHeight w:val="890"/>
        </w:trPr>
        <w:tc>
          <w:tcPr>
            <w:tcW w:w="1440" w:type="dxa"/>
            <w:tcBorders>
              <w:top w:val="single" w:sz="4" w:space="0" w:color="auto"/>
              <w:left w:val="single" w:sz="4" w:space="0" w:color="auto"/>
              <w:bottom w:val="single" w:sz="4" w:space="0" w:color="auto"/>
              <w:right w:val="single" w:sz="4" w:space="0" w:color="auto"/>
            </w:tcBorders>
            <w:noWrap/>
            <w:vAlign w:val="center"/>
            <w:hideMark/>
          </w:tcPr>
          <w:p w14:paraId="12075089" w14:textId="77777777" w:rsidR="008E3291" w:rsidRPr="00D130F4" w:rsidRDefault="008E3291" w:rsidP="0061738E">
            <w:pPr>
              <w:suppressAutoHyphens w:val="0"/>
              <w:spacing w:before="0" w:after="0" w:line="240" w:lineRule="auto"/>
              <w:jc w:val="center"/>
              <w:rPr>
                <w:rFonts w:ascii="Calibri" w:eastAsia="Times New Roman" w:hAnsi="Calibri" w:cs="Calibri"/>
                <w:i/>
                <w:iCs/>
                <w:color w:val="000000"/>
                <w:sz w:val="14"/>
                <w:szCs w:val="14"/>
              </w:rPr>
            </w:pPr>
            <w:r w:rsidRPr="00D130F4">
              <w:rPr>
                <w:rFonts w:ascii="Calibri" w:eastAsia="Times New Roman" w:hAnsi="Calibri" w:cs="Calibri"/>
                <w:i/>
                <w:iCs/>
                <w:color w:val="000000"/>
                <w:sz w:val="14"/>
                <w:szCs w:val="14"/>
              </w:rPr>
              <w:t>91307AC</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DA947F3" w14:textId="77777777" w:rsidR="008E3291" w:rsidRPr="00D130F4" w:rsidRDefault="008E3291" w:rsidP="0061738E">
            <w:pPr>
              <w:suppressAutoHyphens w:val="0"/>
              <w:spacing w:before="0" w:after="0" w:line="240" w:lineRule="auto"/>
              <w:rPr>
                <w:rFonts w:ascii="Calibri" w:eastAsia="Times New Roman" w:hAnsi="Calibri" w:cs="Calibri"/>
                <w:color w:val="000000"/>
                <w:sz w:val="14"/>
                <w:szCs w:val="14"/>
              </w:rPr>
            </w:pPr>
            <w:r w:rsidRPr="00D130F4">
              <w:rPr>
                <w:rFonts w:ascii="Calibri" w:eastAsia="Times New Roman" w:hAnsi="Calibri" w:cs="Calibri"/>
                <w:color w:val="000000"/>
                <w:sz w:val="14"/>
                <w:szCs w:val="14"/>
              </w:rPr>
              <w:t>Përfitues të shërbimeve të përkujdesit social të ofruara në qëndrat rezidenciale publike</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223A0740" w14:textId="77777777" w:rsidR="008E3291" w:rsidRPr="00D130F4" w:rsidRDefault="008E3291" w:rsidP="0061738E">
            <w:pPr>
              <w:suppressAutoHyphens w:val="0"/>
              <w:spacing w:before="0" w:after="0" w:line="240" w:lineRule="auto"/>
              <w:jc w:val="center"/>
              <w:rPr>
                <w:rFonts w:ascii="Calibri" w:eastAsia="Times New Roman" w:hAnsi="Calibri" w:cs="Calibri"/>
                <w:color w:val="000000"/>
                <w:sz w:val="14"/>
                <w:szCs w:val="14"/>
              </w:rPr>
            </w:pPr>
            <w:r w:rsidRPr="00D130F4">
              <w:rPr>
                <w:rFonts w:ascii="Calibri" w:eastAsia="Times New Roman" w:hAnsi="Calibri" w:cs="Calibri"/>
                <w:color w:val="000000"/>
                <w:sz w:val="14"/>
                <w:szCs w:val="14"/>
              </w:rPr>
              <w:t> </w:t>
            </w:r>
          </w:p>
        </w:tc>
        <w:tc>
          <w:tcPr>
            <w:tcW w:w="791" w:type="dxa"/>
            <w:tcBorders>
              <w:top w:val="single" w:sz="4" w:space="0" w:color="auto"/>
              <w:left w:val="single" w:sz="4" w:space="0" w:color="auto"/>
              <w:bottom w:val="single" w:sz="4" w:space="0" w:color="auto"/>
              <w:right w:val="single" w:sz="4" w:space="0" w:color="auto"/>
            </w:tcBorders>
            <w:noWrap/>
            <w:vAlign w:val="center"/>
            <w:hideMark/>
          </w:tcPr>
          <w:p w14:paraId="2734F127" w14:textId="77777777" w:rsidR="008E3291" w:rsidRPr="00D130F4" w:rsidRDefault="008E3291" w:rsidP="0061738E">
            <w:pPr>
              <w:suppressAutoHyphens w:val="0"/>
              <w:spacing w:before="0" w:after="0" w:line="240" w:lineRule="auto"/>
              <w:rPr>
                <w:rFonts w:ascii="Calibri" w:eastAsia="Times New Roman" w:hAnsi="Calibri" w:cs="Calibri"/>
                <w:color w:val="000000"/>
                <w:sz w:val="14"/>
                <w:szCs w:val="14"/>
              </w:rPr>
            </w:pPr>
            <w:r w:rsidRPr="00D130F4">
              <w:rPr>
                <w:rFonts w:ascii="Calibri" w:eastAsia="Times New Roman" w:hAnsi="Calibri" w:cs="Calibri"/>
                <w:color w:val="000000"/>
                <w:sz w:val="14"/>
                <w:szCs w:val="14"/>
              </w:rPr>
              <w:t xml:space="preserve">lekë </w:t>
            </w:r>
          </w:p>
        </w:tc>
        <w:tc>
          <w:tcPr>
            <w:tcW w:w="1105" w:type="dxa"/>
            <w:tcBorders>
              <w:top w:val="single" w:sz="4" w:space="0" w:color="auto"/>
              <w:left w:val="single" w:sz="4" w:space="0" w:color="auto"/>
              <w:bottom w:val="single" w:sz="4" w:space="0" w:color="auto"/>
              <w:right w:val="single" w:sz="4" w:space="0" w:color="auto"/>
            </w:tcBorders>
            <w:vAlign w:val="center"/>
            <w:hideMark/>
          </w:tcPr>
          <w:p w14:paraId="351422E9" w14:textId="77777777" w:rsidR="008E3291" w:rsidRPr="00D130F4" w:rsidRDefault="008E3291" w:rsidP="0061738E">
            <w:pPr>
              <w:suppressAutoHyphens w:val="0"/>
              <w:spacing w:before="0" w:after="0" w:line="240" w:lineRule="auto"/>
              <w:rPr>
                <w:rFonts w:ascii="Calibri" w:eastAsia="Times New Roman" w:hAnsi="Calibri" w:cs="Calibri"/>
                <w:color w:val="000000"/>
                <w:sz w:val="14"/>
                <w:szCs w:val="14"/>
              </w:rPr>
            </w:pPr>
            <w:r w:rsidRPr="00D130F4">
              <w:rPr>
                <w:rFonts w:ascii="Calibri" w:eastAsia="Times New Roman" w:hAnsi="Calibri" w:cs="Calibri"/>
                <w:color w:val="000000"/>
                <w:sz w:val="14"/>
                <w:szCs w:val="14"/>
              </w:rPr>
              <w:t>445,160,388</w:t>
            </w:r>
          </w:p>
        </w:tc>
        <w:tc>
          <w:tcPr>
            <w:tcW w:w="1148" w:type="dxa"/>
            <w:tcBorders>
              <w:top w:val="single" w:sz="4" w:space="0" w:color="auto"/>
              <w:left w:val="single" w:sz="4" w:space="0" w:color="auto"/>
              <w:bottom w:val="single" w:sz="4" w:space="0" w:color="auto"/>
              <w:right w:val="single" w:sz="4" w:space="0" w:color="auto"/>
            </w:tcBorders>
            <w:noWrap/>
            <w:vAlign w:val="center"/>
            <w:hideMark/>
          </w:tcPr>
          <w:p w14:paraId="608C11E5" w14:textId="77777777" w:rsidR="008E3291" w:rsidRPr="00D130F4" w:rsidRDefault="008E3291" w:rsidP="0061738E">
            <w:pPr>
              <w:suppressAutoHyphens w:val="0"/>
              <w:spacing w:before="0" w:after="0" w:line="240" w:lineRule="auto"/>
              <w:rPr>
                <w:rFonts w:ascii="Calibri" w:eastAsia="Times New Roman" w:hAnsi="Calibri" w:cs="Calibri"/>
                <w:color w:val="000000"/>
                <w:sz w:val="14"/>
                <w:szCs w:val="14"/>
              </w:rPr>
            </w:pPr>
            <w:r w:rsidRPr="00D130F4">
              <w:rPr>
                <w:rFonts w:ascii="Calibri" w:eastAsia="Times New Roman" w:hAnsi="Calibri" w:cs="Calibri"/>
                <w:color w:val="000000"/>
                <w:sz w:val="14"/>
                <w:szCs w:val="14"/>
              </w:rPr>
              <w:t>452,672,000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78976271" w14:textId="77777777" w:rsidR="008E3291" w:rsidRPr="00D130F4" w:rsidRDefault="008E3291" w:rsidP="0061738E">
            <w:pPr>
              <w:suppressAutoHyphens w:val="0"/>
              <w:spacing w:before="0" w:after="0" w:line="240" w:lineRule="auto"/>
              <w:rPr>
                <w:rFonts w:ascii="Calibri" w:eastAsia="Times New Roman" w:hAnsi="Calibri" w:cs="Calibri"/>
                <w:color w:val="000000"/>
                <w:sz w:val="14"/>
                <w:szCs w:val="14"/>
              </w:rPr>
            </w:pPr>
            <w:r w:rsidRPr="00D130F4">
              <w:rPr>
                <w:rFonts w:ascii="Calibri" w:eastAsia="Times New Roman" w:hAnsi="Calibri" w:cs="Calibri"/>
                <w:color w:val="000000"/>
                <w:sz w:val="14"/>
                <w:szCs w:val="14"/>
              </w:rPr>
              <w:t>482,667,000</w:t>
            </w:r>
          </w:p>
        </w:tc>
        <w:tc>
          <w:tcPr>
            <w:tcW w:w="1227" w:type="dxa"/>
            <w:tcBorders>
              <w:top w:val="single" w:sz="4" w:space="0" w:color="auto"/>
              <w:left w:val="single" w:sz="4" w:space="0" w:color="auto"/>
              <w:bottom w:val="single" w:sz="4" w:space="0" w:color="auto"/>
              <w:right w:val="single" w:sz="4" w:space="0" w:color="auto"/>
            </w:tcBorders>
            <w:noWrap/>
            <w:vAlign w:val="center"/>
            <w:hideMark/>
          </w:tcPr>
          <w:p w14:paraId="62A88A9A" w14:textId="77777777" w:rsidR="008E3291" w:rsidRPr="00D130F4" w:rsidRDefault="008E3291" w:rsidP="0061738E">
            <w:pPr>
              <w:suppressAutoHyphens w:val="0"/>
              <w:spacing w:before="0" w:after="0" w:line="240" w:lineRule="auto"/>
              <w:rPr>
                <w:rFonts w:ascii="Calibri" w:eastAsia="Times New Roman" w:hAnsi="Calibri" w:cs="Calibri"/>
                <w:color w:val="000000"/>
                <w:sz w:val="14"/>
                <w:szCs w:val="14"/>
              </w:rPr>
            </w:pPr>
            <w:r w:rsidRPr="00D130F4">
              <w:rPr>
                <w:rFonts w:ascii="Calibri" w:eastAsia="Times New Roman" w:hAnsi="Calibri" w:cs="Calibri"/>
                <w:color w:val="000000"/>
                <w:sz w:val="14"/>
                <w:szCs w:val="14"/>
              </w:rPr>
              <w:t>478,641,485</w:t>
            </w:r>
          </w:p>
        </w:tc>
        <w:tc>
          <w:tcPr>
            <w:tcW w:w="933" w:type="dxa"/>
            <w:tcBorders>
              <w:top w:val="single" w:sz="4" w:space="0" w:color="auto"/>
              <w:left w:val="single" w:sz="4" w:space="0" w:color="auto"/>
              <w:bottom w:val="single" w:sz="4" w:space="0" w:color="auto"/>
              <w:right w:val="single" w:sz="4" w:space="0" w:color="auto"/>
            </w:tcBorders>
            <w:noWrap/>
            <w:vAlign w:val="center"/>
            <w:hideMark/>
          </w:tcPr>
          <w:p w14:paraId="76DA1207" w14:textId="77777777" w:rsidR="008E3291" w:rsidRPr="00D130F4" w:rsidRDefault="008E3291" w:rsidP="0061738E">
            <w:pPr>
              <w:suppressAutoHyphens w:val="0"/>
              <w:spacing w:before="0" w:after="0" w:line="240" w:lineRule="auto"/>
              <w:rPr>
                <w:rFonts w:ascii="Calibri" w:eastAsia="Times New Roman" w:hAnsi="Calibri" w:cs="Calibri"/>
                <w:color w:val="000000"/>
                <w:sz w:val="14"/>
                <w:szCs w:val="14"/>
              </w:rPr>
            </w:pPr>
            <w:r w:rsidRPr="00D130F4">
              <w:rPr>
                <w:rFonts w:ascii="Calibri" w:eastAsia="Times New Roman" w:hAnsi="Calibri" w:cs="Calibri"/>
                <w:color w:val="000000"/>
                <w:sz w:val="14"/>
                <w:szCs w:val="14"/>
              </w:rPr>
              <w:t>4,025,515</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26F29FD0" w14:textId="77777777" w:rsidR="008E3291" w:rsidRPr="00D130F4" w:rsidRDefault="008E3291" w:rsidP="0061738E">
            <w:pPr>
              <w:suppressAutoHyphens w:val="0"/>
              <w:spacing w:before="0" w:after="0" w:line="240" w:lineRule="auto"/>
              <w:rPr>
                <w:rFonts w:ascii="Calibri" w:eastAsia="Times New Roman" w:hAnsi="Calibri" w:cs="Calibri"/>
                <w:color w:val="000000"/>
                <w:sz w:val="14"/>
                <w:szCs w:val="14"/>
              </w:rPr>
            </w:pPr>
            <w:r w:rsidRPr="00D130F4">
              <w:rPr>
                <w:rFonts w:ascii="Calibri" w:eastAsia="Times New Roman" w:hAnsi="Calibri" w:cs="Calibri"/>
                <w:color w:val="000000"/>
                <w:sz w:val="14"/>
                <w:szCs w:val="14"/>
              </w:rPr>
              <w:t>99</w:t>
            </w:r>
          </w:p>
        </w:tc>
      </w:tr>
      <w:tr w:rsidR="008E3291" w:rsidRPr="00D130F4" w14:paraId="0C5FE12B" w14:textId="77777777" w:rsidTr="007B4850">
        <w:trPr>
          <w:trHeight w:val="548"/>
        </w:trPr>
        <w:tc>
          <w:tcPr>
            <w:tcW w:w="1440" w:type="dxa"/>
            <w:tcBorders>
              <w:top w:val="single" w:sz="4" w:space="0" w:color="auto"/>
              <w:left w:val="single" w:sz="4" w:space="0" w:color="auto"/>
              <w:bottom w:val="single" w:sz="4" w:space="0" w:color="auto"/>
              <w:right w:val="single" w:sz="4" w:space="0" w:color="auto"/>
            </w:tcBorders>
            <w:noWrap/>
            <w:vAlign w:val="center"/>
            <w:hideMark/>
          </w:tcPr>
          <w:p w14:paraId="5660F89C" w14:textId="77777777" w:rsidR="008E3291" w:rsidRPr="00D130F4" w:rsidRDefault="008E3291" w:rsidP="0061738E">
            <w:pPr>
              <w:suppressAutoHyphens w:val="0"/>
              <w:spacing w:before="0" w:after="0" w:line="240" w:lineRule="auto"/>
              <w:jc w:val="center"/>
              <w:rPr>
                <w:rFonts w:ascii="Calibri" w:eastAsia="Times New Roman" w:hAnsi="Calibri" w:cs="Calibri"/>
                <w:i/>
                <w:iCs/>
                <w:color w:val="000000"/>
                <w:sz w:val="14"/>
                <w:szCs w:val="14"/>
              </w:rPr>
            </w:pPr>
            <w:r w:rsidRPr="00D130F4">
              <w:rPr>
                <w:rFonts w:ascii="Calibri" w:eastAsia="Times New Roman" w:hAnsi="Calibri" w:cs="Calibri"/>
                <w:i/>
                <w:iCs/>
                <w:color w:val="000000"/>
                <w:sz w:val="14"/>
                <w:szCs w:val="14"/>
              </w:rPr>
              <w:t>91307AJ</w:t>
            </w:r>
          </w:p>
        </w:tc>
        <w:tc>
          <w:tcPr>
            <w:tcW w:w="1890" w:type="dxa"/>
            <w:tcBorders>
              <w:top w:val="single" w:sz="4" w:space="0" w:color="auto"/>
              <w:left w:val="single" w:sz="4" w:space="0" w:color="auto"/>
              <w:bottom w:val="single" w:sz="4" w:space="0" w:color="auto"/>
              <w:right w:val="single" w:sz="4" w:space="0" w:color="auto"/>
            </w:tcBorders>
            <w:vAlign w:val="center"/>
            <w:hideMark/>
          </w:tcPr>
          <w:p w14:paraId="612E4DDD" w14:textId="77777777" w:rsidR="008E3291" w:rsidRPr="00D130F4" w:rsidRDefault="008E3291" w:rsidP="0061738E">
            <w:pPr>
              <w:suppressAutoHyphens w:val="0"/>
              <w:spacing w:before="0" w:after="0" w:line="240" w:lineRule="auto"/>
              <w:rPr>
                <w:rFonts w:ascii="Calibri" w:eastAsia="Times New Roman" w:hAnsi="Calibri" w:cs="Calibri"/>
                <w:color w:val="000000"/>
                <w:sz w:val="14"/>
                <w:szCs w:val="14"/>
              </w:rPr>
            </w:pPr>
            <w:r w:rsidRPr="00D130F4">
              <w:rPr>
                <w:rFonts w:ascii="Calibri" w:eastAsia="Times New Roman" w:hAnsi="Calibri" w:cs="Calibri"/>
                <w:color w:val="000000"/>
                <w:sz w:val="14"/>
                <w:szCs w:val="14"/>
              </w:rPr>
              <w:t>Fëmijë që përfitojnë shërbime në institucionet e përkujdesit</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486E0548" w14:textId="77777777" w:rsidR="008E3291" w:rsidRPr="00D130F4" w:rsidRDefault="008E3291" w:rsidP="0061738E">
            <w:pPr>
              <w:suppressAutoHyphens w:val="0"/>
              <w:spacing w:before="0" w:after="0" w:line="240" w:lineRule="auto"/>
              <w:jc w:val="center"/>
              <w:rPr>
                <w:rFonts w:ascii="Calibri" w:eastAsia="Times New Roman" w:hAnsi="Calibri" w:cs="Calibri"/>
                <w:color w:val="000000"/>
                <w:sz w:val="14"/>
                <w:szCs w:val="14"/>
              </w:rPr>
            </w:pPr>
            <w:r w:rsidRPr="00D130F4">
              <w:rPr>
                <w:rFonts w:ascii="Calibri" w:eastAsia="Times New Roman" w:hAnsi="Calibri" w:cs="Calibri"/>
                <w:color w:val="000000"/>
                <w:sz w:val="14"/>
                <w:szCs w:val="14"/>
              </w:rPr>
              <w:t> </w:t>
            </w:r>
          </w:p>
        </w:tc>
        <w:tc>
          <w:tcPr>
            <w:tcW w:w="791" w:type="dxa"/>
            <w:tcBorders>
              <w:top w:val="single" w:sz="4" w:space="0" w:color="auto"/>
              <w:left w:val="single" w:sz="4" w:space="0" w:color="auto"/>
              <w:bottom w:val="single" w:sz="4" w:space="0" w:color="auto"/>
              <w:right w:val="single" w:sz="4" w:space="0" w:color="auto"/>
            </w:tcBorders>
            <w:noWrap/>
            <w:vAlign w:val="center"/>
            <w:hideMark/>
          </w:tcPr>
          <w:p w14:paraId="3FCD6782" w14:textId="77777777" w:rsidR="008E3291" w:rsidRPr="00D130F4" w:rsidRDefault="008E3291" w:rsidP="0061738E">
            <w:pPr>
              <w:suppressAutoHyphens w:val="0"/>
              <w:spacing w:before="0" w:after="0" w:line="240" w:lineRule="auto"/>
              <w:rPr>
                <w:rFonts w:ascii="Calibri" w:eastAsia="Times New Roman" w:hAnsi="Calibri" w:cs="Calibri"/>
                <w:color w:val="000000"/>
                <w:sz w:val="14"/>
                <w:szCs w:val="14"/>
              </w:rPr>
            </w:pPr>
            <w:r w:rsidRPr="00D130F4">
              <w:rPr>
                <w:rFonts w:ascii="Calibri" w:eastAsia="Times New Roman" w:hAnsi="Calibri" w:cs="Calibri"/>
                <w:color w:val="000000"/>
                <w:sz w:val="14"/>
                <w:szCs w:val="14"/>
              </w:rPr>
              <w:t xml:space="preserve">lekë </w:t>
            </w:r>
          </w:p>
        </w:tc>
        <w:tc>
          <w:tcPr>
            <w:tcW w:w="1105" w:type="dxa"/>
            <w:tcBorders>
              <w:top w:val="single" w:sz="4" w:space="0" w:color="auto"/>
              <w:left w:val="single" w:sz="4" w:space="0" w:color="auto"/>
              <w:bottom w:val="single" w:sz="4" w:space="0" w:color="auto"/>
              <w:right w:val="single" w:sz="4" w:space="0" w:color="auto"/>
            </w:tcBorders>
            <w:vAlign w:val="center"/>
            <w:hideMark/>
          </w:tcPr>
          <w:p w14:paraId="4608C396" w14:textId="77777777" w:rsidR="008E3291" w:rsidRPr="00D130F4" w:rsidRDefault="008E3291" w:rsidP="0061738E">
            <w:pPr>
              <w:suppressAutoHyphens w:val="0"/>
              <w:spacing w:before="0" w:after="0" w:line="240" w:lineRule="auto"/>
              <w:rPr>
                <w:rFonts w:ascii="Calibri" w:eastAsia="Times New Roman" w:hAnsi="Calibri" w:cs="Calibri"/>
                <w:color w:val="000000"/>
                <w:sz w:val="14"/>
                <w:szCs w:val="14"/>
              </w:rPr>
            </w:pPr>
            <w:r w:rsidRPr="00D130F4">
              <w:rPr>
                <w:rFonts w:ascii="Calibri" w:eastAsia="Times New Roman" w:hAnsi="Calibri" w:cs="Calibri"/>
                <w:color w:val="000000"/>
                <w:sz w:val="14"/>
                <w:szCs w:val="14"/>
              </w:rPr>
              <w:t>305,139,349</w:t>
            </w:r>
          </w:p>
        </w:tc>
        <w:tc>
          <w:tcPr>
            <w:tcW w:w="1148" w:type="dxa"/>
            <w:tcBorders>
              <w:top w:val="single" w:sz="4" w:space="0" w:color="auto"/>
              <w:left w:val="single" w:sz="4" w:space="0" w:color="auto"/>
              <w:bottom w:val="single" w:sz="4" w:space="0" w:color="auto"/>
              <w:right w:val="single" w:sz="4" w:space="0" w:color="auto"/>
            </w:tcBorders>
            <w:noWrap/>
            <w:vAlign w:val="center"/>
            <w:hideMark/>
          </w:tcPr>
          <w:p w14:paraId="594437C5" w14:textId="77777777" w:rsidR="008E3291" w:rsidRPr="00D130F4" w:rsidRDefault="008E3291" w:rsidP="0061738E">
            <w:pPr>
              <w:suppressAutoHyphens w:val="0"/>
              <w:spacing w:before="0" w:after="0" w:line="240" w:lineRule="auto"/>
              <w:rPr>
                <w:rFonts w:ascii="Calibri" w:eastAsia="Times New Roman" w:hAnsi="Calibri" w:cs="Calibri"/>
                <w:color w:val="000000"/>
                <w:sz w:val="14"/>
                <w:szCs w:val="14"/>
              </w:rPr>
            </w:pPr>
            <w:r w:rsidRPr="00D130F4">
              <w:rPr>
                <w:rFonts w:ascii="Calibri" w:eastAsia="Times New Roman" w:hAnsi="Calibri" w:cs="Calibri"/>
                <w:color w:val="000000"/>
                <w:sz w:val="14"/>
                <w:szCs w:val="14"/>
              </w:rPr>
              <w:t>307,375,000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291C5816" w14:textId="77777777" w:rsidR="008E3291" w:rsidRPr="00D130F4" w:rsidRDefault="008E3291" w:rsidP="0061738E">
            <w:pPr>
              <w:suppressAutoHyphens w:val="0"/>
              <w:spacing w:before="0" w:after="0" w:line="240" w:lineRule="auto"/>
              <w:rPr>
                <w:rFonts w:ascii="Calibri" w:eastAsia="Times New Roman" w:hAnsi="Calibri" w:cs="Calibri"/>
                <w:color w:val="000000"/>
                <w:sz w:val="14"/>
                <w:szCs w:val="14"/>
              </w:rPr>
            </w:pPr>
            <w:r w:rsidRPr="00D130F4">
              <w:rPr>
                <w:rFonts w:ascii="Calibri" w:eastAsia="Times New Roman" w:hAnsi="Calibri" w:cs="Calibri"/>
                <w:color w:val="000000"/>
                <w:sz w:val="14"/>
                <w:szCs w:val="14"/>
              </w:rPr>
              <w:t>313,782,000</w:t>
            </w:r>
          </w:p>
        </w:tc>
        <w:tc>
          <w:tcPr>
            <w:tcW w:w="1227" w:type="dxa"/>
            <w:tcBorders>
              <w:top w:val="single" w:sz="4" w:space="0" w:color="auto"/>
              <w:left w:val="single" w:sz="4" w:space="0" w:color="auto"/>
              <w:bottom w:val="single" w:sz="4" w:space="0" w:color="auto"/>
              <w:right w:val="single" w:sz="4" w:space="0" w:color="auto"/>
            </w:tcBorders>
            <w:noWrap/>
            <w:vAlign w:val="center"/>
            <w:hideMark/>
          </w:tcPr>
          <w:p w14:paraId="3F6BFD76" w14:textId="77777777" w:rsidR="008E3291" w:rsidRPr="00D130F4" w:rsidRDefault="008E3291" w:rsidP="0061738E">
            <w:pPr>
              <w:suppressAutoHyphens w:val="0"/>
              <w:spacing w:before="0" w:after="0" w:line="240" w:lineRule="auto"/>
              <w:rPr>
                <w:rFonts w:ascii="Calibri" w:eastAsia="Times New Roman" w:hAnsi="Calibri" w:cs="Calibri"/>
                <w:color w:val="000000"/>
                <w:sz w:val="14"/>
                <w:szCs w:val="14"/>
              </w:rPr>
            </w:pPr>
            <w:r w:rsidRPr="00D130F4">
              <w:rPr>
                <w:rFonts w:ascii="Calibri" w:eastAsia="Times New Roman" w:hAnsi="Calibri" w:cs="Calibri"/>
                <w:color w:val="000000"/>
                <w:sz w:val="14"/>
                <w:szCs w:val="14"/>
              </w:rPr>
              <w:t>310,610,212</w:t>
            </w:r>
          </w:p>
        </w:tc>
        <w:tc>
          <w:tcPr>
            <w:tcW w:w="933" w:type="dxa"/>
            <w:tcBorders>
              <w:top w:val="single" w:sz="4" w:space="0" w:color="auto"/>
              <w:left w:val="single" w:sz="4" w:space="0" w:color="auto"/>
              <w:bottom w:val="single" w:sz="4" w:space="0" w:color="auto"/>
              <w:right w:val="single" w:sz="4" w:space="0" w:color="auto"/>
            </w:tcBorders>
            <w:noWrap/>
            <w:vAlign w:val="center"/>
            <w:hideMark/>
          </w:tcPr>
          <w:p w14:paraId="2CE77DEC" w14:textId="77777777" w:rsidR="008E3291" w:rsidRPr="00D130F4" w:rsidRDefault="008E3291" w:rsidP="0061738E">
            <w:pPr>
              <w:suppressAutoHyphens w:val="0"/>
              <w:spacing w:before="0" w:after="0" w:line="240" w:lineRule="auto"/>
              <w:rPr>
                <w:rFonts w:ascii="Calibri" w:eastAsia="Times New Roman" w:hAnsi="Calibri" w:cs="Calibri"/>
                <w:color w:val="000000"/>
                <w:sz w:val="14"/>
                <w:szCs w:val="14"/>
              </w:rPr>
            </w:pPr>
            <w:r w:rsidRPr="00D130F4">
              <w:rPr>
                <w:rFonts w:ascii="Calibri" w:eastAsia="Times New Roman" w:hAnsi="Calibri" w:cs="Calibri"/>
                <w:color w:val="000000"/>
                <w:sz w:val="14"/>
                <w:szCs w:val="14"/>
              </w:rPr>
              <w:t>3,171,788</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47D68958" w14:textId="77777777" w:rsidR="008E3291" w:rsidRPr="00D130F4" w:rsidRDefault="008E3291" w:rsidP="0061738E">
            <w:pPr>
              <w:suppressAutoHyphens w:val="0"/>
              <w:spacing w:before="0" w:after="0" w:line="240" w:lineRule="auto"/>
              <w:rPr>
                <w:rFonts w:ascii="Calibri" w:eastAsia="Times New Roman" w:hAnsi="Calibri" w:cs="Calibri"/>
                <w:color w:val="000000"/>
                <w:sz w:val="14"/>
                <w:szCs w:val="14"/>
              </w:rPr>
            </w:pPr>
            <w:r w:rsidRPr="00D130F4">
              <w:rPr>
                <w:rFonts w:ascii="Calibri" w:eastAsia="Times New Roman" w:hAnsi="Calibri" w:cs="Calibri"/>
                <w:color w:val="000000"/>
                <w:sz w:val="14"/>
                <w:szCs w:val="14"/>
              </w:rPr>
              <w:t>99</w:t>
            </w:r>
          </w:p>
        </w:tc>
      </w:tr>
      <w:tr w:rsidR="008E3291" w:rsidRPr="00D130F4" w14:paraId="0EBA3701" w14:textId="77777777" w:rsidTr="007B4850">
        <w:trPr>
          <w:trHeight w:val="557"/>
        </w:trPr>
        <w:tc>
          <w:tcPr>
            <w:tcW w:w="1440" w:type="dxa"/>
            <w:tcBorders>
              <w:top w:val="single" w:sz="4" w:space="0" w:color="auto"/>
              <w:left w:val="single" w:sz="4" w:space="0" w:color="auto"/>
              <w:bottom w:val="single" w:sz="4" w:space="0" w:color="auto"/>
              <w:right w:val="single" w:sz="4" w:space="0" w:color="auto"/>
            </w:tcBorders>
            <w:noWrap/>
            <w:vAlign w:val="center"/>
            <w:hideMark/>
          </w:tcPr>
          <w:p w14:paraId="554DED2F" w14:textId="77777777" w:rsidR="008E3291" w:rsidRPr="00D130F4" w:rsidRDefault="008E3291" w:rsidP="0061738E">
            <w:pPr>
              <w:suppressAutoHyphens w:val="0"/>
              <w:spacing w:before="0" w:after="0" w:line="240" w:lineRule="auto"/>
              <w:jc w:val="center"/>
              <w:rPr>
                <w:rFonts w:ascii="Calibri" w:eastAsia="Times New Roman" w:hAnsi="Calibri" w:cs="Calibri"/>
                <w:i/>
                <w:iCs/>
                <w:color w:val="000000"/>
                <w:sz w:val="14"/>
                <w:szCs w:val="14"/>
              </w:rPr>
            </w:pPr>
            <w:r w:rsidRPr="00D130F4">
              <w:rPr>
                <w:rFonts w:ascii="Calibri" w:eastAsia="Times New Roman" w:hAnsi="Calibri" w:cs="Calibri"/>
                <w:i/>
                <w:iCs/>
                <w:color w:val="000000"/>
                <w:sz w:val="14"/>
                <w:szCs w:val="14"/>
              </w:rPr>
              <w:t>91307AK</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991179E" w14:textId="77777777" w:rsidR="008E3291" w:rsidRPr="00D130F4" w:rsidRDefault="008E3291" w:rsidP="0061738E">
            <w:pPr>
              <w:suppressAutoHyphens w:val="0"/>
              <w:spacing w:before="0" w:after="0" w:line="240" w:lineRule="auto"/>
              <w:rPr>
                <w:rFonts w:ascii="Calibri" w:eastAsia="Times New Roman" w:hAnsi="Calibri" w:cs="Calibri"/>
                <w:color w:val="000000"/>
                <w:sz w:val="14"/>
                <w:szCs w:val="14"/>
              </w:rPr>
            </w:pPr>
            <w:r w:rsidRPr="00D130F4">
              <w:rPr>
                <w:rFonts w:ascii="Calibri" w:eastAsia="Times New Roman" w:hAnsi="Calibri" w:cs="Calibri"/>
                <w:color w:val="000000"/>
                <w:sz w:val="14"/>
                <w:szCs w:val="14"/>
              </w:rPr>
              <w:t>Të moshuar të trajtuar me shërbime të përkujdesit</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3E43BF52" w14:textId="77777777" w:rsidR="008E3291" w:rsidRPr="00D130F4" w:rsidRDefault="008E3291" w:rsidP="0061738E">
            <w:pPr>
              <w:suppressAutoHyphens w:val="0"/>
              <w:spacing w:before="0" w:after="0" w:line="240" w:lineRule="auto"/>
              <w:jc w:val="center"/>
              <w:rPr>
                <w:rFonts w:ascii="Calibri" w:eastAsia="Times New Roman" w:hAnsi="Calibri" w:cs="Calibri"/>
                <w:color w:val="000000"/>
                <w:sz w:val="14"/>
                <w:szCs w:val="14"/>
              </w:rPr>
            </w:pPr>
            <w:r w:rsidRPr="00D130F4">
              <w:rPr>
                <w:rFonts w:ascii="Calibri" w:eastAsia="Times New Roman" w:hAnsi="Calibri" w:cs="Calibri"/>
                <w:color w:val="000000"/>
                <w:sz w:val="14"/>
                <w:szCs w:val="14"/>
              </w:rPr>
              <w:t> </w:t>
            </w:r>
          </w:p>
        </w:tc>
        <w:tc>
          <w:tcPr>
            <w:tcW w:w="791" w:type="dxa"/>
            <w:tcBorders>
              <w:top w:val="single" w:sz="4" w:space="0" w:color="auto"/>
              <w:left w:val="single" w:sz="4" w:space="0" w:color="auto"/>
              <w:bottom w:val="single" w:sz="4" w:space="0" w:color="auto"/>
              <w:right w:val="single" w:sz="4" w:space="0" w:color="auto"/>
            </w:tcBorders>
            <w:noWrap/>
            <w:vAlign w:val="center"/>
            <w:hideMark/>
          </w:tcPr>
          <w:p w14:paraId="480F8C19" w14:textId="77777777" w:rsidR="008E3291" w:rsidRPr="00D130F4" w:rsidRDefault="008E3291" w:rsidP="0061738E">
            <w:pPr>
              <w:suppressAutoHyphens w:val="0"/>
              <w:spacing w:before="0" w:after="0" w:line="240" w:lineRule="auto"/>
              <w:rPr>
                <w:rFonts w:ascii="Calibri" w:eastAsia="Times New Roman" w:hAnsi="Calibri" w:cs="Calibri"/>
                <w:color w:val="000000"/>
                <w:sz w:val="14"/>
                <w:szCs w:val="14"/>
              </w:rPr>
            </w:pPr>
            <w:r w:rsidRPr="00D130F4">
              <w:rPr>
                <w:rFonts w:ascii="Calibri" w:eastAsia="Times New Roman" w:hAnsi="Calibri" w:cs="Calibri"/>
                <w:color w:val="000000"/>
                <w:sz w:val="14"/>
                <w:szCs w:val="14"/>
              </w:rPr>
              <w:t xml:space="preserve">lekë </w:t>
            </w:r>
          </w:p>
        </w:tc>
        <w:tc>
          <w:tcPr>
            <w:tcW w:w="1105" w:type="dxa"/>
            <w:tcBorders>
              <w:top w:val="single" w:sz="4" w:space="0" w:color="auto"/>
              <w:left w:val="single" w:sz="4" w:space="0" w:color="auto"/>
              <w:bottom w:val="single" w:sz="4" w:space="0" w:color="auto"/>
              <w:right w:val="single" w:sz="4" w:space="0" w:color="auto"/>
            </w:tcBorders>
            <w:vAlign w:val="center"/>
            <w:hideMark/>
          </w:tcPr>
          <w:p w14:paraId="177E76B9" w14:textId="77777777" w:rsidR="008E3291" w:rsidRPr="00D130F4" w:rsidRDefault="008E3291" w:rsidP="0061738E">
            <w:pPr>
              <w:suppressAutoHyphens w:val="0"/>
              <w:spacing w:before="0" w:after="0" w:line="240" w:lineRule="auto"/>
              <w:rPr>
                <w:rFonts w:ascii="Calibri" w:eastAsia="Times New Roman" w:hAnsi="Calibri" w:cs="Calibri"/>
                <w:color w:val="000000"/>
                <w:sz w:val="14"/>
                <w:szCs w:val="14"/>
              </w:rPr>
            </w:pPr>
            <w:r w:rsidRPr="00D130F4">
              <w:rPr>
                <w:rFonts w:ascii="Calibri" w:eastAsia="Times New Roman" w:hAnsi="Calibri" w:cs="Calibri"/>
                <w:color w:val="000000"/>
                <w:sz w:val="14"/>
                <w:szCs w:val="14"/>
              </w:rPr>
              <w:t>242,901,591</w:t>
            </w:r>
          </w:p>
        </w:tc>
        <w:tc>
          <w:tcPr>
            <w:tcW w:w="1148" w:type="dxa"/>
            <w:tcBorders>
              <w:top w:val="single" w:sz="4" w:space="0" w:color="auto"/>
              <w:left w:val="single" w:sz="4" w:space="0" w:color="auto"/>
              <w:bottom w:val="single" w:sz="4" w:space="0" w:color="auto"/>
              <w:right w:val="single" w:sz="4" w:space="0" w:color="auto"/>
            </w:tcBorders>
            <w:noWrap/>
            <w:vAlign w:val="center"/>
            <w:hideMark/>
          </w:tcPr>
          <w:p w14:paraId="699D504D" w14:textId="77777777" w:rsidR="008E3291" w:rsidRPr="00D130F4" w:rsidRDefault="008E3291" w:rsidP="0061738E">
            <w:pPr>
              <w:suppressAutoHyphens w:val="0"/>
              <w:spacing w:before="0" w:after="0" w:line="240" w:lineRule="auto"/>
              <w:rPr>
                <w:rFonts w:ascii="Calibri" w:eastAsia="Times New Roman" w:hAnsi="Calibri" w:cs="Calibri"/>
                <w:color w:val="000000"/>
                <w:sz w:val="14"/>
                <w:szCs w:val="14"/>
              </w:rPr>
            </w:pPr>
            <w:r w:rsidRPr="00D130F4">
              <w:rPr>
                <w:rFonts w:ascii="Calibri" w:eastAsia="Times New Roman" w:hAnsi="Calibri" w:cs="Calibri"/>
                <w:color w:val="000000"/>
                <w:sz w:val="14"/>
                <w:szCs w:val="14"/>
              </w:rPr>
              <w:t>240,803,000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531E838C" w14:textId="77777777" w:rsidR="008E3291" w:rsidRPr="00D130F4" w:rsidRDefault="008E3291" w:rsidP="0061738E">
            <w:pPr>
              <w:suppressAutoHyphens w:val="0"/>
              <w:spacing w:before="0" w:after="0" w:line="240" w:lineRule="auto"/>
              <w:rPr>
                <w:rFonts w:ascii="Calibri" w:eastAsia="Times New Roman" w:hAnsi="Calibri" w:cs="Calibri"/>
                <w:color w:val="000000"/>
                <w:sz w:val="14"/>
                <w:szCs w:val="14"/>
              </w:rPr>
            </w:pPr>
            <w:r w:rsidRPr="00D130F4">
              <w:rPr>
                <w:rFonts w:ascii="Calibri" w:eastAsia="Times New Roman" w:hAnsi="Calibri" w:cs="Calibri"/>
                <w:color w:val="000000"/>
                <w:sz w:val="14"/>
                <w:szCs w:val="14"/>
              </w:rPr>
              <w:t>258,622,000</w:t>
            </w:r>
          </w:p>
        </w:tc>
        <w:tc>
          <w:tcPr>
            <w:tcW w:w="1227" w:type="dxa"/>
            <w:tcBorders>
              <w:top w:val="single" w:sz="4" w:space="0" w:color="auto"/>
              <w:left w:val="single" w:sz="4" w:space="0" w:color="auto"/>
              <w:bottom w:val="single" w:sz="4" w:space="0" w:color="auto"/>
              <w:right w:val="single" w:sz="4" w:space="0" w:color="auto"/>
            </w:tcBorders>
            <w:noWrap/>
            <w:vAlign w:val="center"/>
            <w:hideMark/>
          </w:tcPr>
          <w:p w14:paraId="54A96913" w14:textId="77777777" w:rsidR="008E3291" w:rsidRPr="00D130F4" w:rsidRDefault="008E3291" w:rsidP="0061738E">
            <w:pPr>
              <w:suppressAutoHyphens w:val="0"/>
              <w:spacing w:before="0" w:after="0" w:line="240" w:lineRule="auto"/>
              <w:rPr>
                <w:rFonts w:ascii="Calibri" w:eastAsia="Times New Roman" w:hAnsi="Calibri" w:cs="Calibri"/>
                <w:color w:val="000000"/>
                <w:sz w:val="14"/>
                <w:szCs w:val="14"/>
              </w:rPr>
            </w:pPr>
            <w:r w:rsidRPr="00D130F4">
              <w:rPr>
                <w:rFonts w:ascii="Calibri" w:eastAsia="Times New Roman" w:hAnsi="Calibri" w:cs="Calibri"/>
                <w:color w:val="000000"/>
                <w:sz w:val="14"/>
                <w:szCs w:val="14"/>
              </w:rPr>
              <w:t>257,052,020</w:t>
            </w:r>
          </w:p>
        </w:tc>
        <w:tc>
          <w:tcPr>
            <w:tcW w:w="933" w:type="dxa"/>
            <w:tcBorders>
              <w:top w:val="single" w:sz="4" w:space="0" w:color="auto"/>
              <w:left w:val="single" w:sz="4" w:space="0" w:color="auto"/>
              <w:bottom w:val="single" w:sz="4" w:space="0" w:color="auto"/>
              <w:right w:val="single" w:sz="4" w:space="0" w:color="auto"/>
            </w:tcBorders>
            <w:noWrap/>
            <w:vAlign w:val="center"/>
            <w:hideMark/>
          </w:tcPr>
          <w:p w14:paraId="0230E83B" w14:textId="77777777" w:rsidR="008E3291" w:rsidRPr="00D130F4" w:rsidRDefault="008E3291" w:rsidP="0061738E">
            <w:pPr>
              <w:suppressAutoHyphens w:val="0"/>
              <w:spacing w:before="0" w:after="0" w:line="240" w:lineRule="auto"/>
              <w:rPr>
                <w:rFonts w:ascii="Calibri" w:eastAsia="Times New Roman" w:hAnsi="Calibri" w:cs="Calibri"/>
                <w:color w:val="000000"/>
                <w:sz w:val="14"/>
                <w:szCs w:val="14"/>
              </w:rPr>
            </w:pPr>
            <w:r w:rsidRPr="00D130F4">
              <w:rPr>
                <w:rFonts w:ascii="Calibri" w:eastAsia="Times New Roman" w:hAnsi="Calibri" w:cs="Calibri"/>
                <w:color w:val="000000"/>
                <w:sz w:val="14"/>
                <w:szCs w:val="14"/>
              </w:rPr>
              <w:t>1,569,980</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2949C93F" w14:textId="77777777" w:rsidR="008E3291" w:rsidRPr="00D130F4" w:rsidRDefault="008E3291" w:rsidP="0061738E">
            <w:pPr>
              <w:suppressAutoHyphens w:val="0"/>
              <w:spacing w:before="0" w:after="0" w:line="240" w:lineRule="auto"/>
              <w:rPr>
                <w:rFonts w:ascii="Calibri" w:eastAsia="Times New Roman" w:hAnsi="Calibri" w:cs="Calibri"/>
                <w:color w:val="000000"/>
                <w:sz w:val="14"/>
                <w:szCs w:val="14"/>
              </w:rPr>
            </w:pPr>
            <w:r w:rsidRPr="00D130F4">
              <w:rPr>
                <w:rFonts w:ascii="Calibri" w:eastAsia="Times New Roman" w:hAnsi="Calibri" w:cs="Calibri"/>
                <w:color w:val="000000"/>
                <w:sz w:val="14"/>
                <w:szCs w:val="14"/>
              </w:rPr>
              <w:t>99</w:t>
            </w:r>
          </w:p>
        </w:tc>
      </w:tr>
      <w:tr w:rsidR="008E3291" w:rsidRPr="00D130F4" w14:paraId="72B19E57" w14:textId="77777777" w:rsidTr="007B4850">
        <w:trPr>
          <w:trHeight w:val="647"/>
        </w:trPr>
        <w:tc>
          <w:tcPr>
            <w:tcW w:w="1440" w:type="dxa"/>
            <w:tcBorders>
              <w:top w:val="single" w:sz="4" w:space="0" w:color="auto"/>
              <w:left w:val="single" w:sz="4" w:space="0" w:color="auto"/>
              <w:bottom w:val="single" w:sz="4" w:space="0" w:color="auto"/>
              <w:right w:val="single" w:sz="4" w:space="0" w:color="auto"/>
            </w:tcBorders>
            <w:noWrap/>
            <w:vAlign w:val="center"/>
            <w:hideMark/>
          </w:tcPr>
          <w:p w14:paraId="18DCE5ED" w14:textId="77777777" w:rsidR="008E3291" w:rsidRPr="00D130F4" w:rsidRDefault="008E3291" w:rsidP="0061738E">
            <w:pPr>
              <w:suppressAutoHyphens w:val="0"/>
              <w:spacing w:before="0" w:after="0" w:line="240" w:lineRule="auto"/>
              <w:jc w:val="center"/>
              <w:rPr>
                <w:rFonts w:ascii="Calibri" w:eastAsia="Times New Roman" w:hAnsi="Calibri" w:cs="Calibri"/>
                <w:i/>
                <w:iCs/>
                <w:color w:val="000000"/>
                <w:sz w:val="14"/>
                <w:szCs w:val="14"/>
              </w:rPr>
            </w:pPr>
            <w:r w:rsidRPr="00D130F4">
              <w:rPr>
                <w:rFonts w:ascii="Calibri" w:eastAsia="Times New Roman" w:hAnsi="Calibri" w:cs="Calibri"/>
                <w:i/>
                <w:iCs/>
                <w:color w:val="000000"/>
                <w:sz w:val="14"/>
                <w:szCs w:val="14"/>
              </w:rPr>
              <w:t>91307AM</w:t>
            </w:r>
          </w:p>
        </w:tc>
        <w:tc>
          <w:tcPr>
            <w:tcW w:w="1890" w:type="dxa"/>
            <w:tcBorders>
              <w:top w:val="single" w:sz="4" w:space="0" w:color="auto"/>
              <w:left w:val="single" w:sz="4" w:space="0" w:color="auto"/>
              <w:bottom w:val="single" w:sz="4" w:space="0" w:color="auto"/>
              <w:right w:val="single" w:sz="4" w:space="0" w:color="auto"/>
            </w:tcBorders>
            <w:vAlign w:val="center"/>
            <w:hideMark/>
          </w:tcPr>
          <w:p w14:paraId="6D6D704A" w14:textId="77777777" w:rsidR="008E3291" w:rsidRPr="00D130F4" w:rsidRDefault="008E3291" w:rsidP="0061738E">
            <w:pPr>
              <w:suppressAutoHyphens w:val="0"/>
              <w:spacing w:before="0" w:after="0" w:line="240" w:lineRule="auto"/>
              <w:rPr>
                <w:rFonts w:ascii="Calibri" w:eastAsia="Times New Roman" w:hAnsi="Calibri" w:cs="Calibri"/>
                <w:color w:val="000000"/>
                <w:sz w:val="14"/>
                <w:szCs w:val="14"/>
              </w:rPr>
            </w:pPr>
            <w:r w:rsidRPr="00D130F4">
              <w:rPr>
                <w:rFonts w:ascii="Calibri" w:eastAsia="Times New Roman" w:hAnsi="Calibri" w:cs="Calibri"/>
                <w:color w:val="000000"/>
                <w:sz w:val="14"/>
                <w:szCs w:val="14"/>
              </w:rPr>
              <w:t>Persona me Aftësi të Kufizuar që përfitojnë shërbime të përkujdesit</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1A79B3C2" w14:textId="77777777" w:rsidR="008E3291" w:rsidRPr="00D130F4" w:rsidRDefault="008E3291" w:rsidP="0061738E">
            <w:pPr>
              <w:suppressAutoHyphens w:val="0"/>
              <w:spacing w:before="0" w:after="0" w:line="240" w:lineRule="auto"/>
              <w:jc w:val="center"/>
              <w:rPr>
                <w:rFonts w:ascii="Calibri" w:eastAsia="Times New Roman" w:hAnsi="Calibri" w:cs="Calibri"/>
                <w:color w:val="000000"/>
                <w:sz w:val="14"/>
                <w:szCs w:val="14"/>
              </w:rPr>
            </w:pPr>
            <w:r w:rsidRPr="00D130F4">
              <w:rPr>
                <w:rFonts w:ascii="Calibri" w:eastAsia="Times New Roman" w:hAnsi="Calibri" w:cs="Calibri"/>
                <w:color w:val="000000"/>
                <w:sz w:val="14"/>
                <w:szCs w:val="14"/>
              </w:rPr>
              <w:t> </w:t>
            </w:r>
          </w:p>
        </w:tc>
        <w:tc>
          <w:tcPr>
            <w:tcW w:w="791" w:type="dxa"/>
            <w:tcBorders>
              <w:top w:val="single" w:sz="4" w:space="0" w:color="auto"/>
              <w:left w:val="single" w:sz="4" w:space="0" w:color="auto"/>
              <w:bottom w:val="single" w:sz="4" w:space="0" w:color="auto"/>
              <w:right w:val="single" w:sz="4" w:space="0" w:color="auto"/>
            </w:tcBorders>
            <w:noWrap/>
            <w:vAlign w:val="center"/>
            <w:hideMark/>
          </w:tcPr>
          <w:p w14:paraId="49F1CA1B" w14:textId="77777777" w:rsidR="008E3291" w:rsidRPr="00D130F4" w:rsidRDefault="008E3291" w:rsidP="0061738E">
            <w:pPr>
              <w:suppressAutoHyphens w:val="0"/>
              <w:spacing w:before="0" w:after="0" w:line="240" w:lineRule="auto"/>
              <w:rPr>
                <w:rFonts w:ascii="Calibri" w:eastAsia="Times New Roman" w:hAnsi="Calibri" w:cs="Calibri"/>
                <w:color w:val="000000"/>
                <w:sz w:val="14"/>
                <w:szCs w:val="14"/>
              </w:rPr>
            </w:pPr>
            <w:r w:rsidRPr="00D130F4">
              <w:rPr>
                <w:rFonts w:ascii="Calibri" w:eastAsia="Times New Roman" w:hAnsi="Calibri" w:cs="Calibri"/>
                <w:color w:val="000000"/>
                <w:sz w:val="14"/>
                <w:szCs w:val="14"/>
              </w:rPr>
              <w:t xml:space="preserve">lekë </w:t>
            </w:r>
          </w:p>
        </w:tc>
        <w:tc>
          <w:tcPr>
            <w:tcW w:w="1105" w:type="dxa"/>
            <w:tcBorders>
              <w:top w:val="single" w:sz="4" w:space="0" w:color="auto"/>
              <w:left w:val="single" w:sz="4" w:space="0" w:color="auto"/>
              <w:bottom w:val="single" w:sz="4" w:space="0" w:color="auto"/>
              <w:right w:val="single" w:sz="4" w:space="0" w:color="auto"/>
            </w:tcBorders>
            <w:vAlign w:val="center"/>
            <w:hideMark/>
          </w:tcPr>
          <w:p w14:paraId="5BE3433A" w14:textId="77777777" w:rsidR="008E3291" w:rsidRPr="00D130F4" w:rsidRDefault="008E3291" w:rsidP="0061738E">
            <w:pPr>
              <w:suppressAutoHyphens w:val="0"/>
              <w:spacing w:before="0" w:after="0" w:line="240" w:lineRule="auto"/>
              <w:rPr>
                <w:rFonts w:ascii="Calibri" w:eastAsia="Times New Roman" w:hAnsi="Calibri" w:cs="Calibri"/>
                <w:color w:val="000000"/>
                <w:sz w:val="14"/>
                <w:szCs w:val="14"/>
              </w:rPr>
            </w:pPr>
            <w:r w:rsidRPr="00D130F4">
              <w:rPr>
                <w:rFonts w:ascii="Calibri" w:eastAsia="Times New Roman" w:hAnsi="Calibri" w:cs="Calibri"/>
                <w:color w:val="000000"/>
                <w:sz w:val="14"/>
                <w:szCs w:val="14"/>
              </w:rPr>
              <w:t>284,196,551</w:t>
            </w:r>
          </w:p>
        </w:tc>
        <w:tc>
          <w:tcPr>
            <w:tcW w:w="1148" w:type="dxa"/>
            <w:tcBorders>
              <w:top w:val="single" w:sz="4" w:space="0" w:color="auto"/>
              <w:left w:val="single" w:sz="4" w:space="0" w:color="auto"/>
              <w:bottom w:val="single" w:sz="4" w:space="0" w:color="auto"/>
              <w:right w:val="single" w:sz="4" w:space="0" w:color="auto"/>
            </w:tcBorders>
            <w:noWrap/>
            <w:vAlign w:val="center"/>
            <w:hideMark/>
          </w:tcPr>
          <w:p w14:paraId="3896E49C" w14:textId="77777777" w:rsidR="008E3291" w:rsidRPr="00D130F4" w:rsidRDefault="008E3291" w:rsidP="0061738E">
            <w:pPr>
              <w:suppressAutoHyphens w:val="0"/>
              <w:spacing w:before="0" w:after="0" w:line="240" w:lineRule="auto"/>
              <w:rPr>
                <w:rFonts w:ascii="Calibri" w:eastAsia="Times New Roman" w:hAnsi="Calibri" w:cs="Calibri"/>
                <w:color w:val="000000"/>
                <w:sz w:val="14"/>
                <w:szCs w:val="14"/>
              </w:rPr>
            </w:pPr>
            <w:r w:rsidRPr="00D130F4">
              <w:rPr>
                <w:rFonts w:ascii="Calibri" w:eastAsia="Times New Roman" w:hAnsi="Calibri" w:cs="Calibri"/>
                <w:color w:val="000000"/>
                <w:sz w:val="14"/>
                <w:szCs w:val="14"/>
              </w:rPr>
              <w:t>282,175,000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0FCCF4AA" w14:textId="77777777" w:rsidR="008E3291" w:rsidRPr="00D130F4" w:rsidRDefault="008E3291" w:rsidP="0061738E">
            <w:pPr>
              <w:suppressAutoHyphens w:val="0"/>
              <w:spacing w:before="0" w:after="0" w:line="240" w:lineRule="auto"/>
              <w:rPr>
                <w:rFonts w:ascii="Calibri" w:eastAsia="Times New Roman" w:hAnsi="Calibri" w:cs="Calibri"/>
                <w:color w:val="000000"/>
                <w:sz w:val="14"/>
                <w:szCs w:val="14"/>
              </w:rPr>
            </w:pPr>
            <w:r w:rsidRPr="00D130F4">
              <w:rPr>
                <w:rFonts w:ascii="Calibri" w:eastAsia="Times New Roman" w:hAnsi="Calibri" w:cs="Calibri"/>
                <w:color w:val="000000"/>
                <w:sz w:val="14"/>
                <w:szCs w:val="14"/>
              </w:rPr>
              <w:t>303,296,000</w:t>
            </w:r>
          </w:p>
        </w:tc>
        <w:tc>
          <w:tcPr>
            <w:tcW w:w="1227" w:type="dxa"/>
            <w:tcBorders>
              <w:top w:val="single" w:sz="4" w:space="0" w:color="auto"/>
              <w:left w:val="single" w:sz="4" w:space="0" w:color="auto"/>
              <w:bottom w:val="single" w:sz="4" w:space="0" w:color="auto"/>
              <w:right w:val="single" w:sz="4" w:space="0" w:color="auto"/>
            </w:tcBorders>
            <w:noWrap/>
            <w:vAlign w:val="center"/>
            <w:hideMark/>
          </w:tcPr>
          <w:p w14:paraId="44D2D5E1" w14:textId="77777777" w:rsidR="008E3291" w:rsidRPr="00D130F4" w:rsidRDefault="008E3291" w:rsidP="0061738E">
            <w:pPr>
              <w:suppressAutoHyphens w:val="0"/>
              <w:spacing w:before="0" w:after="0" w:line="240" w:lineRule="auto"/>
              <w:rPr>
                <w:rFonts w:ascii="Calibri" w:eastAsia="Times New Roman" w:hAnsi="Calibri" w:cs="Calibri"/>
                <w:color w:val="000000"/>
                <w:sz w:val="14"/>
                <w:szCs w:val="14"/>
              </w:rPr>
            </w:pPr>
            <w:r w:rsidRPr="00D130F4">
              <w:rPr>
                <w:rFonts w:ascii="Calibri" w:eastAsia="Times New Roman" w:hAnsi="Calibri" w:cs="Calibri"/>
                <w:color w:val="000000"/>
                <w:sz w:val="14"/>
                <w:szCs w:val="14"/>
              </w:rPr>
              <w:t>301,342,573</w:t>
            </w:r>
          </w:p>
        </w:tc>
        <w:tc>
          <w:tcPr>
            <w:tcW w:w="933" w:type="dxa"/>
            <w:tcBorders>
              <w:top w:val="single" w:sz="4" w:space="0" w:color="auto"/>
              <w:left w:val="single" w:sz="4" w:space="0" w:color="auto"/>
              <w:bottom w:val="single" w:sz="4" w:space="0" w:color="auto"/>
              <w:right w:val="single" w:sz="4" w:space="0" w:color="auto"/>
            </w:tcBorders>
            <w:noWrap/>
            <w:vAlign w:val="center"/>
            <w:hideMark/>
          </w:tcPr>
          <w:p w14:paraId="6763F473" w14:textId="77777777" w:rsidR="008E3291" w:rsidRPr="00D130F4" w:rsidRDefault="008E3291" w:rsidP="0061738E">
            <w:pPr>
              <w:suppressAutoHyphens w:val="0"/>
              <w:spacing w:before="0" w:after="0" w:line="240" w:lineRule="auto"/>
              <w:rPr>
                <w:rFonts w:ascii="Calibri" w:eastAsia="Times New Roman" w:hAnsi="Calibri" w:cs="Calibri"/>
                <w:color w:val="000000"/>
                <w:sz w:val="14"/>
                <w:szCs w:val="14"/>
              </w:rPr>
            </w:pPr>
            <w:r w:rsidRPr="00D130F4">
              <w:rPr>
                <w:rFonts w:ascii="Calibri" w:eastAsia="Times New Roman" w:hAnsi="Calibri" w:cs="Calibri"/>
                <w:color w:val="000000"/>
                <w:sz w:val="14"/>
                <w:szCs w:val="14"/>
              </w:rPr>
              <w:t>1,953,427</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00A5C635" w14:textId="77777777" w:rsidR="008E3291" w:rsidRPr="00D130F4" w:rsidRDefault="008E3291" w:rsidP="0061738E">
            <w:pPr>
              <w:suppressAutoHyphens w:val="0"/>
              <w:spacing w:before="0" w:after="0" w:line="240" w:lineRule="auto"/>
              <w:rPr>
                <w:rFonts w:ascii="Calibri" w:eastAsia="Times New Roman" w:hAnsi="Calibri" w:cs="Calibri"/>
                <w:color w:val="000000"/>
                <w:sz w:val="14"/>
                <w:szCs w:val="14"/>
              </w:rPr>
            </w:pPr>
            <w:r w:rsidRPr="00D130F4">
              <w:rPr>
                <w:rFonts w:ascii="Calibri" w:eastAsia="Times New Roman" w:hAnsi="Calibri" w:cs="Calibri"/>
                <w:color w:val="000000"/>
                <w:sz w:val="14"/>
                <w:szCs w:val="14"/>
              </w:rPr>
              <w:t>99</w:t>
            </w:r>
          </w:p>
        </w:tc>
      </w:tr>
      <w:tr w:rsidR="006F193A" w:rsidRPr="006F193A" w14:paraId="3831ECDF" w14:textId="77777777" w:rsidTr="007B4850">
        <w:trPr>
          <w:trHeight w:val="377"/>
        </w:trPr>
        <w:tc>
          <w:tcPr>
            <w:tcW w:w="1440" w:type="dxa"/>
            <w:tcBorders>
              <w:top w:val="single" w:sz="4" w:space="0" w:color="auto"/>
              <w:left w:val="single" w:sz="4" w:space="0" w:color="auto"/>
              <w:bottom w:val="single" w:sz="4" w:space="0" w:color="auto"/>
              <w:right w:val="single" w:sz="4" w:space="0" w:color="auto"/>
            </w:tcBorders>
            <w:noWrap/>
            <w:vAlign w:val="center"/>
          </w:tcPr>
          <w:p w14:paraId="4063F804" w14:textId="77777777" w:rsidR="006F193A" w:rsidRPr="006F193A" w:rsidRDefault="006F193A" w:rsidP="006F193A">
            <w:pPr>
              <w:suppressAutoHyphens w:val="0"/>
              <w:spacing w:before="0" w:after="0" w:line="240" w:lineRule="auto"/>
              <w:jc w:val="center"/>
              <w:rPr>
                <w:rFonts w:ascii="Calibri" w:eastAsia="Times New Roman" w:hAnsi="Calibri" w:cs="Calibri"/>
                <w:color w:val="000000"/>
                <w:sz w:val="14"/>
                <w:szCs w:val="14"/>
              </w:rPr>
            </w:pPr>
            <w:r w:rsidRPr="006F193A">
              <w:rPr>
                <w:rFonts w:ascii="Calibri" w:eastAsia="Times New Roman" w:hAnsi="Calibri" w:cs="Calibri"/>
                <w:color w:val="000000"/>
                <w:sz w:val="14"/>
                <w:szCs w:val="14"/>
              </w:rPr>
              <w:t>91307AG</w:t>
            </w:r>
          </w:p>
        </w:tc>
        <w:tc>
          <w:tcPr>
            <w:tcW w:w="1890" w:type="dxa"/>
            <w:tcBorders>
              <w:top w:val="single" w:sz="4" w:space="0" w:color="auto"/>
              <w:left w:val="single" w:sz="4" w:space="0" w:color="auto"/>
              <w:bottom w:val="single" w:sz="4" w:space="0" w:color="auto"/>
              <w:right w:val="single" w:sz="4" w:space="0" w:color="auto"/>
            </w:tcBorders>
            <w:vAlign w:val="center"/>
          </w:tcPr>
          <w:p w14:paraId="562E9435" w14:textId="77777777" w:rsidR="006F193A" w:rsidRPr="006F193A" w:rsidRDefault="006F193A" w:rsidP="006F193A">
            <w:pPr>
              <w:suppressAutoHyphens w:val="0"/>
              <w:spacing w:before="0" w:after="0" w:line="240" w:lineRule="auto"/>
              <w:jc w:val="center"/>
              <w:rPr>
                <w:rFonts w:ascii="Calibri" w:eastAsia="Times New Roman" w:hAnsi="Calibri" w:cs="Calibri"/>
                <w:color w:val="000000"/>
                <w:sz w:val="14"/>
                <w:szCs w:val="14"/>
              </w:rPr>
            </w:pPr>
            <w:r w:rsidRPr="006F193A">
              <w:rPr>
                <w:rFonts w:ascii="Calibri" w:eastAsia="Times New Roman" w:hAnsi="Calibri" w:cs="Calibri"/>
                <w:color w:val="000000"/>
                <w:sz w:val="14"/>
                <w:szCs w:val="14"/>
              </w:rPr>
              <w:t>Persona nga grupet e pafavorizuara të punësuar nga ndërrmarjet sociale</w:t>
            </w:r>
          </w:p>
        </w:tc>
        <w:tc>
          <w:tcPr>
            <w:tcW w:w="739" w:type="dxa"/>
            <w:tcBorders>
              <w:top w:val="single" w:sz="4" w:space="0" w:color="auto"/>
              <w:left w:val="single" w:sz="4" w:space="0" w:color="auto"/>
              <w:bottom w:val="single" w:sz="4" w:space="0" w:color="auto"/>
              <w:right w:val="single" w:sz="4" w:space="0" w:color="auto"/>
            </w:tcBorders>
            <w:noWrap/>
            <w:vAlign w:val="center"/>
          </w:tcPr>
          <w:p w14:paraId="53F89E87" w14:textId="77777777" w:rsidR="006F193A" w:rsidRPr="006F193A" w:rsidRDefault="006F193A" w:rsidP="006F193A">
            <w:pPr>
              <w:suppressAutoHyphens w:val="0"/>
              <w:spacing w:before="0" w:after="0" w:line="240" w:lineRule="auto"/>
              <w:jc w:val="center"/>
              <w:rPr>
                <w:rFonts w:ascii="Calibri" w:eastAsia="Times New Roman" w:hAnsi="Calibri" w:cs="Calibri"/>
                <w:color w:val="000000"/>
                <w:sz w:val="14"/>
                <w:szCs w:val="14"/>
              </w:rPr>
            </w:pPr>
            <w:r w:rsidRPr="006F193A">
              <w:rPr>
                <w:rFonts w:ascii="Calibri" w:eastAsia="Times New Roman" w:hAnsi="Calibri" w:cs="Calibri"/>
                <w:color w:val="000000"/>
                <w:sz w:val="14"/>
                <w:szCs w:val="14"/>
              </w:rPr>
              <w:t> </w:t>
            </w:r>
          </w:p>
        </w:tc>
        <w:tc>
          <w:tcPr>
            <w:tcW w:w="791" w:type="dxa"/>
            <w:tcBorders>
              <w:top w:val="single" w:sz="4" w:space="0" w:color="auto"/>
              <w:left w:val="single" w:sz="4" w:space="0" w:color="auto"/>
              <w:bottom w:val="single" w:sz="4" w:space="0" w:color="auto"/>
              <w:right w:val="single" w:sz="4" w:space="0" w:color="auto"/>
            </w:tcBorders>
            <w:noWrap/>
            <w:vAlign w:val="center"/>
          </w:tcPr>
          <w:p w14:paraId="03E682C1" w14:textId="77777777" w:rsidR="006F193A" w:rsidRPr="006F193A" w:rsidRDefault="006F193A" w:rsidP="006F193A">
            <w:pPr>
              <w:suppressAutoHyphens w:val="0"/>
              <w:spacing w:before="0" w:after="0" w:line="240" w:lineRule="auto"/>
              <w:rPr>
                <w:rFonts w:ascii="Calibri" w:eastAsia="Times New Roman" w:hAnsi="Calibri" w:cs="Calibri"/>
                <w:color w:val="000000"/>
                <w:sz w:val="14"/>
                <w:szCs w:val="14"/>
              </w:rPr>
            </w:pPr>
            <w:r w:rsidRPr="006F193A">
              <w:rPr>
                <w:rFonts w:ascii="Calibri" w:eastAsia="Times New Roman" w:hAnsi="Calibri" w:cs="Calibri"/>
                <w:color w:val="000000"/>
                <w:sz w:val="14"/>
                <w:szCs w:val="14"/>
              </w:rPr>
              <w:t xml:space="preserve">lekë </w:t>
            </w:r>
          </w:p>
        </w:tc>
        <w:tc>
          <w:tcPr>
            <w:tcW w:w="1105" w:type="dxa"/>
            <w:tcBorders>
              <w:top w:val="single" w:sz="4" w:space="0" w:color="auto"/>
              <w:left w:val="single" w:sz="4" w:space="0" w:color="auto"/>
              <w:bottom w:val="single" w:sz="4" w:space="0" w:color="auto"/>
              <w:right w:val="single" w:sz="4" w:space="0" w:color="auto"/>
            </w:tcBorders>
            <w:vAlign w:val="center"/>
          </w:tcPr>
          <w:p w14:paraId="3D32D432" w14:textId="77777777" w:rsidR="006F193A" w:rsidRPr="006F193A" w:rsidRDefault="006F193A" w:rsidP="006F193A">
            <w:pPr>
              <w:suppressAutoHyphens w:val="0"/>
              <w:spacing w:before="0" w:after="0" w:line="240" w:lineRule="auto"/>
              <w:rPr>
                <w:rFonts w:ascii="Calibri" w:eastAsia="Times New Roman" w:hAnsi="Calibri" w:cs="Calibri"/>
                <w:color w:val="000000"/>
                <w:sz w:val="14"/>
                <w:szCs w:val="14"/>
              </w:rPr>
            </w:pPr>
            <w:r w:rsidRPr="006F193A">
              <w:rPr>
                <w:rFonts w:ascii="Calibri" w:eastAsia="Times New Roman" w:hAnsi="Calibri" w:cs="Calibri"/>
                <w:color w:val="000000"/>
                <w:sz w:val="14"/>
                <w:szCs w:val="14"/>
              </w:rPr>
              <w:t>3,676,903</w:t>
            </w:r>
          </w:p>
        </w:tc>
        <w:tc>
          <w:tcPr>
            <w:tcW w:w="1148" w:type="dxa"/>
            <w:tcBorders>
              <w:top w:val="single" w:sz="4" w:space="0" w:color="auto"/>
              <w:left w:val="single" w:sz="4" w:space="0" w:color="auto"/>
              <w:bottom w:val="single" w:sz="4" w:space="0" w:color="auto"/>
              <w:right w:val="single" w:sz="4" w:space="0" w:color="auto"/>
            </w:tcBorders>
            <w:noWrap/>
            <w:vAlign w:val="center"/>
          </w:tcPr>
          <w:p w14:paraId="620350D6" w14:textId="77777777" w:rsidR="006F193A" w:rsidRPr="006F193A" w:rsidRDefault="006F193A" w:rsidP="006F193A">
            <w:pPr>
              <w:suppressAutoHyphens w:val="0"/>
              <w:spacing w:before="0" w:after="0" w:line="240" w:lineRule="auto"/>
              <w:rPr>
                <w:rFonts w:ascii="Calibri" w:eastAsia="Times New Roman" w:hAnsi="Calibri" w:cs="Calibri"/>
                <w:color w:val="000000"/>
                <w:sz w:val="14"/>
                <w:szCs w:val="14"/>
              </w:rPr>
            </w:pPr>
            <w:r w:rsidRPr="006F193A">
              <w:rPr>
                <w:rFonts w:ascii="Calibri" w:eastAsia="Times New Roman" w:hAnsi="Calibri" w:cs="Calibri"/>
                <w:color w:val="000000"/>
                <w:sz w:val="14"/>
                <w:szCs w:val="14"/>
              </w:rPr>
              <w:t>80,000,000</w:t>
            </w:r>
          </w:p>
        </w:tc>
        <w:tc>
          <w:tcPr>
            <w:tcW w:w="1170" w:type="dxa"/>
            <w:tcBorders>
              <w:top w:val="single" w:sz="4" w:space="0" w:color="auto"/>
              <w:left w:val="single" w:sz="4" w:space="0" w:color="auto"/>
              <w:bottom w:val="single" w:sz="4" w:space="0" w:color="auto"/>
              <w:right w:val="single" w:sz="4" w:space="0" w:color="auto"/>
            </w:tcBorders>
            <w:noWrap/>
            <w:vAlign w:val="center"/>
          </w:tcPr>
          <w:p w14:paraId="3441174E" w14:textId="77777777" w:rsidR="006F193A" w:rsidRPr="006F193A" w:rsidRDefault="006F193A" w:rsidP="006F193A">
            <w:pPr>
              <w:suppressAutoHyphens w:val="0"/>
              <w:spacing w:before="0" w:after="0" w:line="240" w:lineRule="auto"/>
              <w:rPr>
                <w:rFonts w:ascii="Calibri" w:eastAsia="Times New Roman" w:hAnsi="Calibri" w:cs="Calibri"/>
                <w:color w:val="000000"/>
                <w:sz w:val="14"/>
                <w:szCs w:val="14"/>
              </w:rPr>
            </w:pPr>
            <w:r w:rsidRPr="006F193A">
              <w:rPr>
                <w:rFonts w:ascii="Calibri" w:eastAsia="Times New Roman" w:hAnsi="Calibri" w:cs="Calibri"/>
                <w:color w:val="000000"/>
                <w:sz w:val="14"/>
                <w:szCs w:val="14"/>
              </w:rPr>
              <w:t>19,111,679</w:t>
            </w:r>
          </w:p>
        </w:tc>
        <w:tc>
          <w:tcPr>
            <w:tcW w:w="1227" w:type="dxa"/>
            <w:tcBorders>
              <w:top w:val="single" w:sz="4" w:space="0" w:color="auto"/>
              <w:left w:val="single" w:sz="4" w:space="0" w:color="auto"/>
              <w:bottom w:val="single" w:sz="4" w:space="0" w:color="auto"/>
              <w:right w:val="single" w:sz="4" w:space="0" w:color="auto"/>
            </w:tcBorders>
            <w:noWrap/>
            <w:vAlign w:val="center"/>
          </w:tcPr>
          <w:p w14:paraId="4027E4F3" w14:textId="77777777" w:rsidR="006F193A" w:rsidRPr="006F193A" w:rsidRDefault="006F193A" w:rsidP="006F193A">
            <w:pPr>
              <w:suppressAutoHyphens w:val="0"/>
              <w:spacing w:before="0" w:after="0" w:line="240" w:lineRule="auto"/>
              <w:rPr>
                <w:rFonts w:ascii="Calibri" w:eastAsia="Times New Roman" w:hAnsi="Calibri" w:cs="Calibri"/>
                <w:color w:val="000000"/>
                <w:sz w:val="14"/>
                <w:szCs w:val="14"/>
              </w:rPr>
            </w:pPr>
            <w:r w:rsidRPr="006F193A">
              <w:rPr>
                <w:rFonts w:ascii="Calibri" w:eastAsia="Times New Roman" w:hAnsi="Calibri" w:cs="Calibri"/>
                <w:color w:val="000000"/>
                <w:sz w:val="14"/>
                <w:szCs w:val="14"/>
              </w:rPr>
              <w:t>13,583,848</w:t>
            </w:r>
          </w:p>
        </w:tc>
        <w:tc>
          <w:tcPr>
            <w:tcW w:w="933" w:type="dxa"/>
            <w:tcBorders>
              <w:top w:val="single" w:sz="4" w:space="0" w:color="auto"/>
              <w:left w:val="single" w:sz="4" w:space="0" w:color="auto"/>
              <w:bottom w:val="single" w:sz="4" w:space="0" w:color="auto"/>
              <w:right w:val="single" w:sz="4" w:space="0" w:color="auto"/>
            </w:tcBorders>
            <w:noWrap/>
            <w:vAlign w:val="center"/>
          </w:tcPr>
          <w:p w14:paraId="55872168" w14:textId="77777777" w:rsidR="006F193A" w:rsidRPr="006F193A" w:rsidRDefault="006F193A" w:rsidP="006F193A">
            <w:pPr>
              <w:suppressAutoHyphens w:val="0"/>
              <w:spacing w:before="0" w:after="0" w:line="240" w:lineRule="auto"/>
              <w:rPr>
                <w:rFonts w:ascii="Calibri" w:eastAsia="Times New Roman" w:hAnsi="Calibri" w:cs="Calibri"/>
                <w:color w:val="000000"/>
                <w:sz w:val="14"/>
                <w:szCs w:val="14"/>
              </w:rPr>
            </w:pPr>
            <w:r w:rsidRPr="006F193A">
              <w:rPr>
                <w:rFonts w:ascii="Calibri" w:eastAsia="Times New Roman" w:hAnsi="Calibri" w:cs="Calibri"/>
                <w:color w:val="000000"/>
                <w:sz w:val="14"/>
                <w:szCs w:val="14"/>
              </w:rPr>
              <w:t>5,527,831</w:t>
            </w:r>
          </w:p>
        </w:tc>
        <w:tc>
          <w:tcPr>
            <w:tcW w:w="720" w:type="dxa"/>
            <w:tcBorders>
              <w:top w:val="single" w:sz="4" w:space="0" w:color="auto"/>
              <w:left w:val="single" w:sz="4" w:space="0" w:color="auto"/>
              <w:bottom w:val="single" w:sz="4" w:space="0" w:color="auto"/>
              <w:right w:val="single" w:sz="4" w:space="0" w:color="auto"/>
            </w:tcBorders>
            <w:noWrap/>
            <w:vAlign w:val="center"/>
          </w:tcPr>
          <w:p w14:paraId="3C197889" w14:textId="77777777" w:rsidR="006F193A" w:rsidRPr="006F193A" w:rsidRDefault="006F193A" w:rsidP="006F193A">
            <w:pPr>
              <w:suppressAutoHyphens w:val="0"/>
              <w:spacing w:before="0" w:after="0" w:line="240" w:lineRule="auto"/>
              <w:rPr>
                <w:rFonts w:ascii="Calibri" w:eastAsia="Times New Roman" w:hAnsi="Calibri" w:cs="Calibri"/>
                <w:color w:val="000000"/>
                <w:sz w:val="14"/>
                <w:szCs w:val="14"/>
              </w:rPr>
            </w:pPr>
            <w:r w:rsidRPr="006F193A">
              <w:rPr>
                <w:rFonts w:ascii="Calibri" w:eastAsia="Times New Roman" w:hAnsi="Calibri" w:cs="Calibri"/>
                <w:color w:val="000000"/>
                <w:sz w:val="14"/>
                <w:szCs w:val="14"/>
              </w:rPr>
              <w:t>71</w:t>
            </w:r>
          </w:p>
        </w:tc>
      </w:tr>
      <w:tr w:rsidR="006F193A" w:rsidRPr="006F193A" w14:paraId="585320C2" w14:textId="77777777" w:rsidTr="007B4850">
        <w:trPr>
          <w:trHeight w:val="377"/>
        </w:trPr>
        <w:tc>
          <w:tcPr>
            <w:tcW w:w="1440" w:type="dxa"/>
            <w:tcBorders>
              <w:top w:val="single" w:sz="4" w:space="0" w:color="auto"/>
              <w:left w:val="single" w:sz="4" w:space="0" w:color="auto"/>
              <w:bottom w:val="single" w:sz="4" w:space="0" w:color="auto"/>
              <w:right w:val="single" w:sz="4" w:space="0" w:color="auto"/>
            </w:tcBorders>
            <w:noWrap/>
            <w:vAlign w:val="center"/>
          </w:tcPr>
          <w:p w14:paraId="6E58FD54" w14:textId="77777777" w:rsidR="006F193A" w:rsidRPr="006F193A" w:rsidRDefault="006F193A" w:rsidP="006F193A">
            <w:pPr>
              <w:suppressAutoHyphens w:val="0"/>
              <w:spacing w:before="0" w:after="0" w:line="240" w:lineRule="auto"/>
              <w:jc w:val="center"/>
              <w:rPr>
                <w:rFonts w:ascii="Calibri" w:eastAsia="Times New Roman" w:hAnsi="Calibri" w:cs="Calibri"/>
                <w:color w:val="000000"/>
                <w:sz w:val="14"/>
                <w:szCs w:val="14"/>
              </w:rPr>
            </w:pPr>
            <w:r w:rsidRPr="006F193A">
              <w:rPr>
                <w:rFonts w:ascii="Calibri" w:eastAsia="Times New Roman" w:hAnsi="Calibri" w:cs="Calibri"/>
                <w:color w:val="000000"/>
                <w:sz w:val="14"/>
                <w:szCs w:val="14"/>
              </w:rPr>
              <w:t>91307AH</w:t>
            </w:r>
          </w:p>
        </w:tc>
        <w:tc>
          <w:tcPr>
            <w:tcW w:w="1890" w:type="dxa"/>
            <w:tcBorders>
              <w:top w:val="single" w:sz="4" w:space="0" w:color="auto"/>
              <w:left w:val="single" w:sz="4" w:space="0" w:color="auto"/>
              <w:bottom w:val="single" w:sz="4" w:space="0" w:color="auto"/>
              <w:right w:val="single" w:sz="4" w:space="0" w:color="auto"/>
            </w:tcBorders>
            <w:vAlign w:val="center"/>
          </w:tcPr>
          <w:p w14:paraId="66FB62F2" w14:textId="77777777" w:rsidR="006F193A" w:rsidRPr="006F193A" w:rsidRDefault="006F193A" w:rsidP="006F193A">
            <w:pPr>
              <w:suppressAutoHyphens w:val="0"/>
              <w:spacing w:before="0" w:after="0" w:line="240" w:lineRule="auto"/>
              <w:jc w:val="center"/>
              <w:rPr>
                <w:rFonts w:ascii="Calibri" w:eastAsia="Times New Roman" w:hAnsi="Calibri" w:cs="Calibri"/>
                <w:color w:val="000000"/>
                <w:sz w:val="14"/>
                <w:szCs w:val="14"/>
              </w:rPr>
            </w:pPr>
            <w:r w:rsidRPr="006F193A">
              <w:rPr>
                <w:rFonts w:ascii="Calibri" w:eastAsia="Times New Roman" w:hAnsi="Calibri" w:cs="Calibri"/>
                <w:color w:val="000000"/>
                <w:sz w:val="14"/>
                <w:szCs w:val="14"/>
              </w:rPr>
              <w:t>Shërbime të reja sociale për grupet në nevojë të ofruara nëpërmjet njësive vendore nga financimi i fondit social</w:t>
            </w:r>
          </w:p>
        </w:tc>
        <w:tc>
          <w:tcPr>
            <w:tcW w:w="739" w:type="dxa"/>
            <w:tcBorders>
              <w:top w:val="single" w:sz="4" w:space="0" w:color="auto"/>
              <w:left w:val="single" w:sz="4" w:space="0" w:color="auto"/>
              <w:bottom w:val="single" w:sz="4" w:space="0" w:color="auto"/>
              <w:right w:val="single" w:sz="4" w:space="0" w:color="auto"/>
            </w:tcBorders>
            <w:noWrap/>
            <w:vAlign w:val="center"/>
          </w:tcPr>
          <w:p w14:paraId="550FB940" w14:textId="77777777" w:rsidR="006F193A" w:rsidRPr="006F193A" w:rsidRDefault="006F193A" w:rsidP="006F193A">
            <w:pPr>
              <w:suppressAutoHyphens w:val="0"/>
              <w:spacing w:before="0" w:after="0" w:line="240" w:lineRule="auto"/>
              <w:jc w:val="center"/>
              <w:rPr>
                <w:rFonts w:ascii="Calibri" w:eastAsia="Times New Roman" w:hAnsi="Calibri" w:cs="Calibri"/>
                <w:color w:val="000000"/>
                <w:sz w:val="14"/>
                <w:szCs w:val="14"/>
              </w:rPr>
            </w:pPr>
            <w:r w:rsidRPr="006F193A">
              <w:rPr>
                <w:rFonts w:ascii="Calibri" w:eastAsia="Times New Roman" w:hAnsi="Calibri" w:cs="Calibri"/>
                <w:color w:val="000000"/>
                <w:sz w:val="14"/>
                <w:szCs w:val="14"/>
              </w:rPr>
              <w:t> </w:t>
            </w:r>
          </w:p>
        </w:tc>
        <w:tc>
          <w:tcPr>
            <w:tcW w:w="791" w:type="dxa"/>
            <w:tcBorders>
              <w:top w:val="single" w:sz="4" w:space="0" w:color="auto"/>
              <w:left w:val="single" w:sz="4" w:space="0" w:color="auto"/>
              <w:bottom w:val="single" w:sz="4" w:space="0" w:color="auto"/>
              <w:right w:val="single" w:sz="4" w:space="0" w:color="auto"/>
            </w:tcBorders>
            <w:noWrap/>
            <w:vAlign w:val="center"/>
          </w:tcPr>
          <w:p w14:paraId="5742B633" w14:textId="77777777" w:rsidR="006F193A" w:rsidRPr="006F193A" w:rsidRDefault="006F193A" w:rsidP="006F193A">
            <w:pPr>
              <w:suppressAutoHyphens w:val="0"/>
              <w:spacing w:before="0" w:after="0" w:line="240" w:lineRule="auto"/>
              <w:rPr>
                <w:rFonts w:ascii="Calibri" w:eastAsia="Times New Roman" w:hAnsi="Calibri" w:cs="Calibri"/>
                <w:color w:val="000000"/>
                <w:sz w:val="14"/>
                <w:szCs w:val="14"/>
              </w:rPr>
            </w:pPr>
            <w:r w:rsidRPr="006F193A">
              <w:rPr>
                <w:rFonts w:ascii="Calibri" w:eastAsia="Times New Roman" w:hAnsi="Calibri" w:cs="Calibri"/>
                <w:color w:val="000000"/>
                <w:sz w:val="14"/>
                <w:szCs w:val="14"/>
              </w:rPr>
              <w:t xml:space="preserve">lekë </w:t>
            </w:r>
          </w:p>
        </w:tc>
        <w:tc>
          <w:tcPr>
            <w:tcW w:w="1105" w:type="dxa"/>
            <w:tcBorders>
              <w:top w:val="single" w:sz="4" w:space="0" w:color="auto"/>
              <w:left w:val="single" w:sz="4" w:space="0" w:color="auto"/>
              <w:bottom w:val="single" w:sz="4" w:space="0" w:color="auto"/>
              <w:right w:val="single" w:sz="4" w:space="0" w:color="auto"/>
            </w:tcBorders>
            <w:vAlign w:val="center"/>
          </w:tcPr>
          <w:p w14:paraId="35549639" w14:textId="77777777" w:rsidR="006F193A" w:rsidRPr="006F193A" w:rsidRDefault="006F193A" w:rsidP="006F193A">
            <w:pPr>
              <w:suppressAutoHyphens w:val="0"/>
              <w:spacing w:before="0" w:after="0" w:line="240" w:lineRule="auto"/>
              <w:rPr>
                <w:rFonts w:ascii="Calibri" w:eastAsia="Times New Roman" w:hAnsi="Calibri" w:cs="Calibri"/>
                <w:color w:val="000000"/>
                <w:sz w:val="14"/>
                <w:szCs w:val="14"/>
              </w:rPr>
            </w:pPr>
            <w:r w:rsidRPr="006F193A">
              <w:rPr>
                <w:rFonts w:ascii="Calibri" w:eastAsia="Times New Roman" w:hAnsi="Calibri" w:cs="Calibri"/>
                <w:color w:val="000000"/>
                <w:sz w:val="14"/>
                <w:szCs w:val="14"/>
              </w:rPr>
              <w:t>275,365,973</w:t>
            </w:r>
          </w:p>
        </w:tc>
        <w:tc>
          <w:tcPr>
            <w:tcW w:w="1148" w:type="dxa"/>
            <w:tcBorders>
              <w:top w:val="single" w:sz="4" w:space="0" w:color="auto"/>
              <w:left w:val="single" w:sz="4" w:space="0" w:color="auto"/>
              <w:bottom w:val="single" w:sz="4" w:space="0" w:color="auto"/>
              <w:right w:val="single" w:sz="4" w:space="0" w:color="auto"/>
            </w:tcBorders>
            <w:noWrap/>
            <w:vAlign w:val="center"/>
          </w:tcPr>
          <w:p w14:paraId="0913DE6E" w14:textId="77777777" w:rsidR="006F193A" w:rsidRPr="006F193A" w:rsidRDefault="006F193A" w:rsidP="006F193A">
            <w:pPr>
              <w:suppressAutoHyphens w:val="0"/>
              <w:spacing w:before="0" w:after="0" w:line="240" w:lineRule="auto"/>
              <w:rPr>
                <w:rFonts w:ascii="Calibri" w:eastAsia="Times New Roman" w:hAnsi="Calibri" w:cs="Calibri"/>
                <w:color w:val="000000"/>
                <w:sz w:val="14"/>
                <w:szCs w:val="14"/>
              </w:rPr>
            </w:pPr>
            <w:r w:rsidRPr="006F193A">
              <w:rPr>
                <w:rFonts w:ascii="Calibri" w:eastAsia="Times New Roman" w:hAnsi="Calibri" w:cs="Calibri"/>
                <w:color w:val="000000"/>
                <w:sz w:val="14"/>
                <w:szCs w:val="14"/>
              </w:rPr>
              <w:t>330,000,000</w:t>
            </w:r>
          </w:p>
        </w:tc>
        <w:tc>
          <w:tcPr>
            <w:tcW w:w="1170" w:type="dxa"/>
            <w:tcBorders>
              <w:top w:val="single" w:sz="4" w:space="0" w:color="auto"/>
              <w:left w:val="single" w:sz="4" w:space="0" w:color="auto"/>
              <w:bottom w:val="single" w:sz="4" w:space="0" w:color="auto"/>
              <w:right w:val="single" w:sz="4" w:space="0" w:color="auto"/>
            </w:tcBorders>
            <w:noWrap/>
            <w:vAlign w:val="center"/>
          </w:tcPr>
          <w:p w14:paraId="5A48CDA5" w14:textId="77777777" w:rsidR="006F193A" w:rsidRPr="006F193A" w:rsidRDefault="006F193A" w:rsidP="006F193A">
            <w:pPr>
              <w:suppressAutoHyphens w:val="0"/>
              <w:spacing w:before="0" w:after="0" w:line="240" w:lineRule="auto"/>
              <w:rPr>
                <w:rFonts w:ascii="Calibri" w:eastAsia="Times New Roman" w:hAnsi="Calibri" w:cs="Calibri"/>
                <w:color w:val="000000"/>
                <w:sz w:val="14"/>
                <w:szCs w:val="14"/>
              </w:rPr>
            </w:pPr>
            <w:r w:rsidRPr="006F193A">
              <w:rPr>
                <w:rFonts w:ascii="Calibri" w:eastAsia="Times New Roman" w:hAnsi="Calibri" w:cs="Calibri"/>
                <w:color w:val="000000"/>
                <w:sz w:val="14"/>
                <w:szCs w:val="14"/>
              </w:rPr>
              <w:t>363,833,321</w:t>
            </w:r>
          </w:p>
        </w:tc>
        <w:tc>
          <w:tcPr>
            <w:tcW w:w="1227" w:type="dxa"/>
            <w:tcBorders>
              <w:top w:val="single" w:sz="4" w:space="0" w:color="auto"/>
              <w:left w:val="single" w:sz="4" w:space="0" w:color="auto"/>
              <w:bottom w:val="single" w:sz="4" w:space="0" w:color="auto"/>
              <w:right w:val="single" w:sz="4" w:space="0" w:color="auto"/>
            </w:tcBorders>
            <w:noWrap/>
            <w:vAlign w:val="center"/>
          </w:tcPr>
          <w:p w14:paraId="360608CF" w14:textId="77777777" w:rsidR="006F193A" w:rsidRPr="006F193A" w:rsidRDefault="006F193A" w:rsidP="006F193A">
            <w:pPr>
              <w:suppressAutoHyphens w:val="0"/>
              <w:spacing w:before="0" w:after="0" w:line="240" w:lineRule="auto"/>
              <w:rPr>
                <w:rFonts w:ascii="Calibri" w:eastAsia="Times New Roman" w:hAnsi="Calibri" w:cs="Calibri"/>
                <w:color w:val="000000"/>
                <w:sz w:val="14"/>
                <w:szCs w:val="14"/>
              </w:rPr>
            </w:pPr>
            <w:r w:rsidRPr="006F193A">
              <w:rPr>
                <w:rFonts w:ascii="Calibri" w:eastAsia="Times New Roman" w:hAnsi="Calibri" w:cs="Calibri"/>
                <w:color w:val="000000"/>
                <w:sz w:val="14"/>
                <w:szCs w:val="14"/>
              </w:rPr>
              <w:t>347,402,956</w:t>
            </w:r>
          </w:p>
        </w:tc>
        <w:tc>
          <w:tcPr>
            <w:tcW w:w="933" w:type="dxa"/>
            <w:tcBorders>
              <w:top w:val="single" w:sz="4" w:space="0" w:color="auto"/>
              <w:left w:val="single" w:sz="4" w:space="0" w:color="auto"/>
              <w:bottom w:val="single" w:sz="4" w:space="0" w:color="auto"/>
              <w:right w:val="single" w:sz="4" w:space="0" w:color="auto"/>
            </w:tcBorders>
            <w:noWrap/>
            <w:vAlign w:val="center"/>
          </w:tcPr>
          <w:p w14:paraId="208CCD2F" w14:textId="77777777" w:rsidR="006F193A" w:rsidRPr="006F193A" w:rsidRDefault="006F193A" w:rsidP="006F193A">
            <w:pPr>
              <w:suppressAutoHyphens w:val="0"/>
              <w:spacing w:before="0" w:after="0" w:line="240" w:lineRule="auto"/>
              <w:rPr>
                <w:rFonts w:ascii="Calibri" w:eastAsia="Times New Roman" w:hAnsi="Calibri" w:cs="Calibri"/>
                <w:color w:val="000000"/>
                <w:sz w:val="14"/>
                <w:szCs w:val="14"/>
              </w:rPr>
            </w:pPr>
            <w:r w:rsidRPr="006F193A">
              <w:rPr>
                <w:rFonts w:ascii="Calibri" w:eastAsia="Times New Roman" w:hAnsi="Calibri" w:cs="Calibri"/>
                <w:color w:val="000000"/>
                <w:sz w:val="14"/>
                <w:szCs w:val="14"/>
              </w:rPr>
              <w:t>16,430,365</w:t>
            </w:r>
          </w:p>
        </w:tc>
        <w:tc>
          <w:tcPr>
            <w:tcW w:w="720" w:type="dxa"/>
            <w:tcBorders>
              <w:top w:val="single" w:sz="4" w:space="0" w:color="auto"/>
              <w:left w:val="single" w:sz="4" w:space="0" w:color="auto"/>
              <w:bottom w:val="single" w:sz="4" w:space="0" w:color="auto"/>
              <w:right w:val="single" w:sz="4" w:space="0" w:color="auto"/>
            </w:tcBorders>
            <w:noWrap/>
            <w:vAlign w:val="center"/>
          </w:tcPr>
          <w:p w14:paraId="54A851B3" w14:textId="77777777" w:rsidR="006F193A" w:rsidRPr="006F193A" w:rsidRDefault="006F193A" w:rsidP="006F193A">
            <w:pPr>
              <w:suppressAutoHyphens w:val="0"/>
              <w:spacing w:before="0" w:after="0" w:line="240" w:lineRule="auto"/>
              <w:rPr>
                <w:rFonts w:ascii="Calibri" w:eastAsia="Times New Roman" w:hAnsi="Calibri" w:cs="Calibri"/>
                <w:color w:val="000000"/>
                <w:sz w:val="14"/>
                <w:szCs w:val="14"/>
              </w:rPr>
            </w:pPr>
            <w:r w:rsidRPr="006F193A">
              <w:rPr>
                <w:rFonts w:ascii="Calibri" w:eastAsia="Times New Roman" w:hAnsi="Calibri" w:cs="Calibri"/>
                <w:color w:val="000000"/>
                <w:sz w:val="14"/>
                <w:szCs w:val="14"/>
              </w:rPr>
              <w:t>95</w:t>
            </w:r>
          </w:p>
        </w:tc>
      </w:tr>
      <w:tr w:rsidR="006F193A" w:rsidRPr="00D130F4" w14:paraId="2FB0BB3F" w14:textId="77777777" w:rsidTr="007B4850">
        <w:trPr>
          <w:trHeight w:val="377"/>
        </w:trPr>
        <w:tc>
          <w:tcPr>
            <w:tcW w:w="3330" w:type="dxa"/>
            <w:gridSpan w:val="2"/>
            <w:tcBorders>
              <w:top w:val="single" w:sz="4" w:space="0" w:color="auto"/>
              <w:left w:val="single" w:sz="4" w:space="0" w:color="auto"/>
              <w:bottom w:val="single" w:sz="4" w:space="0" w:color="auto"/>
              <w:right w:val="single" w:sz="4" w:space="0" w:color="auto"/>
            </w:tcBorders>
            <w:noWrap/>
            <w:vAlign w:val="center"/>
          </w:tcPr>
          <w:p w14:paraId="23146D90" w14:textId="77777777" w:rsidR="006F193A" w:rsidRPr="002E6972" w:rsidRDefault="006F193A" w:rsidP="006F193A">
            <w:pPr>
              <w:suppressAutoHyphens w:val="0"/>
              <w:spacing w:before="0" w:after="0" w:line="240" w:lineRule="auto"/>
              <w:jc w:val="center"/>
              <w:rPr>
                <w:rFonts w:ascii="Calibri" w:eastAsia="Times New Roman" w:hAnsi="Calibri" w:cs="Calibri"/>
                <w:b/>
                <w:bCs/>
                <w:color w:val="000000"/>
                <w:sz w:val="14"/>
                <w:szCs w:val="14"/>
              </w:rPr>
            </w:pPr>
            <w:r w:rsidRPr="002E6972">
              <w:rPr>
                <w:rFonts w:ascii="Calibri" w:eastAsia="Times New Roman" w:hAnsi="Calibri" w:cs="Calibri"/>
                <w:b/>
                <w:bCs/>
                <w:color w:val="000000"/>
                <w:sz w:val="14"/>
                <w:szCs w:val="14"/>
              </w:rPr>
              <w:t>TOTALI</w:t>
            </w:r>
          </w:p>
        </w:tc>
        <w:tc>
          <w:tcPr>
            <w:tcW w:w="739" w:type="dxa"/>
            <w:tcBorders>
              <w:top w:val="single" w:sz="4" w:space="0" w:color="auto"/>
              <w:left w:val="single" w:sz="4" w:space="0" w:color="auto"/>
              <w:bottom w:val="single" w:sz="4" w:space="0" w:color="auto"/>
              <w:right w:val="single" w:sz="4" w:space="0" w:color="auto"/>
            </w:tcBorders>
            <w:noWrap/>
            <w:vAlign w:val="center"/>
          </w:tcPr>
          <w:p w14:paraId="61BBF95D" w14:textId="77777777" w:rsidR="006F193A" w:rsidRPr="00D130F4" w:rsidRDefault="006F193A" w:rsidP="006F193A">
            <w:pPr>
              <w:suppressAutoHyphens w:val="0"/>
              <w:spacing w:before="0" w:after="0" w:line="240" w:lineRule="auto"/>
              <w:jc w:val="center"/>
              <w:rPr>
                <w:rFonts w:ascii="Calibri" w:eastAsia="Times New Roman" w:hAnsi="Calibri" w:cs="Calibri"/>
                <w:color w:val="000000"/>
                <w:sz w:val="14"/>
                <w:szCs w:val="14"/>
              </w:rPr>
            </w:pPr>
          </w:p>
        </w:tc>
        <w:tc>
          <w:tcPr>
            <w:tcW w:w="791" w:type="dxa"/>
            <w:tcBorders>
              <w:top w:val="single" w:sz="4" w:space="0" w:color="auto"/>
              <w:left w:val="single" w:sz="4" w:space="0" w:color="auto"/>
              <w:bottom w:val="single" w:sz="4" w:space="0" w:color="auto"/>
              <w:right w:val="single" w:sz="4" w:space="0" w:color="auto"/>
            </w:tcBorders>
            <w:noWrap/>
            <w:vAlign w:val="center"/>
          </w:tcPr>
          <w:p w14:paraId="035A4CA4" w14:textId="77777777" w:rsidR="006F193A" w:rsidRPr="006F193A" w:rsidRDefault="006F193A" w:rsidP="006F193A">
            <w:pPr>
              <w:suppressAutoHyphens w:val="0"/>
              <w:spacing w:before="0" w:after="0" w:line="240" w:lineRule="auto"/>
              <w:rPr>
                <w:rFonts w:ascii="Calibri" w:eastAsia="Times New Roman" w:hAnsi="Calibri" w:cs="Calibri"/>
                <w:b/>
                <w:bCs/>
                <w:color w:val="000000"/>
                <w:sz w:val="14"/>
                <w:szCs w:val="14"/>
              </w:rPr>
            </w:pPr>
            <w:r w:rsidRPr="006F193A">
              <w:rPr>
                <w:rFonts w:ascii="Calibri" w:eastAsia="Times New Roman" w:hAnsi="Calibri" w:cs="Calibri"/>
                <w:b/>
                <w:bCs/>
                <w:color w:val="000000"/>
                <w:sz w:val="14"/>
                <w:szCs w:val="14"/>
              </w:rPr>
              <w:t>lekë</w:t>
            </w:r>
          </w:p>
        </w:tc>
        <w:tc>
          <w:tcPr>
            <w:tcW w:w="1105" w:type="dxa"/>
            <w:tcBorders>
              <w:top w:val="single" w:sz="4" w:space="0" w:color="auto"/>
              <w:left w:val="single" w:sz="4" w:space="0" w:color="auto"/>
              <w:bottom w:val="single" w:sz="4" w:space="0" w:color="auto"/>
              <w:right w:val="single" w:sz="4" w:space="0" w:color="auto"/>
            </w:tcBorders>
            <w:vAlign w:val="center"/>
          </w:tcPr>
          <w:p w14:paraId="3A3AD99D" w14:textId="673E87F5" w:rsidR="006F193A" w:rsidRPr="00D130F4" w:rsidRDefault="006F193A" w:rsidP="006F193A">
            <w:pPr>
              <w:suppressAutoHyphens w:val="0"/>
              <w:spacing w:before="0" w:after="0" w:line="240" w:lineRule="auto"/>
              <w:rPr>
                <w:rFonts w:ascii="Calibri" w:eastAsia="Times New Roman" w:hAnsi="Calibri" w:cs="Calibri"/>
                <w:color w:val="000000"/>
                <w:sz w:val="14"/>
                <w:szCs w:val="14"/>
              </w:rPr>
            </w:pPr>
            <w:r>
              <w:rPr>
                <w:rFonts w:ascii="Calibri" w:hAnsi="Calibri" w:cs="Calibri"/>
                <w:b/>
                <w:bCs/>
                <w:color w:val="000000"/>
                <w:sz w:val="14"/>
                <w:szCs w:val="14"/>
              </w:rPr>
              <w:t>26,932,778,875</w:t>
            </w:r>
          </w:p>
        </w:tc>
        <w:tc>
          <w:tcPr>
            <w:tcW w:w="1148" w:type="dxa"/>
            <w:tcBorders>
              <w:top w:val="single" w:sz="4" w:space="0" w:color="auto"/>
              <w:left w:val="single" w:sz="4" w:space="0" w:color="auto"/>
              <w:bottom w:val="single" w:sz="4" w:space="0" w:color="auto"/>
              <w:right w:val="single" w:sz="4" w:space="0" w:color="auto"/>
            </w:tcBorders>
            <w:noWrap/>
            <w:vAlign w:val="center"/>
          </w:tcPr>
          <w:p w14:paraId="7EBB320D" w14:textId="4A7F7D12" w:rsidR="006F193A" w:rsidRPr="00D130F4" w:rsidRDefault="006F193A" w:rsidP="006F193A">
            <w:pPr>
              <w:suppressAutoHyphens w:val="0"/>
              <w:spacing w:before="0" w:after="0" w:line="240" w:lineRule="auto"/>
              <w:rPr>
                <w:rFonts w:ascii="Calibri" w:eastAsia="Times New Roman" w:hAnsi="Calibri" w:cs="Calibri"/>
                <w:color w:val="000000"/>
                <w:sz w:val="14"/>
                <w:szCs w:val="14"/>
              </w:rPr>
            </w:pPr>
            <w:r>
              <w:rPr>
                <w:rFonts w:ascii="Calibri" w:hAnsi="Calibri" w:cs="Calibri"/>
                <w:b/>
                <w:bCs/>
                <w:color w:val="000000"/>
                <w:sz w:val="14"/>
                <w:szCs w:val="14"/>
              </w:rPr>
              <w:t>24,163,025,000</w:t>
            </w:r>
          </w:p>
        </w:tc>
        <w:tc>
          <w:tcPr>
            <w:tcW w:w="1170" w:type="dxa"/>
            <w:tcBorders>
              <w:top w:val="single" w:sz="4" w:space="0" w:color="auto"/>
              <w:left w:val="single" w:sz="4" w:space="0" w:color="auto"/>
              <w:bottom w:val="single" w:sz="4" w:space="0" w:color="auto"/>
              <w:right w:val="single" w:sz="4" w:space="0" w:color="auto"/>
            </w:tcBorders>
            <w:noWrap/>
            <w:vAlign w:val="center"/>
          </w:tcPr>
          <w:p w14:paraId="6E7C0AA4" w14:textId="20780A11" w:rsidR="006F193A" w:rsidRPr="00D130F4" w:rsidRDefault="006F193A" w:rsidP="006F193A">
            <w:pPr>
              <w:suppressAutoHyphens w:val="0"/>
              <w:spacing w:before="0" w:after="0" w:line="240" w:lineRule="auto"/>
              <w:rPr>
                <w:rFonts w:ascii="Calibri" w:eastAsia="Times New Roman" w:hAnsi="Calibri" w:cs="Calibri"/>
                <w:color w:val="000000"/>
                <w:sz w:val="14"/>
                <w:szCs w:val="14"/>
              </w:rPr>
            </w:pPr>
            <w:r>
              <w:rPr>
                <w:rFonts w:ascii="Calibri" w:hAnsi="Calibri" w:cs="Calibri"/>
                <w:b/>
                <w:bCs/>
                <w:color w:val="000000"/>
                <w:sz w:val="14"/>
                <w:szCs w:val="14"/>
              </w:rPr>
              <w:t>25,830,980,000</w:t>
            </w:r>
          </w:p>
        </w:tc>
        <w:tc>
          <w:tcPr>
            <w:tcW w:w="1227" w:type="dxa"/>
            <w:tcBorders>
              <w:top w:val="single" w:sz="4" w:space="0" w:color="auto"/>
              <w:left w:val="single" w:sz="4" w:space="0" w:color="auto"/>
              <w:bottom w:val="single" w:sz="4" w:space="0" w:color="auto"/>
              <w:right w:val="single" w:sz="4" w:space="0" w:color="auto"/>
            </w:tcBorders>
            <w:noWrap/>
            <w:vAlign w:val="center"/>
          </w:tcPr>
          <w:p w14:paraId="27B12167" w14:textId="479D0A7A" w:rsidR="006F193A" w:rsidRPr="00D130F4" w:rsidRDefault="006F193A" w:rsidP="006F193A">
            <w:pPr>
              <w:suppressAutoHyphens w:val="0"/>
              <w:spacing w:before="0" w:after="0" w:line="240" w:lineRule="auto"/>
              <w:rPr>
                <w:rFonts w:ascii="Calibri" w:eastAsia="Times New Roman" w:hAnsi="Calibri" w:cs="Calibri"/>
                <w:color w:val="000000"/>
                <w:sz w:val="14"/>
                <w:szCs w:val="14"/>
              </w:rPr>
            </w:pPr>
            <w:r>
              <w:rPr>
                <w:rFonts w:ascii="Calibri" w:hAnsi="Calibri" w:cs="Calibri"/>
                <w:b/>
                <w:bCs/>
                <w:color w:val="000000"/>
                <w:sz w:val="14"/>
                <w:szCs w:val="14"/>
              </w:rPr>
              <w:t>25,621,823,264</w:t>
            </w:r>
          </w:p>
        </w:tc>
        <w:tc>
          <w:tcPr>
            <w:tcW w:w="933" w:type="dxa"/>
            <w:tcBorders>
              <w:top w:val="single" w:sz="4" w:space="0" w:color="auto"/>
              <w:left w:val="single" w:sz="4" w:space="0" w:color="auto"/>
              <w:bottom w:val="single" w:sz="4" w:space="0" w:color="auto"/>
              <w:right w:val="single" w:sz="4" w:space="0" w:color="auto"/>
            </w:tcBorders>
            <w:noWrap/>
            <w:vAlign w:val="center"/>
          </w:tcPr>
          <w:p w14:paraId="515B2E94" w14:textId="6EA7C2CF" w:rsidR="006F193A" w:rsidRPr="00D130F4" w:rsidRDefault="006F193A" w:rsidP="006F193A">
            <w:pPr>
              <w:suppressAutoHyphens w:val="0"/>
              <w:spacing w:before="0" w:after="0" w:line="240" w:lineRule="auto"/>
              <w:rPr>
                <w:rFonts w:ascii="Calibri" w:eastAsia="Times New Roman" w:hAnsi="Calibri" w:cs="Calibri"/>
                <w:color w:val="000000"/>
                <w:sz w:val="14"/>
                <w:szCs w:val="14"/>
              </w:rPr>
            </w:pPr>
            <w:r>
              <w:rPr>
                <w:rFonts w:ascii="Calibri" w:hAnsi="Calibri" w:cs="Calibri"/>
                <w:b/>
                <w:bCs/>
                <w:color w:val="000000"/>
                <w:sz w:val="14"/>
                <w:szCs w:val="14"/>
              </w:rPr>
              <w:t>209,156,736</w:t>
            </w:r>
          </w:p>
        </w:tc>
        <w:tc>
          <w:tcPr>
            <w:tcW w:w="720" w:type="dxa"/>
            <w:tcBorders>
              <w:top w:val="single" w:sz="4" w:space="0" w:color="auto"/>
              <w:left w:val="single" w:sz="4" w:space="0" w:color="auto"/>
              <w:bottom w:val="single" w:sz="4" w:space="0" w:color="auto"/>
              <w:right w:val="single" w:sz="4" w:space="0" w:color="auto"/>
            </w:tcBorders>
            <w:noWrap/>
            <w:vAlign w:val="center"/>
          </w:tcPr>
          <w:p w14:paraId="3216CC84" w14:textId="09298DF5" w:rsidR="006F193A" w:rsidRPr="00D130F4" w:rsidRDefault="006F193A" w:rsidP="006F193A">
            <w:pPr>
              <w:suppressAutoHyphens w:val="0"/>
              <w:spacing w:before="0" w:after="0" w:line="240" w:lineRule="auto"/>
              <w:rPr>
                <w:rFonts w:ascii="Calibri" w:eastAsia="Times New Roman" w:hAnsi="Calibri" w:cs="Calibri"/>
                <w:color w:val="000000"/>
                <w:sz w:val="14"/>
                <w:szCs w:val="14"/>
              </w:rPr>
            </w:pPr>
            <w:r>
              <w:rPr>
                <w:rFonts w:ascii="Calibri" w:hAnsi="Calibri" w:cs="Calibri"/>
                <w:b/>
                <w:bCs/>
                <w:color w:val="000000"/>
                <w:sz w:val="14"/>
                <w:szCs w:val="14"/>
              </w:rPr>
              <w:t>9</w:t>
            </w:r>
            <w:r w:rsidR="007B4850">
              <w:rPr>
                <w:rFonts w:ascii="Calibri" w:hAnsi="Calibri" w:cs="Calibri"/>
                <w:b/>
                <w:bCs/>
                <w:color w:val="000000"/>
                <w:sz w:val="14"/>
                <w:szCs w:val="14"/>
              </w:rPr>
              <w:t>9</w:t>
            </w:r>
          </w:p>
        </w:tc>
      </w:tr>
    </w:tbl>
    <w:p w14:paraId="78133FC5" w14:textId="28ECEEF9" w:rsidR="005F2AC9" w:rsidRDefault="000D3687">
      <w:pPr>
        <w:pStyle w:val="NormalWeb"/>
        <w:spacing w:before="280" w:after="280" w:line="276" w:lineRule="auto"/>
        <w:jc w:val="both"/>
        <w:rPr>
          <w:color w:val="000000" w:themeColor="text1"/>
          <w:lang w:val="it-IT"/>
        </w:rPr>
      </w:pPr>
      <w:r>
        <w:rPr>
          <w:color w:val="000000" w:themeColor="text1"/>
          <w:lang w:val="it-IT"/>
        </w:rPr>
        <w:t>N</w:t>
      </w:r>
      <w:r w:rsidR="00845E90">
        <w:rPr>
          <w:color w:val="000000" w:themeColor="text1"/>
          <w:lang w:val="it-IT"/>
        </w:rPr>
        <w:t>ë</w:t>
      </w:r>
      <w:r>
        <w:rPr>
          <w:color w:val="000000" w:themeColor="text1"/>
          <w:lang w:val="it-IT"/>
        </w:rPr>
        <w:t xml:space="preserve"> total buxheti i planifikuar p</w:t>
      </w:r>
      <w:r w:rsidR="00845E90">
        <w:rPr>
          <w:color w:val="000000" w:themeColor="text1"/>
          <w:lang w:val="it-IT"/>
        </w:rPr>
        <w:t>ë</w:t>
      </w:r>
      <w:r>
        <w:rPr>
          <w:color w:val="000000" w:themeColor="text1"/>
          <w:lang w:val="it-IT"/>
        </w:rPr>
        <w:t>r programin buxhetor “P</w:t>
      </w:r>
      <w:r w:rsidR="00845E90">
        <w:rPr>
          <w:color w:val="000000" w:themeColor="text1"/>
          <w:lang w:val="it-IT"/>
        </w:rPr>
        <w:t>ë</w:t>
      </w:r>
      <w:r>
        <w:rPr>
          <w:color w:val="000000" w:themeColor="text1"/>
          <w:lang w:val="it-IT"/>
        </w:rPr>
        <w:t>rkujdesi Social”</w:t>
      </w:r>
      <w:r w:rsidR="00845E90">
        <w:rPr>
          <w:color w:val="000000" w:themeColor="text1"/>
          <w:lang w:val="it-IT"/>
        </w:rPr>
        <w:t xml:space="preserve"> duke përfshire dhe shpënzimet kapitale për vitin 2025 ishte në vlerën 25,971,378,000 lekë dhe shpenzimet faktike të programit janë në vlerën 25,723, 328,869 lekë (realizuar në masën 99%). </w:t>
      </w:r>
    </w:p>
    <w:sectPr w:rsidR="005F2AC9">
      <w:headerReference w:type="default" r:id="rId26"/>
      <w:footerReference w:type="even" r:id="rId27"/>
      <w:footerReference w:type="default" r:id="rId28"/>
      <w:footerReference w:type="first" r:id="rId29"/>
      <w:pgSz w:w="12240" w:h="15840"/>
      <w:pgMar w:top="1440" w:right="1530" w:bottom="1440" w:left="1440" w:header="720" w:footer="720" w:gutter="0"/>
      <w:cols w:space="720"/>
      <w:formProt w:val="0"/>
      <w:docGrid w:linePitch="312" w:charSpace="2047"/>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4E7A7F" w14:textId="77777777" w:rsidR="004F49DD" w:rsidRDefault="004F49DD">
      <w:pPr>
        <w:spacing w:before="0" w:after="0" w:line="240" w:lineRule="auto"/>
      </w:pPr>
      <w:r>
        <w:separator/>
      </w:r>
    </w:p>
  </w:endnote>
  <w:endnote w:type="continuationSeparator" w:id="0">
    <w:p w14:paraId="28164CE8" w14:textId="77777777" w:rsidR="004F49DD" w:rsidRDefault="004F49D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Liberation Sans">
    <w:altName w:val="Arial"/>
    <w:charset w:val="00"/>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MS PMincho">
    <w:charset w:val="80"/>
    <w:family w:val="roman"/>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Aptos">
    <w:altName w:val="Arial"/>
    <w:charset w:val="00"/>
    <w:family w:val="swiss"/>
    <w:pitch w:val="variable"/>
    <w:sig w:usb0="20000287" w:usb1="00000003" w:usb2="00000000" w:usb3="00000000" w:csb0="0000019F" w:csb1="00000000"/>
  </w:font>
  <w:font w:name="Cambria">
    <w:panose1 w:val="02040503050406030204"/>
    <w:charset w:val="00"/>
    <w:family w:val="auto"/>
    <w:pitch w:val="variable"/>
    <w:sig w:usb0="E00002FF" w:usb1="400004FF" w:usb2="00000000" w:usb3="00000000" w:csb0="0000019F" w:csb1="00000000"/>
  </w:font>
  <w:font w:name="Times">
    <w:altName w:val="Times Roman"/>
    <w:panose1 w:val="02000500000000000000"/>
    <w:charset w:val="4D"/>
    <w:family w:val="roman"/>
    <w:notTrueType/>
    <w:pitch w:val="variable"/>
    <w:sig w:usb0="00000003" w:usb1="00000000" w:usb2="00000000" w:usb3="00000000" w:csb0="00000001" w:csb1="00000000"/>
  </w:font>
  <w:font w:name="Aptos Narrow">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7424287"/>
      <w:docPartObj>
        <w:docPartGallery w:val="Page Numbers (Bottom of Page)"/>
        <w:docPartUnique/>
      </w:docPartObj>
    </w:sdtPr>
    <w:sdtEndPr/>
    <w:sdtContent>
      <w:p w14:paraId="3374BDF8" w14:textId="77777777" w:rsidR="00AC7D34" w:rsidRDefault="00AC7D34">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p w14:paraId="20A8AAC3" w14:textId="77777777" w:rsidR="00AC7D34" w:rsidRDefault="00AC7D3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8542046"/>
      <w:docPartObj>
        <w:docPartGallery w:val="Page Numbers (Bottom of Page)"/>
        <w:docPartUnique/>
      </w:docPartObj>
    </w:sdtPr>
    <w:sdtEndPr/>
    <w:sdtContent>
      <w:p w14:paraId="3547C8B3" w14:textId="77777777" w:rsidR="00AC7D34" w:rsidRDefault="00AC7D34">
        <w:pPr>
          <w:pStyle w:val="Footer"/>
          <w:jc w:val="right"/>
        </w:pPr>
        <w:r>
          <w:fldChar w:fldCharType="begin"/>
        </w:r>
        <w:r>
          <w:instrText xml:space="preserve"> PAGE </w:instrText>
        </w:r>
        <w:r>
          <w:fldChar w:fldCharType="separate"/>
        </w:r>
        <w:r w:rsidR="00BF7ED1">
          <w:rPr>
            <w:noProof/>
          </w:rPr>
          <w:t>14</w:t>
        </w:r>
        <w:r>
          <w:fldChar w:fldCharType="end"/>
        </w:r>
      </w:p>
    </w:sdtContent>
  </w:sdt>
  <w:p w14:paraId="1DEB3E65" w14:textId="77777777" w:rsidR="00AC7D34" w:rsidRDefault="00AC7D34">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1762902"/>
      <w:docPartObj>
        <w:docPartGallery w:val="Page Numbers (Bottom of Page)"/>
        <w:docPartUnique/>
      </w:docPartObj>
    </w:sdtPr>
    <w:sdtEndPr/>
    <w:sdtContent>
      <w:p w14:paraId="4761B57E" w14:textId="77777777" w:rsidR="00AC7D34" w:rsidRDefault="00AC7D34">
        <w:pPr>
          <w:pStyle w:val="Footer"/>
          <w:jc w:val="right"/>
        </w:pPr>
        <w:r>
          <w:fldChar w:fldCharType="begin"/>
        </w:r>
        <w:r>
          <w:instrText xml:space="preserve"> PAGE </w:instrText>
        </w:r>
        <w:r>
          <w:fldChar w:fldCharType="separate"/>
        </w:r>
        <w:r>
          <w:t>14</w:t>
        </w:r>
        <w:r>
          <w:fldChar w:fldCharType="end"/>
        </w:r>
      </w:p>
    </w:sdtContent>
  </w:sdt>
  <w:p w14:paraId="0A7C83E1" w14:textId="77777777" w:rsidR="00AC7D34" w:rsidRDefault="00AC7D34">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2742A" w14:textId="77777777" w:rsidR="00AC7D34" w:rsidRDefault="00AC7D34">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3573704"/>
      <w:docPartObj>
        <w:docPartGallery w:val="Page Numbers (Bottom of Page)"/>
        <w:docPartUnique/>
      </w:docPartObj>
    </w:sdtPr>
    <w:sdtEndPr/>
    <w:sdtContent>
      <w:p w14:paraId="2E641A15" w14:textId="77777777" w:rsidR="00AC7D34" w:rsidRDefault="00AC7D34">
        <w:pPr>
          <w:pStyle w:val="Footer"/>
          <w:jc w:val="right"/>
        </w:pPr>
        <w:r>
          <w:fldChar w:fldCharType="begin"/>
        </w:r>
        <w:r>
          <w:instrText xml:space="preserve"> PAGE </w:instrText>
        </w:r>
        <w:r>
          <w:fldChar w:fldCharType="separate"/>
        </w:r>
        <w:r w:rsidR="00BF7ED1">
          <w:rPr>
            <w:noProof/>
          </w:rPr>
          <w:t>38</w:t>
        </w:r>
        <w:r>
          <w:fldChar w:fldCharType="end"/>
        </w:r>
      </w:p>
    </w:sdtContent>
  </w:sdt>
  <w:p w14:paraId="51495FDC" w14:textId="77777777" w:rsidR="00AC7D34" w:rsidRDefault="00AC7D34">
    <w:pPr>
      <w:pStyle w:val="Footer"/>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1182925"/>
      <w:docPartObj>
        <w:docPartGallery w:val="Page Numbers (Bottom of Page)"/>
        <w:docPartUnique/>
      </w:docPartObj>
    </w:sdtPr>
    <w:sdtEndPr/>
    <w:sdtContent>
      <w:p w14:paraId="272907CA" w14:textId="77777777" w:rsidR="00AC7D34" w:rsidRDefault="00AC7D34">
        <w:pPr>
          <w:pStyle w:val="Footer"/>
          <w:jc w:val="right"/>
        </w:pPr>
        <w:r>
          <w:fldChar w:fldCharType="begin"/>
        </w:r>
        <w:r>
          <w:instrText xml:space="preserve"> PAGE </w:instrText>
        </w:r>
        <w:r>
          <w:fldChar w:fldCharType="separate"/>
        </w:r>
        <w:r>
          <w:t>68</w:t>
        </w:r>
        <w:r>
          <w:fldChar w:fldCharType="end"/>
        </w:r>
      </w:p>
    </w:sdtContent>
  </w:sdt>
  <w:p w14:paraId="6C1C934B" w14:textId="77777777" w:rsidR="00AC7D34" w:rsidRDefault="00AC7D3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37920C" w14:textId="77777777" w:rsidR="004F49DD" w:rsidRDefault="004F49DD">
      <w:r>
        <w:separator/>
      </w:r>
    </w:p>
  </w:footnote>
  <w:footnote w:type="continuationSeparator" w:id="0">
    <w:p w14:paraId="79561994" w14:textId="77777777" w:rsidR="004F49DD" w:rsidRDefault="004F49DD">
      <w:r>
        <w:continuationSeparator/>
      </w:r>
    </w:p>
  </w:footnote>
  <w:footnote w:id="1">
    <w:p w14:paraId="5F7C38AA" w14:textId="77777777" w:rsidR="00AC7D34" w:rsidRDefault="00AC7D34">
      <w:pPr>
        <w:pStyle w:val="FootnoteText"/>
        <w:spacing w:before="0"/>
        <w:rPr>
          <w:rFonts w:cstheme="minorHAnsi"/>
          <w:sz w:val="16"/>
          <w:szCs w:val="16"/>
          <w:lang w:val="sq-AL"/>
        </w:rPr>
      </w:pPr>
      <w:r>
        <w:rPr>
          <w:rStyle w:val="FootnoteCharacters"/>
        </w:rPr>
        <w:footnoteRef/>
      </w:r>
      <w:r>
        <w:rPr>
          <w:rFonts w:cstheme="minorHAnsi"/>
          <w:sz w:val="16"/>
          <w:szCs w:val="16"/>
          <w:lang w:val="sq-AL"/>
        </w:rPr>
        <w:t xml:space="preserve"> </w:t>
      </w:r>
      <w:r>
        <w:rPr>
          <w:rFonts w:cstheme="minorHAnsi"/>
          <w:sz w:val="16"/>
          <w:szCs w:val="16"/>
          <w:lang w:val="it-IT"/>
        </w:rPr>
        <w:t>VKM nr.80, datë 22.02.2023 “Për miratimin e Strategjisë Kombëtare për Zhvillim dhe Integrim 2022-2023.</w:t>
      </w:r>
    </w:p>
  </w:footnote>
  <w:footnote w:id="2">
    <w:p w14:paraId="3B96C752" w14:textId="77777777" w:rsidR="00AC7D34" w:rsidRDefault="00AC7D34">
      <w:pPr>
        <w:shd w:val="clear" w:color="auto" w:fill="FFFFFF"/>
        <w:spacing w:before="0" w:after="0" w:line="240" w:lineRule="auto"/>
        <w:rPr>
          <w:rFonts w:cstheme="minorHAnsi"/>
          <w:spacing w:val="-2"/>
          <w:sz w:val="16"/>
          <w:szCs w:val="16"/>
          <w:lang w:val="sq-AL" w:eastAsia="fr-FR"/>
        </w:rPr>
      </w:pPr>
      <w:r>
        <w:rPr>
          <w:rStyle w:val="FootnoteCharacters"/>
        </w:rPr>
        <w:footnoteRef/>
      </w:r>
      <w:r>
        <w:rPr>
          <w:rFonts w:cstheme="minorHAnsi"/>
          <w:sz w:val="16"/>
          <w:szCs w:val="16"/>
          <w:lang w:val="sq-AL"/>
        </w:rPr>
        <w:t xml:space="preserve"> VKM nr. 91, datë 9.02.2022 “Për miratimin e Planit Kombëtar për Integrim Europian 2022-2024 » https://qbz.gov.al/eli/vendim/2022/02/09/91</w:t>
      </w:r>
    </w:p>
  </w:footnote>
  <w:footnote w:id="3">
    <w:p w14:paraId="22696E68" w14:textId="77777777" w:rsidR="00AC7D34" w:rsidRDefault="00AC7D34">
      <w:pPr>
        <w:pStyle w:val="FootnoteText"/>
        <w:spacing w:before="0"/>
        <w:rPr>
          <w:rFonts w:cstheme="minorHAnsi"/>
          <w:sz w:val="16"/>
          <w:szCs w:val="16"/>
          <w:lang w:val="sq-AL"/>
        </w:rPr>
      </w:pPr>
      <w:r>
        <w:rPr>
          <w:rStyle w:val="FootnoteCharacters"/>
        </w:rPr>
        <w:footnoteRef/>
      </w:r>
      <w:r>
        <w:rPr>
          <w:rFonts w:cstheme="minorHAnsi"/>
          <w:sz w:val="16"/>
          <w:szCs w:val="16"/>
          <w:lang w:val="sq-AL"/>
        </w:rPr>
        <w:t xml:space="preserve"> </w:t>
      </w:r>
      <w:hyperlink r:id="rId1">
        <w:r>
          <w:rPr>
            <w:rStyle w:val="Hyperlink"/>
            <w:rFonts w:cstheme="minorHAnsi"/>
            <w:sz w:val="16"/>
            <w:szCs w:val="16"/>
            <w:lang w:val="sq-AL"/>
          </w:rPr>
          <w:t>https://shendetesia.gov.al/sp-content/uploads/2021/07/Strategjia-Kombetare-per-Barazine-Gjinore-2021-2030.docx</w:t>
        </w:r>
      </w:hyperlink>
    </w:p>
  </w:footnote>
  <w:footnote w:id="4">
    <w:p w14:paraId="41BD488C" w14:textId="77777777" w:rsidR="00AC7D34" w:rsidRDefault="00AC7D34">
      <w:pPr>
        <w:pStyle w:val="FootnoteText"/>
        <w:spacing w:before="0"/>
        <w:rPr>
          <w:sz w:val="16"/>
          <w:szCs w:val="16"/>
          <w:lang w:val="sq-AL"/>
        </w:rPr>
      </w:pPr>
      <w:r>
        <w:rPr>
          <w:rStyle w:val="FootnoteCharacters"/>
        </w:rPr>
        <w:footnoteRef/>
      </w:r>
      <w:r>
        <w:rPr>
          <w:sz w:val="16"/>
          <w:szCs w:val="16"/>
          <w:lang w:val="sq-AL"/>
        </w:rPr>
        <w:t xml:space="preserve"> </w:t>
      </w:r>
      <w:r>
        <w:rPr>
          <w:rFonts w:cstheme="minorHAnsi"/>
          <w:sz w:val="16"/>
          <w:szCs w:val="16"/>
          <w:lang w:val="sq-AL"/>
        </w:rPr>
        <w:t>https://konsultimipublik.gov.al/documents/RENJK_567_SKNDQV-2023-2030.pdf</w:t>
      </w:r>
    </w:p>
  </w:footnote>
  <w:footnote w:id="5">
    <w:p w14:paraId="1595089D" w14:textId="77777777" w:rsidR="00AC7D34" w:rsidRDefault="00AC7D34">
      <w:pPr>
        <w:pStyle w:val="FootnoteText"/>
        <w:spacing w:before="0"/>
        <w:rPr>
          <w:sz w:val="16"/>
          <w:szCs w:val="16"/>
          <w:lang w:val="sq-AL"/>
        </w:rPr>
      </w:pPr>
      <w:r>
        <w:rPr>
          <w:rStyle w:val="FootnoteCharacters"/>
        </w:rPr>
        <w:footnoteRef/>
      </w:r>
      <w:r>
        <w:rPr>
          <w:sz w:val="16"/>
          <w:szCs w:val="16"/>
          <w:lang w:val="sq-AL"/>
        </w:rPr>
        <w:t xml:space="preserve"> </w:t>
      </w:r>
      <w:r>
        <w:rPr>
          <w:rFonts w:cstheme="minorHAnsi"/>
          <w:sz w:val="16"/>
          <w:szCs w:val="16"/>
          <w:lang w:val="sq-AL"/>
        </w:rPr>
        <w:t>VKM Nr.276,datë 12.05.2021”Për miratimin e Planit Kombëtar për Personat me Aftësi të Kufizuar 2021-2025” https://shendetesia.gov.al/ëp-content/uploads/2022/03/Plani-Kombetar-PAK-_2021-2025_AL.pdf</w:t>
      </w:r>
    </w:p>
  </w:footnote>
  <w:footnote w:id="6">
    <w:p w14:paraId="11783C24" w14:textId="4C173285" w:rsidR="00AC7D34" w:rsidRDefault="00AC7D34">
      <w:pPr>
        <w:pStyle w:val="FootnoteText"/>
        <w:spacing w:before="0"/>
        <w:rPr>
          <w:rFonts w:cstheme="minorHAnsi"/>
          <w:sz w:val="16"/>
          <w:szCs w:val="16"/>
          <w:lang w:val="sq-AL"/>
        </w:rPr>
      </w:pPr>
      <w:r>
        <w:rPr>
          <w:rStyle w:val="FootnoteCharacters"/>
        </w:rPr>
        <w:footnoteRef/>
      </w:r>
      <w:r>
        <w:rPr>
          <w:rFonts w:cstheme="minorHAnsi"/>
          <w:sz w:val="16"/>
          <w:szCs w:val="16"/>
          <w:lang w:val="sq-AL"/>
        </w:rPr>
        <w:t>https:/</w:t>
      </w:r>
      <w:r w:rsidR="00845E90">
        <w:rPr>
          <w:rFonts w:cstheme="minorHAnsi"/>
          <w:sz w:val="16"/>
          <w:szCs w:val="16"/>
          <w:lang w:val="sq-AL"/>
        </w:rPr>
        <w:t>www</w:t>
      </w:r>
      <w:r>
        <w:rPr>
          <w:rFonts w:cstheme="minorHAnsi"/>
          <w:sz w:val="16"/>
          <w:szCs w:val="16"/>
          <w:lang w:val="sq-AL"/>
        </w:rPr>
        <w:t>.undp.org/sites/g/files/zskgke326/files/migration/al/46eb57a0095aac6d46fe42b6cfb302f66368453e0c284a07c0c7c9fd8d43760b.pdf</w:t>
      </w:r>
    </w:p>
  </w:footnote>
  <w:footnote w:id="7">
    <w:p w14:paraId="4CA7E108" w14:textId="4FB1F0BB" w:rsidR="00AC7D34" w:rsidRDefault="00AC7D34">
      <w:pPr>
        <w:pStyle w:val="FootnoteText"/>
        <w:spacing w:before="0"/>
        <w:rPr>
          <w:sz w:val="16"/>
          <w:szCs w:val="16"/>
          <w:lang w:val="sq-AL"/>
        </w:rPr>
      </w:pPr>
      <w:r>
        <w:rPr>
          <w:rStyle w:val="FootnoteCharacters"/>
        </w:rPr>
        <w:footnoteRef/>
      </w:r>
      <w:r>
        <w:rPr>
          <w:sz w:val="16"/>
          <w:szCs w:val="16"/>
          <w:lang w:val="sq-AL"/>
        </w:rPr>
        <w:t xml:space="preserve"> </w:t>
      </w:r>
      <w:hyperlink r:id="rId2" w:history="1">
        <w:r w:rsidRPr="00537AC2">
          <w:rPr>
            <w:rStyle w:val="Hyperlink"/>
            <w:sz w:val="16"/>
            <w:szCs w:val="16"/>
            <w:lang w:val="sq-AL"/>
          </w:rPr>
          <w:t>https://natlex.ilo.org/dyn/natlex2/natlex2/files/download/118177/ALB-118177.pdf</w:t>
        </w:r>
      </w:hyperlink>
      <w:r>
        <w:rPr>
          <w:sz w:val="16"/>
          <w:szCs w:val="16"/>
          <w:lang w:val="sq-AL"/>
        </w:rPr>
        <w:t xml:space="preserve"> </w:t>
      </w:r>
    </w:p>
  </w:footnote>
  <w:footnote w:id="8">
    <w:p w14:paraId="5F70D356" w14:textId="77777777" w:rsidR="00AC7D34" w:rsidRDefault="00AC7D34">
      <w:pPr>
        <w:pStyle w:val="FootnoteText"/>
        <w:spacing w:before="0"/>
        <w:rPr>
          <w:sz w:val="14"/>
          <w:szCs w:val="14"/>
          <w:lang w:val="sq-AL"/>
        </w:rPr>
      </w:pPr>
      <w:r>
        <w:rPr>
          <w:rStyle w:val="FootnoteCharacters"/>
        </w:rPr>
        <w:footnoteRef/>
      </w:r>
      <w:r>
        <w:rPr>
          <w:sz w:val="16"/>
          <w:szCs w:val="16"/>
          <w:lang w:val="sq-AL"/>
        </w:rPr>
        <w:t xml:space="preserve"> </w:t>
      </w:r>
      <w:r>
        <w:rPr>
          <w:rFonts w:cstheme="minorHAnsi"/>
          <w:sz w:val="16"/>
          <w:szCs w:val="16"/>
          <w:lang w:val="sq-AL"/>
        </w:rPr>
        <w:t>https://shendetesia.gov.al/ëp-content/uploads/2022/01/LGBTI-NAP-2021-2027-AL-final.pdf</w:t>
      </w:r>
    </w:p>
  </w:footnote>
  <w:footnote w:id="9">
    <w:p w14:paraId="06686582" w14:textId="77777777" w:rsidR="00AC7D34" w:rsidRDefault="00AC7D34">
      <w:pPr>
        <w:pStyle w:val="FootnoteText"/>
        <w:spacing w:before="0"/>
        <w:rPr>
          <w:rFonts w:cstheme="minorHAnsi"/>
          <w:sz w:val="16"/>
          <w:szCs w:val="16"/>
          <w:lang w:val="sq-AL"/>
        </w:rPr>
      </w:pPr>
      <w:r>
        <w:rPr>
          <w:rStyle w:val="FootnoteCharacters"/>
        </w:rPr>
        <w:footnoteRef/>
      </w:r>
      <w:r>
        <w:rPr>
          <w:rFonts w:cstheme="minorHAnsi"/>
          <w:sz w:val="16"/>
          <w:szCs w:val="16"/>
          <w:lang w:val="sq-AL"/>
        </w:rPr>
        <w:t xml:space="preserve"> https://qbz.gov.al/previeë/f61689e7-a6b0-4e0a-95a1-ec652c465d3f/fz</w:t>
      </w:r>
    </w:p>
  </w:footnote>
  <w:footnote w:id="10">
    <w:p w14:paraId="6E0AE8D7" w14:textId="2444D060" w:rsidR="00AC7D34" w:rsidRDefault="00AC7D34">
      <w:pPr>
        <w:pStyle w:val="FootnoteText"/>
        <w:spacing w:before="0"/>
        <w:rPr>
          <w:rFonts w:cstheme="minorHAnsi"/>
          <w:sz w:val="16"/>
          <w:szCs w:val="16"/>
          <w:lang w:val="sq-AL"/>
        </w:rPr>
      </w:pPr>
      <w:r>
        <w:rPr>
          <w:rStyle w:val="FootnoteCharacters"/>
        </w:rPr>
        <w:footnoteRef/>
      </w:r>
      <w:r>
        <w:rPr>
          <w:rFonts w:cstheme="minorHAnsi"/>
          <w:sz w:val="16"/>
          <w:szCs w:val="16"/>
          <w:lang w:val="sq-AL"/>
        </w:rPr>
        <w:t xml:space="preserve"> https://</w:t>
      </w:r>
      <w:r w:rsidR="00845E90">
        <w:rPr>
          <w:rFonts w:cstheme="minorHAnsi"/>
          <w:sz w:val="16"/>
          <w:szCs w:val="16"/>
          <w:lang w:val="sq-AL"/>
        </w:rPr>
        <w:t>www</w:t>
      </w:r>
      <w:r>
        <w:rPr>
          <w:rFonts w:cstheme="minorHAnsi"/>
          <w:sz w:val="16"/>
          <w:szCs w:val="16"/>
          <w:lang w:val="sq-AL"/>
        </w:rPr>
        <w:t>.konsultimipublik.gov.al/Konsultime/Detaje/561</w:t>
      </w:r>
    </w:p>
  </w:footnote>
  <w:footnote w:id="11">
    <w:p w14:paraId="33937E49" w14:textId="77777777" w:rsidR="00AC7D34" w:rsidRDefault="00AC7D34">
      <w:pPr>
        <w:pStyle w:val="FootnoteText"/>
        <w:spacing w:before="0"/>
        <w:rPr>
          <w:rFonts w:cstheme="minorHAnsi"/>
          <w:sz w:val="16"/>
          <w:szCs w:val="16"/>
          <w:lang w:val="sq-AL"/>
        </w:rPr>
      </w:pPr>
      <w:r>
        <w:rPr>
          <w:rStyle w:val="FootnoteCharacters"/>
        </w:rPr>
        <w:footnoteRef/>
      </w:r>
      <w:r>
        <w:rPr>
          <w:rFonts w:cstheme="minorHAnsi"/>
          <w:sz w:val="16"/>
          <w:szCs w:val="16"/>
          <w:lang w:val="sq-AL"/>
        </w:rPr>
        <w:t xml:space="preserve"> VKM nr 621, datë 22.10.2021 “Për miratimin e Strategjisë Kombëtare për Arsimin 2021-2026 dhe të Planit të Veprimit për Zbatimin e saj”</w:t>
      </w:r>
    </w:p>
  </w:footnote>
  <w:footnote w:id="12">
    <w:p w14:paraId="3C608BDD" w14:textId="77777777" w:rsidR="00AC7D34" w:rsidRDefault="00AC7D34">
      <w:pPr>
        <w:pStyle w:val="FootnoteText"/>
        <w:spacing w:before="0"/>
        <w:rPr>
          <w:sz w:val="18"/>
          <w:szCs w:val="18"/>
          <w:lang w:val="sq-AL"/>
        </w:rPr>
      </w:pPr>
      <w:r>
        <w:rPr>
          <w:rStyle w:val="FootnoteCharacters"/>
        </w:rPr>
        <w:footnoteRef/>
      </w:r>
      <w:r>
        <w:rPr>
          <w:rFonts w:cstheme="minorHAnsi"/>
          <w:sz w:val="16"/>
          <w:szCs w:val="16"/>
          <w:lang w:val="sq-AL"/>
        </w:rPr>
        <w:t xml:space="preserve">  Në këtë Strategji dhe Planin e saj të Veprimit termat ‘i/e mitur’ dhe ‘fëmijë’ janë përdorur si sinonime ekuivalente të njëri-tjetrit dhe nënkuptojnë individin që nuk ka mbushur ende moshën 18 vjeç.</w:t>
      </w:r>
    </w:p>
  </w:footnote>
  <w:footnote w:id="13">
    <w:p w14:paraId="5EE272DA" w14:textId="77777777" w:rsidR="00AC7D34" w:rsidRDefault="00AC7D34">
      <w:pPr>
        <w:pStyle w:val="FootnoteText"/>
        <w:rPr>
          <w:sz w:val="16"/>
          <w:szCs w:val="16"/>
          <w:lang w:val="sq-AL"/>
        </w:rPr>
      </w:pPr>
      <w:r>
        <w:rPr>
          <w:rStyle w:val="FootnoteCharacters"/>
        </w:rPr>
        <w:footnoteRef/>
      </w:r>
      <w:r>
        <w:rPr>
          <w:sz w:val="16"/>
          <w:szCs w:val="16"/>
          <w:lang w:val="sq-AL"/>
        </w:rPr>
        <w:t xml:space="preserve"> </w:t>
      </w:r>
      <w:r>
        <w:rPr>
          <w:rFonts w:cstheme="minorHAnsi"/>
          <w:sz w:val="16"/>
          <w:szCs w:val="16"/>
          <w:lang w:val="sq-AL"/>
        </w:rPr>
        <w:t>VKM nr.637/2021” Për krijimin dhe funksionimin e Agjensisë së sigurimit të cilësisë sëkujdesit shëndetësor dhe shoqëror</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823F2" w14:textId="77777777" w:rsidR="00AC7D34" w:rsidRDefault="00AC7D3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8F48A" w14:textId="77777777" w:rsidR="00AC7D34" w:rsidRDefault="00AC7D34">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27648" w14:textId="77777777" w:rsidR="00AC7D34" w:rsidRDefault="00AC7D34">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E7BF2" w14:textId="77777777" w:rsidR="00AC7D34" w:rsidRDefault="00AC7D3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27946"/>
    <w:multiLevelType w:val="multilevel"/>
    <w:tmpl w:val="9D60058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nsid w:val="10AC5C3D"/>
    <w:multiLevelType w:val="multilevel"/>
    <w:tmpl w:val="9326C51E"/>
    <w:lvl w:ilvl="0">
      <w:start w:val="1"/>
      <w:numFmt w:val="bullet"/>
      <w:lvlText w:val=""/>
      <w:lvlJc w:val="left"/>
      <w:pPr>
        <w:tabs>
          <w:tab w:val="num" w:pos="0"/>
        </w:tabs>
        <w:ind w:left="540" w:hanging="360"/>
      </w:pPr>
      <w:rPr>
        <w:rFonts w:ascii="Symbol" w:hAnsi="Symbol" w:cs="Symbol" w:hint="default"/>
      </w:rPr>
    </w:lvl>
    <w:lvl w:ilvl="1">
      <w:start w:val="1"/>
      <w:numFmt w:val="bullet"/>
      <w:lvlText w:val="o"/>
      <w:lvlJc w:val="left"/>
      <w:pPr>
        <w:tabs>
          <w:tab w:val="num" w:pos="0"/>
        </w:tabs>
        <w:ind w:left="1260" w:hanging="360"/>
      </w:pPr>
      <w:rPr>
        <w:rFonts w:ascii="Courier New" w:hAnsi="Courier New" w:cs="Courier New" w:hint="default"/>
      </w:rPr>
    </w:lvl>
    <w:lvl w:ilvl="2">
      <w:start w:val="1"/>
      <w:numFmt w:val="bullet"/>
      <w:lvlText w:val=""/>
      <w:lvlJc w:val="left"/>
      <w:pPr>
        <w:tabs>
          <w:tab w:val="num" w:pos="0"/>
        </w:tabs>
        <w:ind w:left="1980" w:hanging="360"/>
      </w:pPr>
      <w:rPr>
        <w:rFonts w:ascii="Wingdings" w:hAnsi="Wingdings" w:cs="Wingdings" w:hint="default"/>
      </w:rPr>
    </w:lvl>
    <w:lvl w:ilvl="3">
      <w:start w:val="1"/>
      <w:numFmt w:val="bullet"/>
      <w:lvlText w:val=""/>
      <w:lvlJc w:val="left"/>
      <w:pPr>
        <w:tabs>
          <w:tab w:val="num" w:pos="0"/>
        </w:tabs>
        <w:ind w:left="2700" w:hanging="360"/>
      </w:pPr>
      <w:rPr>
        <w:rFonts w:ascii="Symbol" w:hAnsi="Symbol" w:cs="Symbol" w:hint="default"/>
      </w:rPr>
    </w:lvl>
    <w:lvl w:ilvl="4">
      <w:start w:val="1"/>
      <w:numFmt w:val="bullet"/>
      <w:lvlText w:val="o"/>
      <w:lvlJc w:val="left"/>
      <w:pPr>
        <w:tabs>
          <w:tab w:val="num" w:pos="0"/>
        </w:tabs>
        <w:ind w:left="3420" w:hanging="360"/>
      </w:pPr>
      <w:rPr>
        <w:rFonts w:ascii="Courier New" w:hAnsi="Courier New" w:cs="Courier New" w:hint="default"/>
      </w:rPr>
    </w:lvl>
    <w:lvl w:ilvl="5">
      <w:start w:val="1"/>
      <w:numFmt w:val="bullet"/>
      <w:lvlText w:val=""/>
      <w:lvlJc w:val="left"/>
      <w:pPr>
        <w:tabs>
          <w:tab w:val="num" w:pos="0"/>
        </w:tabs>
        <w:ind w:left="4140" w:hanging="360"/>
      </w:pPr>
      <w:rPr>
        <w:rFonts w:ascii="Wingdings" w:hAnsi="Wingdings" w:cs="Wingdings" w:hint="default"/>
      </w:rPr>
    </w:lvl>
    <w:lvl w:ilvl="6">
      <w:start w:val="1"/>
      <w:numFmt w:val="bullet"/>
      <w:lvlText w:val=""/>
      <w:lvlJc w:val="left"/>
      <w:pPr>
        <w:tabs>
          <w:tab w:val="num" w:pos="0"/>
        </w:tabs>
        <w:ind w:left="4860" w:hanging="360"/>
      </w:pPr>
      <w:rPr>
        <w:rFonts w:ascii="Symbol" w:hAnsi="Symbol" w:cs="Symbol" w:hint="default"/>
      </w:rPr>
    </w:lvl>
    <w:lvl w:ilvl="7">
      <w:start w:val="1"/>
      <w:numFmt w:val="bullet"/>
      <w:lvlText w:val="o"/>
      <w:lvlJc w:val="left"/>
      <w:pPr>
        <w:tabs>
          <w:tab w:val="num" w:pos="0"/>
        </w:tabs>
        <w:ind w:left="5580" w:hanging="360"/>
      </w:pPr>
      <w:rPr>
        <w:rFonts w:ascii="Courier New" w:hAnsi="Courier New" w:cs="Courier New" w:hint="default"/>
      </w:rPr>
    </w:lvl>
    <w:lvl w:ilvl="8">
      <w:start w:val="1"/>
      <w:numFmt w:val="bullet"/>
      <w:lvlText w:val=""/>
      <w:lvlJc w:val="left"/>
      <w:pPr>
        <w:tabs>
          <w:tab w:val="num" w:pos="0"/>
        </w:tabs>
        <w:ind w:left="6300" w:hanging="360"/>
      </w:pPr>
      <w:rPr>
        <w:rFonts w:ascii="Wingdings" w:hAnsi="Wingdings" w:cs="Wingdings" w:hint="default"/>
      </w:rPr>
    </w:lvl>
  </w:abstractNum>
  <w:abstractNum w:abstractNumId="2">
    <w:nsid w:val="1E386FF6"/>
    <w:multiLevelType w:val="multilevel"/>
    <w:tmpl w:val="FB72033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nsid w:val="24377906"/>
    <w:multiLevelType w:val="multilevel"/>
    <w:tmpl w:val="7D964CCE"/>
    <w:lvl w:ilvl="0">
      <w:start w:val="1"/>
      <w:numFmt w:val="decimal"/>
      <w:pStyle w:val="Normal0"/>
      <w:lvlText w:val="%1."/>
      <w:lvlJc w:val="left"/>
      <w:pPr>
        <w:tabs>
          <w:tab w:val="num" w:pos="0"/>
        </w:tabs>
        <w:ind w:left="360" w:hanging="360"/>
      </w:pPr>
    </w:lvl>
    <w:lvl w:ilvl="1">
      <w:start w:val="1"/>
      <w:numFmt w:val="lowerLetter"/>
      <w:lvlText w:val="%2."/>
      <w:lvlJc w:val="left"/>
      <w:pPr>
        <w:tabs>
          <w:tab w:val="num" w:pos="0"/>
        </w:tabs>
        <w:ind w:left="2074" w:hanging="360"/>
      </w:pPr>
    </w:lvl>
    <w:lvl w:ilvl="2">
      <w:start w:val="1"/>
      <w:numFmt w:val="lowerRoman"/>
      <w:lvlText w:val="%3."/>
      <w:lvlJc w:val="right"/>
      <w:pPr>
        <w:tabs>
          <w:tab w:val="num" w:pos="0"/>
        </w:tabs>
        <w:ind w:left="2794" w:hanging="180"/>
      </w:pPr>
    </w:lvl>
    <w:lvl w:ilvl="3">
      <w:start w:val="1"/>
      <w:numFmt w:val="decimal"/>
      <w:lvlText w:val="%4."/>
      <w:lvlJc w:val="left"/>
      <w:pPr>
        <w:tabs>
          <w:tab w:val="num" w:pos="0"/>
        </w:tabs>
        <w:ind w:left="3514" w:hanging="360"/>
      </w:pPr>
    </w:lvl>
    <w:lvl w:ilvl="4">
      <w:start w:val="1"/>
      <w:numFmt w:val="lowerLetter"/>
      <w:lvlText w:val="%5."/>
      <w:lvlJc w:val="left"/>
      <w:pPr>
        <w:tabs>
          <w:tab w:val="num" w:pos="0"/>
        </w:tabs>
        <w:ind w:left="4234" w:hanging="360"/>
      </w:pPr>
    </w:lvl>
    <w:lvl w:ilvl="5">
      <w:start w:val="1"/>
      <w:numFmt w:val="lowerRoman"/>
      <w:lvlText w:val="%6."/>
      <w:lvlJc w:val="right"/>
      <w:pPr>
        <w:tabs>
          <w:tab w:val="num" w:pos="0"/>
        </w:tabs>
        <w:ind w:left="4954" w:hanging="180"/>
      </w:pPr>
    </w:lvl>
    <w:lvl w:ilvl="6">
      <w:start w:val="1"/>
      <w:numFmt w:val="decimal"/>
      <w:lvlText w:val="%7."/>
      <w:lvlJc w:val="left"/>
      <w:pPr>
        <w:tabs>
          <w:tab w:val="num" w:pos="0"/>
        </w:tabs>
        <w:ind w:left="5674" w:hanging="360"/>
      </w:pPr>
    </w:lvl>
    <w:lvl w:ilvl="7">
      <w:start w:val="1"/>
      <w:numFmt w:val="lowerLetter"/>
      <w:lvlText w:val="%8."/>
      <w:lvlJc w:val="left"/>
      <w:pPr>
        <w:tabs>
          <w:tab w:val="num" w:pos="0"/>
        </w:tabs>
        <w:ind w:left="6394" w:hanging="360"/>
      </w:pPr>
    </w:lvl>
    <w:lvl w:ilvl="8">
      <w:start w:val="1"/>
      <w:numFmt w:val="lowerRoman"/>
      <w:lvlText w:val="%9."/>
      <w:lvlJc w:val="right"/>
      <w:pPr>
        <w:tabs>
          <w:tab w:val="num" w:pos="0"/>
        </w:tabs>
        <w:ind w:left="7114" w:hanging="180"/>
      </w:pPr>
    </w:lvl>
  </w:abstractNum>
  <w:abstractNum w:abstractNumId="4">
    <w:nsid w:val="258D5064"/>
    <w:multiLevelType w:val="multilevel"/>
    <w:tmpl w:val="816CADC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269F68B7"/>
    <w:multiLevelType w:val="multilevel"/>
    <w:tmpl w:val="E3F0F8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355F3129"/>
    <w:multiLevelType w:val="multilevel"/>
    <w:tmpl w:val="4B2EBC8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nsid w:val="384A2B66"/>
    <w:multiLevelType w:val="multilevel"/>
    <w:tmpl w:val="2ED865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3E9238C0"/>
    <w:multiLevelType w:val="multilevel"/>
    <w:tmpl w:val="DED8A8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nsid w:val="43C21F68"/>
    <w:multiLevelType w:val="multilevel"/>
    <w:tmpl w:val="459CEEC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
    <w:nsid w:val="477222F7"/>
    <w:multiLevelType w:val="multilevel"/>
    <w:tmpl w:val="50BA6F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nsid w:val="4BF54235"/>
    <w:multiLevelType w:val="multilevel"/>
    <w:tmpl w:val="3A2E67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4FE130A2"/>
    <w:multiLevelType w:val="multilevel"/>
    <w:tmpl w:val="EC10B964"/>
    <w:lvl w:ilvl="0">
      <w:start w:val="1"/>
      <w:numFmt w:val="bullet"/>
      <w:lvlText w:val="Ø"/>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nsid w:val="517D6860"/>
    <w:multiLevelType w:val="multilevel"/>
    <w:tmpl w:val="D70A15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nsid w:val="5DD90CD0"/>
    <w:multiLevelType w:val="hybridMultilevel"/>
    <w:tmpl w:val="526664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8C7773"/>
    <w:multiLevelType w:val="hybridMultilevel"/>
    <w:tmpl w:val="B7583556"/>
    <w:lvl w:ilvl="0" w:tplc="2CEE213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AF1A1A"/>
    <w:multiLevelType w:val="multilevel"/>
    <w:tmpl w:val="0C3CA4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670D3DFC"/>
    <w:multiLevelType w:val="multilevel"/>
    <w:tmpl w:val="5C4C614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8">
    <w:nsid w:val="7587124B"/>
    <w:multiLevelType w:val="multilevel"/>
    <w:tmpl w:val="096262D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nsid w:val="76CE10DE"/>
    <w:multiLevelType w:val="multilevel"/>
    <w:tmpl w:val="A3A0A9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7"/>
  </w:num>
  <w:num w:numId="2">
    <w:abstractNumId w:val="5"/>
  </w:num>
  <w:num w:numId="3">
    <w:abstractNumId w:val="12"/>
  </w:num>
  <w:num w:numId="4">
    <w:abstractNumId w:val="13"/>
  </w:num>
  <w:num w:numId="5">
    <w:abstractNumId w:val="1"/>
  </w:num>
  <w:num w:numId="6">
    <w:abstractNumId w:val="18"/>
  </w:num>
  <w:num w:numId="7">
    <w:abstractNumId w:val="8"/>
  </w:num>
  <w:num w:numId="8">
    <w:abstractNumId w:val="6"/>
  </w:num>
  <w:num w:numId="9">
    <w:abstractNumId w:val="17"/>
  </w:num>
  <w:num w:numId="10">
    <w:abstractNumId w:val="10"/>
  </w:num>
  <w:num w:numId="11">
    <w:abstractNumId w:val="9"/>
  </w:num>
  <w:num w:numId="12">
    <w:abstractNumId w:val="2"/>
  </w:num>
  <w:num w:numId="13">
    <w:abstractNumId w:val="0"/>
  </w:num>
  <w:num w:numId="14">
    <w:abstractNumId w:val="3"/>
  </w:num>
  <w:num w:numId="15">
    <w:abstractNumId w:val="4"/>
  </w:num>
  <w:num w:numId="16">
    <w:abstractNumId w:val="19"/>
  </w:num>
  <w:num w:numId="17">
    <w:abstractNumId w:val="16"/>
  </w:num>
  <w:num w:numId="18">
    <w:abstractNumId w:val="11"/>
  </w:num>
  <w:num w:numId="19">
    <w:abstractNumId w:val="14"/>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C9"/>
    <w:rsid w:val="000139D0"/>
    <w:rsid w:val="000346C2"/>
    <w:rsid w:val="0005130C"/>
    <w:rsid w:val="00086B11"/>
    <w:rsid w:val="000D3687"/>
    <w:rsid w:val="000E3B53"/>
    <w:rsid w:val="00114871"/>
    <w:rsid w:val="001437FD"/>
    <w:rsid w:val="00153BEB"/>
    <w:rsid w:val="0016529D"/>
    <w:rsid w:val="002B2960"/>
    <w:rsid w:val="00322182"/>
    <w:rsid w:val="00394B44"/>
    <w:rsid w:val="00395D48"/>
    <w:rsid w:val="0042453A"/>
    <w:rsid w:val="004860B6"/>
    <w:rsid w:val="00497703"/>
    <w:rsid w:val="004C27B2"/>
    <w:rsid w:val="004D1CF8"/>
    <w:rsid w:val="004F2BA4"/>
    <w:rsid w:val="004F49DD"/>
    <w:rsid w:val="00561AD4"/>
    <w:rsid w:val="005D00D8"/>
    <w:rsid w:val="005F2AC9"/>
    <w:rsid w:val="006159C1"/>
    <w:rsid w:val="006F193A"/>
    <w:rsid w:val="00765A96"/>
    <w:rsid w:val="007B4850"/>
    <w:rsid w:val="00845E90"/>
    <w:rsid w:val="0088709D"/>
    <w:rsid w:val="008A0177"/>
    <w:rsid w:val="008A023D"/>
    <w:rsid w:val="008E3291"/>
    <w:rsid w:val="00962E92"/>
    <w:rsid w:val="009D7A19"/>
    <w:rsid w:val="00A35A63"/>
    <w:rsid w:val="00A44C0A"/>
    <w:rsid w:val="00A50E95"/>
    <w:rsid w:val="00A52A15"/>
    <w:rsid w:val="00AC7D34"/>
    <w:rsid w:val="00B45658"/>
    <w:rsid w:val="00B56839"/>
    <w:rsid w:val="00BA388C"/>
    <w:rsid w:val="00BA4B59"/>
    <w:rsid w:val="00BF7ED1"/>
    <w:rsid w:val="00C32943"/>
    <w:rsid w:val="00C3647C"/>
    <w:rsid w:val="00CC10A0"/>
    <w:rsid w:val="00DC3F96"/>
    <w:rsid w:val="00E737AC"/>
    <w:rsid w:val="00E970AE"/>
    <w:rsid w:val="00F404F6"/>
    <w:rsid w:val="00F41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8B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uppressAutoHyphens/>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3EE"/>
    <w:pPr>
      <w:spacing w:before="100" w:after="200" w:line="276" w:lineRule="auto"/>
    </w:pPr>
  </w:style>
  <w:style w:type="paragraph" w:styleId="Heading1">
    <w:name w:val="heading 1"/>
    <w:basedOn w:val="Normal"/>
    <w:next w:val="Normal"/>
    <w:link w:val="Heading1Char"/>
    <w:uiPriority w:val="9"/>
    <w:qFormat/>
    <w:rsid w:val="00E3613E"/>
    <w:pPr>
      <w:pBdr>
        <w:top w:val="single" w:sz="24" w:space="0" w:color="F0A22E" w:themeColor="accent1"/>
        <w:left w:val="single" w:sz="24" w:space="0" w:color="F0A22E" w:themeColor="accent1"/>
        <w:bottom w:val="single" w:sz="24" w:space="0" w:color="F0A22E" w:themeColor="accent1"/>
        <w:right w:val="single" w:sz="24" w:space="0" w:color="F0A22E" w:themeColor="accent1"/>
      </w:pBdr>
      <w:shd w:val="clear" w:color="auto" w:fill="F0A22E" w:themeFill="accent1"/>
      <w:spacing w:after="0"/>
      <w:jc w:val="both"/>
      <w:outlineLvl w:val="0"/>
    </w:pPr>
    <w:rPr>
      <w:caps/>
      <w:color w:val="FFFFFF" w:themeColor="background1"/>
      <w:spacing w:val="15"/>
      <w:sz w:val="24"/>
      <w:szCs w:val="24"/>
      <w:lang w:val="pt-BR"/>
    </w:rPr>
  </w:style>
  <w:style w:type="paragraph" w:styleId="Heading2">
    <w:name w:val="heading 2"/>
    <w:basedOn w:val="Normal"/>
    <w:next w:val="Normal"/>
    <w:link w:val="Heading2Char"/>
    <w:uiPriority w:val="9"/>
    <w:unhideWhenUsed/>
    <w:qFormat/>
    <w:rsid w:val="006653EE"/>
    <w:pPr>
      <w:pBdr>
        <w:top w:val="single" w:sz="24" w:space="0" w:color="FCECD5" w:themeColor="accent1" w:themeTint="33"/>
        <w:left w:val="single" w:sz="24" w:space="0" w:color="FCECD5" w:themeColor="accent1" w:themeTint="33"/>
        <w:bottom w:val="single" w:sz="24" w:space="0" w:color="FCECD5" w:themeColor="accent1" w:themeTint="33"/>
        <w:right w:val="single" w:sz="24" w:space="0" w:color="FCECD5" w:themeColor="accent1" w:themeTint="33"/>
      </w:pBdr>
      <w:shd w:val="clear" w:color="auto" w:fill="FCECD5"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6653EE"/>
    <w:pPr>
      <w:pBdr>
        <w:top w:val="single" w:sz="6" w:space="2" w:color="F0A22E" w:themeColor="accent1"/>
      </w:pBdr>
      <w:spacing w:before="300" w:after="0"/>
      <w:outlineLvl w:val="2"/>
    </w:pPr>
    <w:rPr>
      <w:caps/>
      <w:color w:val="845209" w:themeColor="accent1" w:themeShade="7F"/>
      <w:spacing w:val="15"/>
    </w:rPr>
  </w:style>
  <w:style w:type="paragraph" w:styleId="Heading4">
    <w:name w:val="heading 4"/>
    <w:basedOn w:val="Normal"/>
    <w:next w:val="Normal"/>
    <w:link w:val="Heading4Char"/>
    <w:uiPriority w:val="9"/>
    <w:semiHidden/>
    <w:unhideWhenUsed/>
    <w:qFormat/>
    <w:rsid w:val="006653EE"/>
    <w:pPr>
      <w:pBdr>
        <w:top w:val="dotted" w:sz="6" w:space="2" w:color="F0A22E" w:themeColor="accent1"/>
      </w:pBdr>
      <w:spacing w:before="200" w:after="0"/>
      <w:outlineLvl w:val="3"/>
    </w:pPr>
    <w:rPr>
      <w:caps/>
      <w:color w:val="C77C0E" w:themeColor="accent1" w:themeShade="BF"/>
      <w:spacing w:val="10"/>
    </w:rPr>
  </w:style>
  <w:style w:type="paragraph" w:styleId="Heading5">
    <w:name w:val="heading 5"/>
    <w:basedOn w:val="Normal"/>
    <w:next w:val="Normal"/>
    <w:link w:val="Heading5Char"/>
    <w:uiPriority w:val="9"/>
    <w:semiHidden/>
    <w:unhideWhenUsed/>
    <w:qFormat/>
    <w:rsid w:val="006653EE"/>
    <w:pPr>
      <w:pBdr>
        <w:bottom w:val="single" w:sz="6" w:space="1" w:color="F0A22E" w:themeColor="accent1"/>
      </w:pBdr>
      <w:spacing w:before="200" w:after="0"/>
      <w:outlineLvl w:val="4"/>
    </w:pPr>
    <w:rPr>
      <w:caps/>
      <w:color w:val="C77C0E" w:themeColor="accent1" w:themeShade="BF"/>
      <w:spacing w:val="10"/>
    </w:rPr>
  </w:style>
  <w:style w:type="paragraph" w:styleId="Heading6">
    <w:name w:val="heading 6"/>
    <w:basedOn w:val="Normal"/>
    <w:next w:val="Normal"/>
    <w:link w:val="Heading6Char"/>
    <w:uiPriority w:val="9"/>
    <w:semiHidden/>
    <w:unhideWhenUsed/>
    <w:qFormat/>
    <w:rsid w:val="006653EE"/>
    <w:pPr>
      <w:pBdr>
        <w:bottom w:val="dotted" w:sz="6" w:space="1" w:color="F0A22E" w:themeColor="accent1"/>
      </w:pBdr>
      <w:spacing w:before="200" w:after="0"/>
      <w:outlineLvl w:val="5"/>
    </w:pPr>
    <w:rPr>
      <w:caps/>
      <w:color w:val="C77C0E" w:themeColor="accent1" w:themeShade="BF"/>
      <w:spacing w:val="10"/>
    </w:rPr>
  </w:style>
  <w:style w:type="paragraph" w:styleId="Heading7">
    <w:name w:val="heading 7"/>
    <w:basedOn w:val="Normal"/>
    <w:next w:val="Normal"/>
    <w:link w:val="Heading7Char"/>
    <w:uiPriority w:val="9"/>
    <w:semiHidden/>
    <w:unhideWhenUsed/>
    <w:qFormat/>
    <w:rsid w:val="006653EE"/>
    <w:pPr>
      <w:spacing w:before="200" w:after="0"/>
      <w:outlineLvl w:val="6"/>
    </w:pPr>
    <w:rPr>
      <w:caps/>
      <w:color w:val="C77C0E" w:themeColor="accent1" w:themeShade="BF"/>
      <w:spacing w:val="10"/>
    </w:rPr>
  </w:style>
  <w:style w:type="paragraph" w:styleId="Heading8">
    <w:name w:val="heading 8"/>
    <w:basedOn w:val="Normal"/>
    <w:next w:val="Normal"/>
    <w:link w:val="Heading8Char"/>
    <w:uiPriority w:val="9"/>
    <w:semiHidden/>
    <w:unhideWhenUsed/>
    <w:qFormat/>
    <w:rsid w:val="006653E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653E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3613E"/>
    <w:rPr>
      <w:caps/>
      <w:color w:val="FFFFFF" w:themeColor="background1"/>
      <w:spacing w:val="15"/>
      <w:sz w:val="24"/>
      <w:szCs w:val="24"/>
      <w:shd w:val="clear" w:color="auto" w:fill="F0A22E"/>
      <w:lang w:val="pt-BR"/>
    </w:rPr>
  </w:style>
  <w:style w:type="character" w:customStyle="1" w:styleId="Heading2Char">
    <w:name w:val="Heading 2 Char"/>
    <w:basedOn w:val="DefaultParagraphFont"/>
    <w:link w:val="Heading2"/>
    <w:uiPriority w:val="9"/>
    <w:qFormat/>
    <w:rsid w:val="006653EE"/>
    <w:rPr>
      <w:caps/>
      <w:spacing w:val="15"/>
      <w:shd w:val="clear" w:color="auto" w:fill="FCECD5"/>
    </w:rPr>
  </w:style>
  <w:style w:type="character" w:customStyle="1" w:styleId="Heading3Char">
    <w:name w:val="Heading 3 Char"/>
    <w:basedOn w:val="DefaultParagraphFont"/>
    <w:link w:val="Heading3"/>
    <w:uiPriority w:val="9"/>
    <w:qFormat/>
    <w:rsid w:val="006653EE"/>
    <w:rPr>
      <w:caps/>
      <w:color w:val="845209" w:themeColor="accent1" w:themeShade="7F"/>
      <w:spacing w:val="15"/>
    </w:rPr>
  </w:style>
  <w:style w:type="character" w:customStyle="1" w:styleId="Heading4Char">
    <w:name w:val="Heading 4 Char"/>
    <w:basedOn w:val="DefaultParagraphFont"/>
    <w:link w:val="Heading4"/>
    <w:uiPriority w:val="9"/>
    <w:semiHidden/>
    <w:qFormat/>
    <w:rsid w:val="006653EE"/>
    <w:rPr>
      <w:caps/>
      <w:color w:val="C77C0E" w:themeColor="accent1" w:themeShade="BF"/>
      <w:spacing w:val="10"/>
    </w:rPr>
  </w:style>
  <w:style w:type="character" w:customStyle="1" w:styleId="Heading5Char">
    <w:name w:val="Heading 5 Char"/>
    <w:basedOn w:val="DefaultParagraphFont"/>
    <w:link w:val="Heading5"/>
    <w:uiPriority w:val="9"/>
    <w:semiHidden/>
    <w:qFormat/>
    <w:rsid w:val="006653EE"/>
    <w:rPr>
      <w:caps/>
      <w:color w:val="C77C0E" w:themeColor="accent1" w:themeShade="BF"/>
      <w:spacing w:val="10"/>
    </w:rPr>
  </w:style>
  <w:style w:type="character" w:customStyle="1" w:styleId="Heading6Char">
    <w:name w:val="Heading 6 Char"/>
    <w:basedOn w:val="DefaultParagraphFont"/>
    <w:link w:val="Heading6"/>
    <w:uiPriority w:val="9"/>
    <w:semiHidden/>
    <w:qFormat/>
    <w:rsid w:val="006653EE"/>
    <w:rPr>
      <w:caps/>
      <w:color w:val="C77C0E" w:themeColor="accent1" w:themeShade="BF"/>
      <w:spacing w:val="10"/>
    </w:rPr>
  </w:style>
  <w:style w:type="character" w:customStyle="1" w:styleId="Heading7Char">
    <w:name w:val="Heading 7 Char"/>
    <w:basedOn w:val="DefaultParagraphFont"/>
    <w:link w:val="Heading7"/>
    <w:uiPriority w:val="9"/>
    <w:semiHidden/>
    <w:qFormat/>
    <w:rsid w:val="006653EE"/>
    <w:rPr>
      <w:caps/>
      <w:color w:val="C77C0E" w:themeColor="accent1" w:themeShade="BF"/>
      <w:spacing w:val="10"/>
    </w:rPr>
  </w:style>
  <w:style w:type="character" w:customStyle="1" w:styleId="Heading8Char">
    <w:name w:val="Heading 8 Char"/>
    <w:basedOn w:val="DefaultParagraphFont"/>
    <w:link w:val="Heading8"/>
    <w:uiPriority w:val="9"/>
    <w:semiHidden/>
    <w:qFormat/>
    <w:rsid w:val="006653EE"/>
    <w:rPr>
      <w:caps/>
      <w:spacing w:val="10"/>
      <w:sz w:val="18"/>
      <w:szCs w:val="18"/>
    </w:rPr>
  </w:style>
  <w:style w:type="character" w:customStyle="1" w:styleId="Heading9Char">
    <w:name w:val="Heading 9 Char"/>
    <w:basedOn w:val="DefaultParagraphFont"/>
    <w:link w:val="Heading9"/>
    <w:uiPriority w:val="9"/>
    <w:semiHidden/>
    <w:qFormat/>
    <w:rsid w:val="006653EE"/>
    <w:rPr>
      <w:i/>
      <w:iCs/>
      <w:caps/>
      <w:spacing w:val="10"/>
      <w:sz w:val="18"/>
      <w:szCs w:val="18"/>
    </w:rPr>
  </w:style>
  <w:style w:type="character" w:customStyle="1" w:styleId="NoSpacingChar">
    <w:name w:val="No Spacing Char"/>
    <w:link w:val="NoSpacing"/>
    <w:uiPriority w:val="1"/>
    <w:qFormat/>
    <w:rsid w:val="00B2557D"/>
  </w:style>
  <w:style w:type="character" w:customStyle="1" w:styleId="ListParagraphChar">
    <w:name w:val="List Paragraph Char"/>
    <w:link w:val="ListParagraph"/>
    <w:qFormat/>
    <w:rsid w:val="00D17981"/>
  </w:style>
  <w:style w:type="character" w:customStyle="1" w:styleId="HeaderChar">
    <w:name w:val="Header Char"/>
    <w:basedOn w:val="DefaultParagraphFont"/>
    <w:link w:val="Header"/>
    <w:uiPriority w:val="99"/>
    <w:qFormat/>
    <w:rsid w:val="00130CFE"/>
    <w:rPr>
      <w:rFonts w:ascii="Calibri" w:eastAsia="Times New Roman" w:hAnsi="Calibri" w:cs="Times New Roman"/>
      <w:sz w:val="20"/>
      <w:szCs w:val="20"/>
      <w:lang w:val="sq-AL" w:bidi="en-US"/>
    </w:rPr>
  </w:style>
  <w:style w:type="character" w:customStyle="1" w:styleId="FooterChar">
    <w:name w:val="Footer Char"/>
    <w:basedOn w:val="DefaultParagraphFont"/>
    <w:link w:val="Footer"/>
    <w:uiPriority w:val="99"/>
    <w:qFormat/>
    <w:rsid w:val="00130CFE"/>
    <w:rPr>
      <w:rFonts w:ascii="Calibri" w:eastAsia="Times New Roman" w:hAnsi="Calibri" w:cs="Times New Roman"/>
      <w:sz w:val="20"/>
      <w:szCs w:val="20"/>
      <w:lang w:val="sq-AL" w:bidi="en-US"/>
    </w:rPr>
  </w:style>
  <w:style w:type="character" w:styleId="CommentReference">
    <w:name w:val="annotation reference"/>
    <w:basedOn w:val="DefaultParagraphFont"/>
    <w:uiPriority w:val="99"/>
    <w:semiHidden/>
    <w:unhideWhenUsed/>
    <w:qFormat/>
    <w:rsid w:val="001E1532"/>
    <w:rPr>
      <w:sz w:val="16"/>
      <w:szCs w:val="16"/>
    </w:rPr>
  </w:style>
  <w:style w:type="character" w:customStyle="1" w:styleId="CommentTextChar">
    <w:name w:val="Comment Text Char"/>
    <w:basedOn w:val="DefaultParagraphFont"/>
    <w:link w:val="CommentText"/>
    <w:uiPriority w:val="99"/>
    <w:qFormat/>
    <w:rsid w:val="001E1532"/>
    <w:rPr>
      <w:rFonts w:ascii="Calibri" w:eastAsia="Times New Roman" w:hAnsi="Calibri" w:cs="Times New Roman"/>
      <w:sz w:val="20"/>
      <w:szCs w:val="20"/>
      <w:lang w:val="sq-AL" w:bidi="en-US"/>
    </w:rPr>
  </w:style>
  <w:style w:type="character" w:customStyle="1" w:styleId="CommentSubjectChar">
    <w:name w:val="Comment Subject Char"/>
    <w:basedOn w:val="CommentTextChar"/>
    <w:link w:val="CommentSubject"/>
    <w:uiPriority w:val="99"/>
    <w:semiHidden/>
    <w:qFormat/>
    <w:rsid w:val="001E1532"/>
    <w:rPr>
      <w:rFonts w:ascii="Calibri" w:eastAsia="Times New Roman" w:hAnsi="Calibri" w:cs="Times New Roman"/>
      <w:b/>
      <w:bCs/>
      <w:sz w:val="20"/>
      <w:szCs w:val="20"/>
      <w:lang w:val="sq-AL" w:bidi="en-US"/>
    </w:rPr>
  </w:style>
  <w:style w:type="character" w:customStyle="1" w:styleId="BalloonTextChar">
    <w:name w:val="Balloon Text Char"/>
    <w:basedOn w:val="DefaultParagraphFont"/>
    <w:link w:val="BalloonText"/>
    <w:uiPriority w:val="99"/>
    <w:semiHidden/>
    <w:qFormat/>
    <w:rsid w:val="001E1532"/>
    <w:rPr>
      <w:rFonts w:ascii="Tahoma" w:eastAsia="Times New Roman" w:hAnsi="Tahoma" w:cs="Tahoma"/>
      <w:sz w:val="16"/>
      <w:szCs w:val="16"/>
      <w:lang w:val="sq-AL" w:bidi="en-US"/>
    </w:rPr>
  </w:style>
  <w:style w:type="character" w:customStyle="1" w:styleId="FootnoteTextChar">
    <w:name w:val="Footnote Text Char"/>
    <w:basedOn w:val="DefaultParagraphFont"/>
    <w:link w:val="FootnoteText"/>
    <w:uiPriority w:val="99"/>
    <w:qFormat/>
    <w:rsid w:val="00C86ED3"/>
    <w:rPr>
      <w:rFonts w:ascii="Times New Roman" w:eastAsia="Times New Roman" w:hAnsi="Times New Roman" w:cs="Times New Roman"/>
      <w:sz w:val="20"/>
      <w:szCs w:val="20"/>
      <w:lang w:val="sq-AL"/>
    </w:rPr>
  </w:style>
  <w:style w:type="character" w:customStyle="1" w:styleId="FootnoteCharacters">
    <w:name w:val="Footnote Characters"/>
    <w:basedOn w:val="DefaultParagraphFont"/>
    <w:link w:val="16Point"/>
    <w:uiPriority w:val="99"/>
    <w:unhideWhenUsed/>
    <w:qFormat/>
    <w:rsid w:val="00C86ED3"/>
    <w:rPr>
      <w:vertAlign w:val="superscript"/>
    </w:rPr>
  </w:style>
  <w:style w:type="character" w:styleId="FootnoteReference">
    <w:name w:val="footnote reference"/>
    <w:rPr>
      <w:vertAlign w:val="superscript"/>
    </w:rPr>
  </w:style>
  <w:style w:type="character" w:customStyle="1" w:styleId="BodyTextChar">
    <w:name w:val="Body Text Char"/>
    <w:basedOn w:val="DefaultParagraphFont"/>
    <w:link w:val="BodyText"/>
    <w:uiPriority w:val="1"/>
    <w:qFormat/>
    <w:rsid w:val="00194B96"/>
    <w:rPr>
      <w:rFonts w:ascii="Calibri" w:eastAsia="Calibri" w:hAnsi="Calibri" w:cs="Calibri"/>
      <w:sz w:val="24"/>
      <w:szCs w:val="24"/>
      <w:lang w:val="sq-AL"/>
    </w:rPr>
  </w:style>
  <w:style w:type="character" w:customStyle="1" w:styleId="xxcontentpasted0">
    <w:name w:val="x_x_contentpasted0"/>
    <w:basedOn w:val="DefaultParagraphFont"/>
    <w:qFormat/>
    <w:rsid w:val="001A2D1B"/>
  </w:style>
  <w:style w:type="character" w:customStyle="1" w:styleId="normaltextrun">
    <w:name w:val="normaltextrun"/>
    <w:qFormat/>
    <w:rsid w:val="00E9162C"/>
  </w:style>
  <w:style w:type="character" w:customStyle="1" w:styleId="apple-converted-space">
    <w:name w:val="apple-converted-space"/>
    <w:basedOn w:val="DefaultParagraphFont"/>
    <w:qFormat/>
    <w:rsid w:val="003C1288"/>
  </w:style>
  <w:style w:type="character" w:styleId="Hyperlink">
    <w:name w:val="Hyperlink"/>
    <w:basedOn w:val="DefaultParagraphFont"/>
    <w:uiPriority w:val="99"/>
    <w:unhideWhenUsed/>
    <w:rsid w:val="00E432A3"/>
    <w:rPr>
      <w:color w:val="AD1F1F" w:themeColor="hyperlink"/>
      <w:u w:val="single"/>
    </w:rPr>
  </w:style>
  <w:style w:type="character" w:customStyle="1" w:styleId="EndnoteTextChar">
    <w:name w:val="Endnote Text Char"/>
    <w:basedOn w:val="DefaultParagraphFont"/>
    <w:link w:val="EndnoteText"/>
    <w:uiPriority w:val="99"/>
    <w:semiHidden/>
    <w:qFormat/>
    <w:rsid w:val="00862DC6"/>
    <w:rPr>
      <w:rFonts w:ascii="Times New Roman" w:eastAsia="Times New Roman" w:hAnsi="Times New Roman" w:cs="Times New Roman"/>
      <w:sz w:val="20"/>
      <w:szCs w:val="20"/>
      <w:lang w:val="sq-AL"/>
    </w:rPr>
  </w:style>
  <w:style w:type="character" w:customStyle="1" w:styleId="UnresolvedMention1">
    <w:name w:val="Unresolved Mention1"/>
    <w:basedOn w:val="DefaultParagraphFont"/>
    <w:uiPriority w:val="99"/>
    <w:semiHidden/>
    <w:unhideWhenUsed/>
    <w:qFormat/>
    <w:rsid w:val="00FF3AFA"/>
    <w:rPr>
      <w:color w:val="605E5C"/>
      <w:shd w:val="clear" w:color="auto" w:fill="E1DFDD"/>
    </w:rPr>
  </w:style>
  <w:style w:type="character" w:customStyle="1" w:styleId="TitleChar">
    <w:name w:val="Title Char"/>
    <w:basedOn w:val="DefaultParagraphFont"/>
    <w:link w:val="Title"/>
    <w:uiPriority w:val="10"/>
    <w:qFormat/>
    <w:rsid w:val="006653EE"/>
    <w:rPr>
      <w:rFonts w:asciiTheme="majorHAnsi" w:eastAsiaTheme="majorEastAsia" w:hAnsiTheme="majorHAnsi" w:cstheme="majorBidi"/>
      <w:caps/>
      <w:color w:val="F0A22E" w:themeColor="accent1"/>
      <w:spacing w:val="10"/>
      <w:sz w:val="52"/>
      <w:szCs w:val="52"/>
    </w:rPr>
  </w:style>
  <w:style w:type="character" w:customStyle="1" w:styleId="SubtitleChar">
    <w:name w:val="Subtitle Char"/>
    <w:basedOn w:val="DefaultParagraphFont"/>
    <w:link w:val="Subtitle"/>
    <w:uiPriority w:val="11"/>
    <w:qFormat/>
    <w:rsid w:val="006653EE"/>
    <w:rPr>
      <w:caps/>
      <w:color w:val="595959" w:themeColor="text1" w:themeTint="A6"/>
      <w:spacing w:val="10"/>
      <w:sz w:val="21"/>
      <w:szCs w:val="21"/>
    </w:rPr>
  </w:style>
  <w:style w:type="character" w:styleId="Strong">
    <w:name w:val="Strong"/>
    <w:uiPriority w:val="22"/>
    <w:qFormat/>
    <w:rsid w:val="006653EE"/>
    <w:rPr>
      <w:b/>
      <w:bCs/>
    </w:rPr>
  </w:style>
  <w:style w:type="character" w:styleId="Emphasis">
    <w:name w:val="Emphasis"/>
    <w:uiPriority w:val="20"/>
    <w:qFormat/>
    <w:rsid w:val="006653EE"/>
    <w:rPr>
      <w:caps/>
      <w:color w:val="845209" w:themeColor="accent1" w:themeShade="7F"/>
      <w:spacing w:val="5"/>
    </w:rPr>
  </w:style>
  <w:style w:type="character" w:customStyle="1" w:styleId="QuoteChar">
    <w:name w:val="Quote Char"/>
    <w:basedOn w:val="DefaultParagraphFont"/>
    <w:link w:val="Quote"/>
    <w:uiPriority w:val="29"/>
    <w:qFormat/>
    <w:rsid w:val="006653EE"/>
    <w:rPr>
      <w:i/>
      <w:iCs/>
      <w:sz w:val="24"/>
      <w:szCs w:val="24"/>
    </w:rPr>
  </w:style>
  <w:style w:type="character" w:customStyle="1" w:styleId="IntenseQuoteChar">
    <w:name w:val="Intense Quote Char"/>
    <w:basedOn w:val="DefaultParagraphFont"/>
    <w:link w:val="IntenseQuote"/>
    <w:uiPriority w:val="30"/>
    <w:qFormat/>
    <w:rsid w:val="006653EE"/>
    <w:rPr>
      <w:color w:val="F0A22E" w:themeColor="accent1"/>
      <w:sz w:val="24"/>
      <w:szCs w:val="24"/>
    </w:rPr>
  </w:style>
  <w:style w:type="character" w:styleId="SubtleEmphasis">
    <w:name w:val="Subtle Emphasis"/>
    <w:uiPriority w:val="19"/>
    <w:qFormat/>
    <w:rsid w:val="006653EE"/>
    <w:rPr>
      <w:i/>
      <w:iCs/>
      <w:color w:val="845209" w:themeColor="accent1" w:themeShade="7F"/>
    </w:rPr>
  </w:style>
  <w:style w:type="character" w:styleId="IntenseEmphasis">
    <w:name w:val="Intense Emphasis"/>
    <w:uiPriority w:val="21"/>
    <w:qFormat/>
    <w:rsid w:val="006653EE"/>
    <w:rPr>
      <w:b/>
      <w:bCs/>
      <w:caps/>
      <w:color w:val="845209" w:themeColor="accent1" w:themeShade="7F"/>
      <w:spacing w:val="10"/>
    </w:rPr>
  </w:style>
  <w:style w:type="character" w:styleId="SubtleReference">
    <w:name w:val="Subtle Reference"/>
    <w:uiPriority w:val="31"/>
    <w:qFormat/>
    <w:rsid w:val="006653EE"/>
    <w:rPr>
      <w:b/>
      <w:bCs/>
      <w:color w:val="F0A22E" w:themeColor="accent1"/>
    </w:rPr>
  </w:style>
  <w:style w:type="character" w:styleId="IntenseReference">
    <w:name w:val="Intense Reference"/>
    <w:uiPriority w:val="32"/>
    <w:qFormat/>
    <w:rsid w:val="006653EE"/>
    <w:rPr>
      <w:b/>
      <w:bCs/>
      <w:i/>
      <w:iCs/>
      <w:caps/>
      <w:color w:val="F0A22E" w:themeColor="accent1"/>
    </w:rPr>
  </w:style>
  <w:style w:type="character" w:styleId="BookTitle">
    <w:name w:val="Book Title"/>
    <w:uiPriority w:val="33"/>
    <w:qFormat/>
    <w:rsid w:val="006653EE"/>
    <w:rPr>
      <w:b/>
      <w:bCs/>
      <w:i/>
      <w:iCs/>
      <w:spacing w:val="0"/>
    </w:rPr>
  </w:style>
  <w:style w:type="character" w:customStyle="1" w:styleId="FootnoteTextChar2">
    <w:name w:val="Footnote Text Char2"/>
    <w:basedOn w:val="DefaultParagraphFont"/>
    <w:uiPriority w:val="99"/>
    <w:semiHidden/>
    <w:qFormat/>
    <w:rsid w:val="007909AF"/>
  </w:style>
  <w:style w:type="character" w:customStyle="1" w:styleId="UnresolvedMention2">
    <w:name w:val="Unresolved Mention2"/>
    <w:basedOn w:val="DefaultParagraphFont"/>
    <w:uiPriority w:val="99"/>
    <w:semiHidden/>
    <w:unhideWhenUsed/>
    <w:qFormat/>
    <w:rsid w:val="001D53D5"/>
    <w:rPr>
      <w:color w:val="605E5C"/>
      <w:shd w:val="clear" w:color="auto" w:fill="E1DFDD"/>
    </w:rPr>
  </w:style>
  <w:style w:type="character" w:styleId="PageNumber">
    <w:name w:val="page number"/>
    <w:basedOn w:val="DefaultParagraphFont"/>
    <w:uiPriority w:val="99"/>
    <w:semiHidden/>
    <w:unhideWhenUsed/>
    <w:rsid w:val="00386342"/>
  </w:style>
  <w:style w:type="character" w:customStyle="1" w:styleId="EndnoteCharacters">
    <w:name w:val="Endnote Characters"/>
    <w:basedOn w:val="DefaultParagraphFont"/>
    <w:uiPriority w:val="99"/>
    <w:semiHidden/>
    <w:unhideWhenUsed/>
    <w:qFormat/>
    <w:rsid w:val="00FD7E3F"/>
    <w:rPr>
      <w:vertAlign w:val="superscript"/>
    </w:rPr>
  </w:style>
  <w:style w:type="character" w:styleId="EndnoteReference">
    <w:name w:val="endnote reference"/>
    <w:rPr>
      <w:vertAlign w:val="superscript"/>
    </w:rPr>
  </w:style>
  <w:style w:type="character" w:customStyle="1" w:styleId="whitespace-normal">
    <w:name w:val="whitespace-normal"/>
    <w:basedOn w:val="DefaultParagraphFont"/>
    <w:qFormat/>
    <w:rsid w:val="00315CDE"/>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1"/>
    <w:rsid w:val="00194B96"/>
    <w:pPr>
      <w:widowControl w:val="0"/>
      <w:spacing w:after="0" w:line="240" w:lineRule="auto"/>
    </w:pPr>
    <w:rPr>
      <w:rFonts w:eastAsia="Calibri" w:cs="Calibri"/>
      <w:sz w:val="24"/>
      <w:szCs w:val="24"/>
    </w:rPr>
  </w:style>
  <w:style w:type="paragraph" w:styleId="List">
    <w:name w:val="List"/>
    <w:basedOn w:val="BodyText"/>
    <w:rPr>
      <w:rFonts w:cs="Lohit Devanagari"/>
    </w:rPr>
  </w:style>
  <w:style w:type="paragraph" w:styleId="Caption">
    <w:name w:val="caption"/>
    <w:basedOn w:val="Normal"/>
    <w:next w:val="Normal"/>
    <w:uiPriority w:val="35"/>
    <w:unhideWhenUsed/>
    <w:qFormat/>
    <w:rsid w:val="006653EE"/>
    <w:rPr>
      <w:b/>
      <w:bCs/>
      <w:color w:val="C77C0E" w:themeColor="accent1" w:themeShade="BF"/>
      <w:sz w:val="16"/>
      <w:szCs w:val="16"/>
    </w:rPr>
  </w:style>
  <w:style w:type="paragraph" w:customStyle="1" w:styleId="Index">
    <w:name w:val="Index"/>
    <w:basedOn w:val="Normal"/>
    <w:qFormat/>
    <w:pPr>
      <w:suppressLineNumbers/>
    </w:pPr>
    <w:rPr>
      <w:rFonts w:cs="Lohit Devanagari"/>
    </w:rPr>
  </w:style>
  <w:style w:type="paragraph" w:styleId="NoSpacing">
    <w:name w:val="No Spacing"/>
    <w:link w:val="NoSpacingChar"/>
    <w:uiPriority w:val="1"/>
    <w:qFormat/>
    <w:rsid w:val="006653EE"/>
    <w:pPr>
      <w:spacing w:before="100"/>
    </w:pPr>
  </w:style>
  <w:style w:type="paragraph" w:styleId="ListParagraph">
    <w:name w:val="List Paragraph"/>
    <w:basedOn w:val="Normal"/>
    <w:link w:val="ListParagraphChar"/>
    <w:qFormat/>
    <w:rsid w:val="00B2557D"/>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130CFE"/>
    <w:pPr>
      <w:tabs>
        <w:tab w:val="center" w:pos="4680"/>
        <w:tab w:val="right" w:pos="9360"/>
      </w:tabs>
      <w:spacing w:after="0" w:line="240" w:lineRule="auto"/>
    </w:pPr>
  </w:style>
  <w:style w:type="paragraph" w:styleId="Footer">
    <w:name w:val="footer"/>
    <w:basedOn w:val="Normal"/>
    <w:link w:val="FooterChar"/>
    <w:uiPriority w:val="99"/>
    <w:unhideWhenUsed/>
    <w:rsid w:val="00130CFE"/>
    <w:pPr>
      <w:tabs>
        <w:tab w:val="center" w:pos="4680"/>
        <w:tab w:val="right" w:pos="9360"/>
      </w:tabs>
      <w:spacing w:after="0" w:line="240" w:lineRule="auto"/>
    </w:pPr>
  </w:style>
  <w:style w:type="paragraph" w:styleId="CommentText">
    <w:name w:val="annotation text"/>
    <w:basedOn w:val="Normal"/>
    <w:link w:val="CommentTextChar"/>
    <w:uiPriority w:val="99"/>
    <w:unhideWhenUsed/>
    <w:qFormat/>
    <w:rsid w:val="001E1532"/>
    <w:pPr>
      <w:spacing w:line="240" w:lineRule="auto"/>
    </w:pPr>
  </w:style>
  <w:style w:type="paragraph" w:styleId="CommentSubject">
    <w:name w:val="annotation subject"/>
    <w:basedOn w:val="CommentText"/>
    <w:next w:val="CommentText"/>
    <w:link w:val="CommentSubjectChar"/>
    <w:uiPriority w:val="99"/>
    <w:semiHidden/>
    <w:unhideWhenUsed/>
    <w:qFormat/>
    <w:rsid w:val="001E1532"/>
    <w:rPr>
      <w:b/>
      <w:bCs/>
    </w:rPr>
  </w:style>
  <w:style w:type="paragraph" w:styleId="BalloonText">
    <w:name w:val="Balloon Text"/>
    <w:basedOn w:val="Normal"/>
    <w:link w:val="BalloonTextChar"/>
    <w:uiPriority w:val="99"/>
    <w:semiHidden/>
    <w:unhideWhenUsed/>
    <w:qFormat/>
    <w:rsid w:val="001E1532"/>
    <w:pPr>
      <w:spacing w:after="0" w:line="240" w:lineRule="auto"/>
    </w:pPr>
    <w:rPr>
      <w:rFonts w:ascii="Tahoma" w:hAnsi="Tahoma" w:cs="Tahoma"/>
      <w:sz w:val="16"/>
      <w:szCs w:val="16"/>
    </w:rPr>
  </w:style>
  <w:style w:type="paragraph" w:styleId="FootnoteText">
    <w:name w:val="footnote text"/>
    <w:basedOn w:val="Normal"/>
    <w:link w:val="FootnoteTextChar"/>
    <w:uiPriority w:val="99"/>
    <w:unhideWhenUsed/>
    <w:qFormat/>
    <w:rsid w:val="00C86ED3"/>
    <w:pPr>
      <w:spacing w:after="0" w:line="240" w:lineRule="auto"/>
    </w:pPr>
    <w:rPr>
      <w:rFonts w:ascii="Times New Roman" w:hAnsi="Times New Roman"/>
    </w:rPr>
  </w:style>
  <w:style w:type="paragraph" w:customStyle="1" w:styleId="16Point">
    <w:name w:val="16 Point"/>
    <w:basedOn w:val="Normal"/>
    <w:link w:val="FootnoteCharacters"/>
    <w:uiPriority w:val="99"/>
    <w:qFormat/>
    <w:rsid w:val="00C86ED3"/>
    <w:pPr>
      <w:spacing w:line="240" w:lineRule="exact"/>
    </w:pPr>
    <w:rPr>
      <w:vertAlign w:val="superscript"/>
    </w:rPr>
  </w:style>
  <w:style w:type="paragraph" w:customStyle="1" w:styleId="AAAAATEXT">
    <w:name w:val="AAAAATEXT"/>
    <w:basedOn w:val="Normal"/>
    <w:qFormat/>
    <w:rsid w:val="00BF4BFF"/>
    <w:pPr>
      <w:spacing w:after="0" w:line="240" w:lineRule="auto"/>
      <w:ind w:firstLine="284"/>
    </w:pPr>
    <w:rPr>
      <w:rFonts w:ascii="Garamond" w:hAnsi="Garamond"/>
      <w:sz w:val="24"/>
      <w:szCs w:val="24"/>
    </w:rPr>
  </w:style>
  <w:style w:type="paragraph" w:customStyle="1" w:styleId="xxxgmail-msolistparagraph">
    <w:name w:val="x_x_x_gmail-msolistparagraph"/>
    <w:basedOn w:val="Normal"/>
    <w:qFormat/>
    <w:rsid w:val="001A2D1B"/>
    <w:pPr>
      <w:spacing w:beforeAutospacing="1" w:afterAutospacing="1" w:line="240" w:lineRule="auto"/>
    </w:pPr>
    <w:rPr>
      <w:rFonts w:ascii="Times New Roman" w:hAnsi="Times New Roman"/>
      <w:sz w:val="24"/>
      <w:szCs w:val="24"/>
    </w:rPr>
  </w:style>
  <w:style w:type="paragraph" w:customStyle="1" w:styleId="xxxmsonormal">
    <w:name w:val="x_x_x_msonormal"/>
    <w:basedOn w:val="Normal"/>
    <w:qFormat/>
    <w:rsid w:val="001A2D1B"/>
    <w:pPr>
      <w:spacing w:beforeAutospacing="1" w:afterAutospacing="1" w:line="240" w:lineRule="auto"/>
    </w:pPr>
    <w:rPr>
      <w:rFonts w:ascii="Times New Roman" w:hAnsi="Times New Roman"/>
      <w:sz w:val="24"/>
      <w:szCs w:val="24"/>
    </w:rPr>
  </w:style>
  <w:style w:type="paragraph" w:styleId="NormalWeb">
    <w:name w:val="Normal (Web)"/>
    <w:basedOn w:val="Normal"/>
    <w:uiPriority w:val="99"/>
    <w:unhideWhenUsed/>
    <w:qFormat/>
    <w:rsid w:val="00305B95"/>
    <w:pPr>
      <w:spacing w:beforeAutospacing="1" w:afterAutospacing="1" w:line="240" w:lineRule="auto"/>
    </w:pPr>
    <w:rPr>
      <w:rFonts w:ascii="Times New Roman" w:hAnsi="Times New Roman"/>
      <w:sz w:val="24"/>
      <w:szCs w:val="24"/>
      <w:lang w:val="fr-FR" w:eastAsia="fr-FR"/>
    </w:rPr>
  </w:style>
  <w:style w:type="paragraph" w:customStyle="1" w:styleId="paragraph">
    <w:name w:val="paragraph"/>
    <w:basedOn w:val="Normal"/>
    <w:qFormat/>
    <w:rsid w:val="00E9162C"/>
    <w:pPr>
      <w:spacing w:beforeAutospacing="1" w:afterAutospacing="1" w:line="240" w:lineRule="auto"/>
    </w:pPr>
    <w:rPr>
      <w:rFonts w:ascii="Times New Roman" w:hAnsi="Times New Roman"/>
      <w:sz w:val="24"/>
      <w:szCs w:val="24"/>
    </w:rPr>
  </w:style>
  <w:style w:type="paragraph" w:styleId="EndnoteText">
    <w:name w:val="endnote text"/>
    <w:basedOn w:val="Normal"/>
    <w:link w:val="EndnoteTextChar"/>
    <w:uiPriority w:val="99"/>
    <w:semiHidden/>
    <w:unhideWhenUsed/>
    <w:rsid w:val="00862DC6"/>
    <w:pPr>
      <w:spacing w:after="0" w:line="240" w:lineRule="auto"/>
    </w:pPr>
    <w:rPr>
      <w:rFonts w:ascii="Times New Roman" w:hAnsi="Times New Roman"/>
    </w:rPr>
  </w:style>
  <w:style w:type="paragraph" w:styleId="Revision">
    <w:name w:val="Revision"/>
    <w:uiPriority w:val="99"/>
    <w:semiHidden/>
    <w:qFormat/>
    <w:rsid w:val="00190370"/>
    <w:pPr>
      <w:spacing w:before="100"/>
    </w:pPr>
  </w:style>
  <w:style w:type="paragraph" w:styleId="Title">
    <w:name w:val="Title"/>
    <w:basedOn w:val="Normal"/>
    <w:next w:val="Normal"/>
    <w:link w:val="TitleChar"/>
    <w:uiPriority w:val="10"/>
    <w:qFormat/>
    <w:rsid w:val="006653EE"/>
    <w:pPr>
      <w:spacing w:before="0" w:after="0"/>
    </w:pPr>
    <w:rPr>
      <w:rFonts w:asciiTheme="majorHAnsi" w:eastAsiaTheme="majorEastAsia" w:hAnsiTheme="majorHAnsi" w:cstheme="majorBidi"/>
      <w:caps/>
      <w:color w:val="F0A22E" w:themeColor="accent1"/>
      <w:spacing w:val="10"/>
      <w:sz w:val="52"/>
      <w:szCs w:val="52"/>
    </w:rPr>
  </w:style>
  <w:style w:type="paragraph" w:styleId="Subtitle">
    <w:name w:val="Subtitle"/>
    <w:basedOn w:val="Normal"/>
    <w:next w:val="Normal"/>
    <w:link w:val="SubtitleChar"/>
    <w:uiPriority w:val="11"/>
    <w:qFormat/>
    <w:rsid w:val="006653EE"/>
    <w:pPr>
      <w:spacing w:before="0" w:after="500" w:line="240" w:lineRule="auto"/>
    </w:pPr>
    <w:rPr>
      <w:caps/>
      <w:color w:val="595959" w:themeColor="text1" w:themeTint="A6"/>
      <w:spacing w:val="10"/>
      <w:sz w:val="21"/>
      <w:szCs w:val="21"/>
    </w:rPr>
  </w:style>
  <w:style w:type="paragraph" w:styleId="Quote">
    <w:name w:val="Quote"/>
    <w:basedOn w:val="Normal"/>
    <w:next w:val="Normal"/>
    <w:link w:val="QuoteChar"/>
    <w:uiPriority w:val="29"/>
    <w:qFormat/>
    <w:rsid w:val="006653EE"/>
    <w:rPr>
      <w:i/>
      <w:iCs/>
      <w:sz w:val="24"/>
      <w:szCs w:val="24"/>
    </w:rPr>
  </w:style>
  <w:style w:type="paragraph" w:styleId="IntenseQuote">
    <w:name w:val="Intense Quote"/>
    <w:basedOn w:val="Normal"/>
    <w:next w:val="Normal"/>
    <w:link w:val="IntenseQuoteChar"/>
    <w:uiPriority w:val="30"/>
    <w:qFormat/>
    <w:rsid w:val="006653EE"/>
    <w:pPr>
      <w:spacing w:before="240" w:after="240" w:line="240" w:lineRule="auto"/>
      <w:ind w:left="1080" w:right="1080"/>
      <w:jc w:val="center"/>
    </w:pPr>
    <w:rPr>
      <w:color w:val="F0A22E" w:themeColor="accent1"/>
      <w:sz w:val="24"/>
      <w:szCs w:val="24"/>
    </w:rPr>
  </w:style>
  <w:style w:type="paragraph" w:styleId="IndexHeading">
    <w:name w:val="index heading"/>
    <w:basedOn w:val="Heading"/>
  </w:style>
  <w:style w:type="paragraph" w:styleId="TOCHeading">
    <w:name w:val="TOC Heading"/>
    <w:basedOn w:val="Heading1"/>
    <w:next w:val="Normal"/>
    <w:uiPriority w:val="39"/>
    <w:unhideWhenUsed/>
    <w:qFormat/>
    <w:rsid w:val="006653EE"/>
    <w:pPr>
      <w:outlineLvl w:val="9"/>
    </w:pPr>
  </w:style>
  <w:style w:type="paragraph" w:customStyle="1" w:styleId="msonormal0">
    <w:name w:val="msonormal"/>
    <w:basedOn w:val="Normal"/>
    <w:qFormat/>
    <w:rsid w:val="007909AF"/>
    <w:pPr>
      <w:spacing w:beforeAutospacing="1" w:afterAutospacing="1" w:line="240" w:lineRule="auto"/>
    </w:pPr>
    <w:rPr>
      <w:rFonts w:ascii="Times New Roman" w:eastAsia="Times New Roman" w:hAnsi="Times New Roman" w:cs="Times New Roman"/>
      <w:sz w:val="24"/>
      <w:szCs w:val="24"/>
      <w:lang w:val="fr-FR" w:eastAsia="fr-FR"/>
    </w:rPr>
  </w:style>
  <w:style w:type="paragraph" w:styleId="TOC3">
    <w:name w:val="toc 3"/>
    <w:basedOn w:val="Normal"/>
    <w:next w:val="Normal"/>
    <w:autoRedefine/>
    <w:uiPriority w:val="39"/>
    <w:unhideWhenUsed/>
    <w:qFormat/>
    <w:rsid w:val="007163C2"/>
    <w:pPr>
      <w:spacing w:after="100"/>
      <w:ind w:left="400"/>
    </w:pPr>
  </w:style>
  <w:style w:type="paragraph" w:styleId="TOC1">
    <w:name w:val="toc 1"/>
    <w:basedOn w:val="Normal"/>
    <w:next w:val="Normal"/>
    <w:autoRedefine/>
    <w:uiPriority w:val="39"/>
    <w:unhideWhenUsed/>
    <w:qFormat/>
    <w:rsid w:val="007163C2"/>
    <w:pPr>
      <w:spacing w:after="100"/>
    </w:pPr>
  </w:style>
  <w:style w:type="paragraph" w:styleId="TOC2">
    <w:name w:val="toc 2"/>
    <w:basedOn w:val="Normal"/>
    <w:next w:val="Normal"/>
    <w:autoRedefine/>
    <w:uiPriority w:val="39"/>
    <w:unhideWhenUsed/>
    <w:qFormat/>
    <w:rsid w:val="00BB03F6"/>
    <w:pPr>
      <w:spacing w:before="0" w:after="100"/>
      <w:ind w:left="220"/>
    </w:pPr>
    <w:rPr>
      <w:sz w:val="22"/>
      <w:szCs w:val="22"/>
      <w:lang w:eastAsia="ja-JP"/>
    </w:rPr>
  </w:style>
  <w:style w:type="paragraph" w:styleId="TableofFigures">
    <w:name w:val="table of figures"/>
    <w:basedOn w:val="Normal"/>
    <w:next w:val="Normal"/>
    <w:uiPriority w:val="99"/>
    <w:unhideWhenUsed/>
    <w:rsid w:val="000533AD"/>
    <w:pPr>
      <w:spacing w:after="0"/>
    </w:pPr>
  </w:style>
  <w:style w:type="paragraph" w:customStyle="1" w:styleId="Default">
    <w:name w:val="Default"/>
    <w:qFormat/>
    <w:rsid w:val="006A419D"/>
    <w:rPr>
      <w:rFonts w:ascii="Times New Roman" w:eastAsia="MS PMincho" w:hAnsi="Times New Roman" w:cs="Times New Roman"/>
      <w:color w:val="000000"/>
      <w:sz w:val="24"/>
      <w:szCs w:val="24"/>
    </w:rPr>
  </w:style>
  <w:style w:type="paragraph" w:customStyle="1" w:styleId="BVIfnrCarCarCarCarChar">
    <w:name w:val="BVI fnr Car Car Car Car Char"/>
    <w:basedOn w:val="Normal"/>
    <w:uiPriority w:val="99"/>
    <w:qFormat/>
    <w:rsid w:val="00386342"/>
    <w:pPr>
      <w:spacing w:before="60" w:after="160" w:line="240" w:lineRule="exact"/>
      <w:jc w:val="both"/>
    </w:pPr>
    <w:rPr>
      <w:rFonts w:eastAsiaTheme="minorHAnsi"/>
      <w:sz w:val="22"/>
      <w:szCs w:val="24"/>
      <w:vertAlign w:val="superscript"/>
    </w:rPr>
  </w:style>
  <w:style w:type="paragraph" w:customStyle="1" w:styleId="Normal0">
    <w:name w:val="Normal_0"/>
    <w:qFormat/>
    <w:rsid w:val="00A11D16"/>
    <w:pPr>
      <w:numPr>
        <w:numId w:val="14"/>
      </w:numPr>
      <w:spacing w:after="60"/>
      <w:jc w:val="both"/>
    </w:pPr>
    <w:rPr>
      <w:rFonts w:ascii="Calibri" w:eastAsiaTheme="minorHAnsi" w:hAnsi="Calibri" w:cs="Calibri"/>
      <w:sz w:val="22"/>
      <w:szCs w:val="22"/>
    </w:rPr>
  </w:style>
  <w:style w:type="paragraph" w:customStyle="1" w:styleId="aaaaatexxxx">
    <w:name w:val="aaaaatexxxx"/>
    <w:basedOn w:val="Normal"/>
    <w:uiPriority w:val="99"/>
    <w:qFormat/>
    <w:rsid w:val="00113027"/>
    <w:pPr>
      <w:spacing w:before="0" w:after="0" w:line="240" w:lineRule="auto"/>
      <w:ind w:firstLine="284"/>
      <w:jc w:val="both"/>
    </w:pPr>
    <w:rPr>
      <w:rFonts w:ascii="Garamond" w:eastAsiaTheme="minorHAnsi" w:hAnsi="Garamond" w:cs="Times New Roman"/>
      <w:sz w:val="24"/>
      <w:szCs w:val="24"/>
      <w:lang w:val="sq-AL"/>
    </w:rPr>
  </w:style>
  <w:style w:type="paragraph" w:customStyle="1" w:styleId="FrameContents">
    <w:name w:val="Frame Contents"/>
    <w:basedOn w:val="Normal"/>
    <w:qFormat/>
  </w:style>
  <w:style w:type="paragraph" w:customStyle="1" w:styleId="HeaderLeft">
    <w:name w:val="Header Left"/>
    <w:basedOn w:val="Header"/>
    <w:qFormat/>
  </w:style>
  <w:style w:type="table" w:customStyle="1" w:styleId="GridTable5Dark-Accent11">
    <w:name w:val="Grid Table 5 Dark - Accent 11"/>
    <w:basedOn w:val="TableNormal"/>
    <w:uiPriority w:val="50"/>
    <w:rsid w:val="00C86E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CECD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22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22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22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22E" w:themeFill="accent1"/>
      </w:tcPr>
    </w:tblStylePr>
    <w:tblStylePr w:type="band1Vert">
      <w:tblPr/>
      <w:tcPr>
        <w:shd w:val="clear" w:color="auto" w:fill="F9D9AB" w:themeFill="accent1" w:themeFillTint="66"/>
      </w:tcPr>
    </w:tblStylePr>
    <w:tblStylePr w:type="band1Horz">
      <w:tblPr/>
      <w:tcPr>
        <w:shd w:val="clear" w:color="auto" w:fill="F9D9AB" w:themeFill="accent1" w:themeFillTint="66"/>
      </w:tcPr>
    </w:tblStylePr>
  </w:style>
  <w:style w:type="table" w:customStyle="1" w:styleId="GridTable4-Accent21">
    <w:name w:val="Grid Table 4 - Accent 21"/>
    <w:basedOn w:val="TableNormal"/>
    <w:uiPriority w:val="49"/>
    <w:rsid w:val="00C679DC"/>
    <w:tblPr>
      <w:tblStyleRowBandSize w:val="1"/>
      <w:tblStyleColBandSize w:val="1"/>
      <w:tblInd w:w="0" w:type="dxa"/>
      <w:tblBorders>
        <w:top w:val="single" w:sz="4" w:space="0" w:color="CBA092" w:themeColor="accent2" w:themeTint="99"/>
        <w:left w:val="single" w:sz="4" w:space="0" w:color="CBA092" w:themeColor="accent2" w:themeTint="99"/>
        <w:bottom w:val="single" w:sz="4" w:space="0" w:color="CBA092" w:themeColor="accent2" w:themeTint="99"/>
        <w:right w:val="single" w:sz="4" w:space="0" w:color="CBA092" w:themeColor="accent2" w:themeTint="99"/>
        <w:insideH w:val="single" w:sz="4" w:space="0" w:color="CBA092" w:themeColor="accent2" w:themeTint="99"/>
        <w:insideV w:val="single" w:sz="4" w:space="0" w:color="CBA092"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644E" w:themeColor="accent2"/>
          <w:left w:val="single" w:sz="4" w:space="0" w:color="A5644E" w:themeColor="accent2"/>
          <w:bottom w:val="single" w:sz="4" w:space="0" w:color="A5644E" w:themeColor="accent2"/>
          <w:right w:val="single" w:sz="4" w:space="0" w:color="A5644E" w:themeColor="accent2"/>
          <w:insideH w:val="nil"/>
          <w:insideV w:val="nil"/>
        </w:tcBorders>
        <w:shd w:val="clear" w:color="auto" w:fill="A5644E" w:themeFill="accent2"/>
      </w:tcPr>
    </w:tblStylePr>
    <w:tblStylePr w:type="lastRow">
      <w:rPr>
        <w:b/>
        <w:bCs/>
      </w:rPr>
      <w:tblPr/>
      <w:tcPr>
        <w:tcBorders>
          <w:top w:val="double" w:sz="4" w:space="0" w:color="A5644E" w:themeColor="accent2"/>
        </w:tcBorders>
      </w:tcPr>
    </w:tblStylePr>
    <w:tblStylePr w:type="firstCol">
      <w:rPr>
        <w:b/>
        <w:bCs/>
      </w:rPr>
    </w:tblStylePr>
    <w:tblStylePr w:type="lastCol">
      <w:rPr>
        <w:b/>
        <w:bCs/>
      </w:rPr>
    </w:tblStylePr>
    <w:tblStylePr w:type="band1Vert">
      <w:tblPr/>
      <w:tcPr>
        <w:shd w:val="clear" w:color="auto" w:fill="EDDFDA" w:themeFill="accent2" w:themeFillTint="33"/>
      </w:tcPr>
    </w:tblStylePr>
    <w:tblStylePr w:type="band1Horz">
      <w:tblPr/>
      <w:tcPr>
        <w:shd w:val="clear" w:color="auto" w:fill="EDDFDA" w:themeFill="accent2" w:themeFillTint="33"/>
      </w:tcPr>
    </w:tblStylePr>
  </w:style>
  <w:style w:type="table" w:styleId="MediumGrid3-Accent4">
    <w:name w:val="Medium Grid 3 Accent 4"/>
    <w:basedOn w:val="TableNormal"/>
    <w:uiPriority w:val="69"/>
    <w:rsid w:val="007C286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0E5DA"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986D"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986D"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986D"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3986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CBB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CBB6" w:themeFill="accent4" w:themeFillTint="7F"/>
      </w:tcPr>
    </w:tblStylePr>
  </w:style>
  <w:style w:type="table" w:styleId="ColorfulGrid-Accent2">
    <w:name w:val="Colorful Grid Accent 2"/>
    <w:basedOn w:val="TableNormal"/>
    <w:uiPriority w:val="73"/>
    <w:rsid w:val="007C286F"/>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DFDA" w:themeFill="accent2" w:themeFillTint="33"/>
    </w:tcPr>
    <w:tblStylePr w:type="firstRow">
      <w:rPr>
        <w:b/>
        <w:bCs/>
      </w:rPr>
      <w:tblPr/>
      <w:tcPr>
        <w:shd w:val="clear" w:color="auto" w:fill="DCBFB6" w:themeFill="accent2" w:themeFillTint="66"/>
      </w:tcPr>
    </w:tblStylePr>
    <w:tblStylePr w:type="lastRow">
      <w:rPr>
        <w:b/>
        <w:bCs/>
        <w:color w:val="000000" w:themeColor="text1"/>
      </w:rPr>
      <w:tblPr/>
      <w:tcPr>
        <w:shd w:val="clear" w:color="auto" w:fill="DCBFB6" w:themeFill="accent2" w:themeFillTint="66"/>
      </w:tcPr>
    </w:tblStylePr>
    <w:tblStylePr w:type="firstCol">
      <w:rPr>
        <w:color w:val="FFFFFF" w:themeColor="background1"/>
      </w:rPr>
      <w:tblPr/>
      <w:tcPr>
        <w:shd w:val="clear" w:color="auto" w:fill="7B4A3A" w:themeFill="accent2" w:themeFillShade="BF"/>
      </w:tcPr>
    </w:tblStylePr>
    <w:tblStylePr w:type="lastCol">
      <w:rPr>
        <w:color w:val="FFFFFF" w:themeColor="background1"/>
      </w:rPr>
      <w:tblPr/>
      <w:tcPr>
        <w:shd w:val="clear" w:color="auto" w:fill="7B4A3A" w:themeFill="accent2" w:themeFillShade="BF"/>
      </w:tcPr>
    </w:tblStylePr>
    <w:tblStylePr w:type="band1Vert">
      <w:tblPr/>
      <w:tcPr>
        <w:shd w:val="clear" w:color="auto" w:fill="D4B0A4" w:themeFill="accent2" w:themeFillTint="7F"/>
      </w:tcPr>
    </w:tblStylePr>
    <w:tblStylePr w:type="band1Horz">
      <w:tblPr/>
      <w:tcPr>
        <w:shd w:val="clear" w:color="auto" w:fill="D4B0A4" w:themeFill="accent2" w:themeFillTint="7F"/>
      </w:tcPr>
    </w:tblStylePr>
  </w:style>
  <w:style w:type="table" w:styleId="MediumGrid3-Accent2">
    <w:name w:val="Medium Grid 3 Accent 2"/>
    <w:basedOn w:val="TableNormal"/>
    <w:uiPriority w:val="69"/>
    <w:rsid w:val="007C286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9D8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644E"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644E"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644E"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A5644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B0A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B0A4" w:themeFill="accent2" w:themeFillTint="7F"/>
      </w:tcPr>
    </w:tblStylePr>
  </w:style>
  <w:style w:type="table" w:styleId="MediumShading2-Accent3">
    <w:name w:val="Medium Shading 2 Accent 3"/>
    <w:basedOn w:val="TableNormal"/>
    <w:uiPriority w:val="64"/>
    <w:semiHidden/>
    <w:unhideWhenUsed/>
    <w:rsid w:val="00587EC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afterLines="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58B80" w:themeFill="accent3"/>
      </w:tcPr>
    </w:tblStylePr>
    <w:tblStylePr w:type="lastRow">
      <w:pPr>
        <w:spacing w:beforeLines="0" w:before="0" w:afterLines="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58B80" w:themeFill="accent3"/>
      </w:tcPr>
    </w:tblStylePr>
    <w:tblStylePr w:type="lastCol">
      <w:rPr>
        <w:b/>
        <w:bCs/>
        <w:color w:val="FFFFFF" w:themeColor="background1"/>
      </w:rPr>
      <w:tblPr/>
      <w:tcPr>
        <w:tcBorders>
          <w:left w:val="nil"/>
          <w:right w:val="nil"/>
          <w:insideH w:val="nil"/>
          <w:insideV w:val="nil"/>
        </w:tcBorders>
        <w:shd w:val="clear" w:color="auto" w:fill="B58B8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5Dark-Accent41">
    <w:name w:val="Grid Table 5 Dark - Accent 41"/>
    <w:basedOn w:val="TableNormal"/>
    <w:uiPriority w:val="50"/>
    <w:rsid w:val="005A2BD1"/>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3EAE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986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986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986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986D" w:themeFill="accent4"/>
      </w:tcPr>
    </w:tblStylePr>
    <w:tblStylePr w:type="band1Vert">
      <w:tblPr/>
      <w:tcPr>
        <w:shd w:val="clear" w:color="auto" w:fill="E7D5C4" w:themeFill="accent4" w:themeFillTint="66"/>
      </w:tcPr>
    </w:tblStylePr>
    <w:tblStylePr w:type="band1Horz">
      <w:tblPr/>
      <w:tcPr>
        <w:shd w:val="clear" w:color="auto" w:fill="E7D5C4" w:themeFill="accent4" w:themeFillTint="66"/>
      </w:tcPr>
    </w:tblStylePr>
  </w:style>
  <w:style w:type="table" w:customStyle="1" w:styleId="GridTable5Dark-Accent21">
    <w:name w:val="Grid Table 5 Dark - Accent 21"/>
    <w:basedOn w:val="TableNormal"/>
    <w:uiPriority w:val="50"/>
    <w:rsid w:val="005A2BD1"/>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DF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644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644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644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644E" w:themeFill="accent2"/>
      </w:tcPr>
    </w:tblStylePr>
    <w:tblStylePr w:type="band1Vert">
      <w:tblPr/>
      <w:tcPr>
        <w:shd w:val="clear" w:color="auto" w:fill="DCBFB6" w:themeFill="accent2" w:themeFillTint="66"/>
      </w:tcPr>
    </w:tblStylePr>
    <w:tblStylePr w:type="band1Horz">
      <w:tblPr/>
      <w:tcPr>
        <w:shd w:val="clear" w:color="auto" w:fill="DCBFB6" w:themeFill="accent2" w:themeFillTint="66"/>
      </w:tcPr>
    </w:tblStylePr>
  </w:style>
  <w:style w:type="table" w:styleId="MediumGrid3-Accent1">
    <w:name w:val="Medium Grid 3 Accent 1"/>
    <w:basedOn w:val="TableNormal"/>
    <w:uiPriority w:val="69"/>
    <w:rsid w:val="0050665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BE7CB"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22E"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22E"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22E"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0A22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09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096" w:themeFill="accent1" w:themeFillTint="7F"/>
      </w:tcPr>
    </w:tblStylePr>
  </w:style>
  <w:style w:type="table" w:styleId="TableGrid">
    <w:name w:val="Table Grid"/>
    <w:basedOn w:val="TableNormal"/>
    <w:uiPriority w:val="59"/>
    <w:rsid w:val="00D05F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3">
    <w:name w:val="Unresolved Mention3"/>
    <w:basedOn w:val="DefaultParagraphFont"/>
    <w:uiPriority w:val="99"/>
    <w:semiHidden/>
    <w:unhideWhenUsed/>
    <w:rsid w:val="00962E92"/>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uppressAutoHyphens/>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3EE"/>
    <w:pPr>
      <w:spacing w:before="100" w:after="200" w:line="276" w:lineRule="auto"/>
    </w:pPr>
  </w:style>
  <w:style w:type="paragraph" w:styleId="Heading1">
    <w:name w:val="heading 1"/>
    <w:basedOn w:val="Normal"/>
    <w:next w:val="Normal"/>
    <w:link w:val="Heading1Char"/>
    <w:uiPriority w:val="9"/>
    <w:qFormat/>
    <w:rsid w:val="00E3613E"/>
    <w:pPr>
      <w:pBdr>
        <w:top w:val="single" w:sz="24" w:space="0" w:color="F0A22E" w:themeColor="accent1"/>
        <w:left w:val="single" w:sz="24" w:space="0" w:color="F0A22E" w:themeColor="accent1"/>
        <w:bottom w:val="single" w:sz="24" w:space="0" w:color="F0A22E" w:themeColor="accent1"/>
        <w:right w:val="single" w:sz="24" w:space="0" w:color="F0A22E" w:themeColor="accent1"/>
      </w:pBdr>
      <w:shd w:val="clear" w:color="auto" w:fill="F0A22E" w:themeFill="accent1"/>
      <w:spacing w:after="0"/>
      <w:jc w:val="both"/>
      <w:outlineLvl w:val="0"/>
    </w:pPr>
    <w:rPr>
      <w:caps/>
      <w:color w:val="FFFFFF" w:themeColor="background1"/>
      <w:spacing w:val="15"/>
      <w:sz w:val="24"/>
      <w:szCs w:val="24"/>
      <w:lang w:val="pt-BR"/>
    </w:rPr>
  </w:style>
  <w:style w:type="paragraph" w:styleId="Heading2">
    <w:name w:val="heading 2"/>
    <w:basedOn w:val="Normal"/>
    <w:next w:val="Normal"/>
    <w:link w:val="Heading2Char"/>
    <w:uiPriority w:val="9"/>
    <w:unhideWhenUsed/>
    <w:qFormat/>
    <w:rsid w:val="006653EE"/>
    <w:pPr>
      <w:pBdr>
        <w:top w:val="single" w:sz="24" w:space="0" w:color="FCECD5" w:themeColor="accent1" w:themeTint="33"/>
        <w:left w:val="single" w:sz="24" w:space="0" w:color="FCECD5" w:themeColor="accent1" w:themeTint="33"/>
        <w:bottom w:val="single" w:sz="24" w:space="0" w:color="FCECD5" w:themeColor="accent1" w:themeTint="33"/>
        <w:right w:val="single" w:sz="24" w:space="0" w:color="FCECD5" w:themeColor="accent1" w:themeTint="33"/>
      </w:pBdr>
      <w:shd w:val="clear" w:color="auto" w:fill="FCECD5"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6653EE"/>
    <w:pPr>
      <w:pBdr>
        <w:top w:val="single" w:sz="6" w:space="2" w:color="F0A22E" w:themeColor="accent1"/>
      </w:pBdr>
      <w:spacing w:before="300" w:after="0"/>
      <w:outlineLvl w:val="2"/>
    </w:pPr>
    <w:rPr>
      <w:caps/>
      <w:color w:val="845209" w:themeColor="accent1" w:themeShade="7F"/>
      <w:spacing w:val="15"/>
    </w:rPr>
  </w:style>
  <w:style w:type="paragraph" w:styleId="Heading4">
    <w:name w:val="heading 4"/>
    <w:basedOn w:val="Normal"/>
    <w:next w:val="Normal"/>
    <w:link w:val="Heading4Char"/>
    <w:uiPriority w:val="9"/>
    <w:semiHidden/>
    <w:unhideWhenUsed/>
    <w:qFormat/>
    <w:rsid w:val="006653EE"/>
    <w:pPr>
      <w:pBdr>
        <w:top w:val="dotted" w:sz="6" w:space="2" w:color="F0A22E" w:themeColor="accent1"/>
      </w:pBdr>
      <w:spacing w:before="200" w:after="0"/>
      <w:outlineLvl w:val="3"/>
    </w:pPr>
    <w:rPr>
      <w:caps/>
      <w:color w:val="C77C0E" w:themeColor="accent1" w:themeShade="BF"/>
      <w:spacing w:val="10"/>
    </w:rPr>
  </w:style>
  <w:style w:type="paragraph" w:styleId="Heading5">
    <w:name w:val="heading 5"/>
    <w:basedOn w:val="Normal"/>
    <w:next w:val="Normal"/>
    <w:link w:val="Heading5Char"/>
    <w:uiPriority w:val="9"/>
    <w:semiHidden/>
    <w:unhideWhenUsed/>
    <w:qFormat/>
    <w:rsid w:val="006653EE"/>
    <w:pPr>
      <w:pBdr>
        <w:bottom w:val="single" w:sz="6" w:space="1" w:color="F0A22E" w:themeColor="accent1"/>
      </w:pBdr>
      <w:spacing w:before="200" w:after="0"/>
      <w:outlineLvl w:val="4"/>
    </w:pPr>
    <w:rPr>
      <w:caps/>
      <w:color w:val="C77C0E" w:themeColor="accent1" w:themeShade="BF"/>
      <w:spacing w:val="10"/>
    </w:rPr>
  </w:style>
  <w:style w:type="paragraph" w:styleId="Heading6">
    <w:name w:val="heading 6"/>
    <w:basedOn w:val="Normal"/>
    <w:next w:val="Normal"/>
    <w:link w:val="Heading6Char"/>
    <w:uiPriority w:val="9"/>
    <w:semiHidden/>
    <w:unhideWhenUsed/>
    <w:qFormat/>
    <w:rsid w:val="006653EE"/>
    <w:pPr>
      <w:pBdr>
        <w:bottom w:val="dotted" w:sz="6" w:space="1" w:color="F0A22E" w:themeColor="accent1"/>
      </w:pBdr>
      <w:spacing w:before="200" w:after="0"/>
      <w:outlineLvl w:val="5"/>
    </w:pPr>
    <w:rPr>
      <w:caps/>
      <w:color w:val="C77C0E" w:themeColor="accent1" w:themeShade="BF"/>
      <w:spacing w:val="10"/>
    </w:rPr>
  </w:style>
  <w:style w:type="paragraph" w:styleId="Heading7">
    <w:name w:val="heading 7"/>
    <w:basedOn w:val="Normal"/>
    <w:next w:val="Normal"/>
    <w:link w:val="Heading7Char"/>
    <w:uiPriority w:val="9"/>
    <w:semiHidden/>
    <w:unhideWhenUsed/>
    <w:qFormat/>
    <w:rsid w:val="006653EE"/>
    <w:pPr>
      <w:spacing w:before="200" w:after="0"/>
      <w:outlineLvl w:val="6"/>
    </w:pPr>
    <w:rPr>
      <w:caps/>
      <w:color w:val="C77C0E" w:themeColor="accent1" w:themeShade="BF"/>
      <w:spacing w:val="10"/>
    </w:rPr>
  </w:style>
  <w:style w:type="paragraph" w:styleId="Heading8">
    <w:name w:val="heading 8"/>
    <w:basedOn w:val="Normal"/>
    <w:next w:val="Normal"/>
    <w:link w:val="Heading8Char"/>
    <w:uiPriority w:val="9"/>
    <w:semiHidden/>
    <w:unhideWhenUsed/>
    <w:qFormat/>
    <w:rsid w:val="006653E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653E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3613E"/>
    <w:rPr>
      <w:caps/>
      <w:color w:val="FFFFFF" w:themeColor="background1"/>
      <w:spacing w:val="15"/>
      <w:sz w:val="24"/>
      <w:szCs w:val="24"/>
      <w:shd w:val="clear" w:color="auto" w:fill="F0A22E"/>
      <w:lang w:val="pt-BR"/>
    </w:rPr>
  </w:style>
  <w:style w:type="character" w:customStyle="1" w:styleId="Heading2Char">
    <w:name w:val="Heading 2 Char"/>
    <w:basedOn w:val="DefaultParagraphFont"/>
    <w:link w:val="Heading2"/>
    <w:uiPriority w:val="9"/>
    <w:qFormat/>
    <w:rsid w:val="006653EE"/>
    <w:rPr>
      <w:caps/>
      <w:spacing w:val="15"/>
      <w:shd w:val="clear" w:color="auto" w:fill="FCECD5"/>
    </w:rPr>
  </w:style>
  <w:style w:type="character" w:customStyle="1" w:styleId="Heading3Char">
    <w:name w:val="Heading 3 Char"/>
    <w:basedOn w:val="DefaultParagraphFont"/>
    <w:link w:val="Heading3"/>
    <w:uiPriority w:val="9"/>
    <w:qFormat/>
    <w:rsid w:val="006653EE"/>
    <w:rPr>
      <w:caps/>
      <w:color w:val="845209" w:themeColor="accent1" w:themeShade="7F"/>
      <w:spacing w:val="15"/>
    </w:rPr>
  </w:style>
  <w:style w:type="character" w:customStyle="1" w:styleId="Heading4Char">
    <w:name w:val="Heading 4 Char"/>
    <w:basedOn w:val="DefaultParagraphFont"/>
    <w:link w:val="Heading4"/>
    <w:uiPriority w:val="9"/>
    <w:semiHidden/>
    <w:qFormat/>
    <w:rsid w:val="006653EE"/>
    <w:rPr>
      <w:caps/>
      <w:color w:val="C77C0E" w:themeColor="accent1" w:themeShade="BF"/>
      <w:spacing w:val="10"/>
    </w:rPr>
  </w:style>
  <w:style w:type="character" w:customStyle="1" w:styleId="Heading5Char">
    <w:name w:val="Heading 5 Char"/>
    <w:basedOn w:val="DefaultParagraphFont"/>
    <w:link w:val="Heading5"/>
    <w:uiPriority w:val="9"/>
    <w:semiHidden/>
    <w:qFormat/>
    <w:rsid w:val="006653EE"/>
    <w:rPr>
      <w:caps/>
      <w:color w:val="C77C0E" w:themeColor="accent1" w:themeShade="BF"/>
      <w:spacing w:val="10"/>
    </w:rPr>
  </w:style>
  <w:style w:type="character" w:customStyle="1" w:styleId="Heading6Char">
    <w:name w:val="Heading 6 Char"/>
    <w:basedOn w:val="DefaultParagraphFont"/>
    <w:link w:val="Heading6"/>
    <w:uiPriority w:val="9"/>
    <w:semiHidden/>
    <w:qFormat/>
    <w:rsid w:val="006653EE"/>
    <w:rPr>
      <w:caps/>
      <w:color w:val="C77C0E" w:themeColor="accent1" w:themeShade="BF"/>
      <w:spacing w:val="10"/>
    </w:rPr>
  </w:style>
  <w:style w:type="character" w:customStyle="1" w:styleId="Heading7Char">
    <w:name w:val="Heading 7 Char"/>
    <w:basedOn w:val="DefaultParagraphFont"/>
    <w:link w:val="Heading7"/>
    <w:uiPriority w:val="9"/>
    <w:semiHidden/>
    <w:qFormat/>
    <w:rsid w:val="006653EE"/>
    <w:rPr>
      <w:caps/>
      <w:color w:val="C77C0E" w:themeColor="accent1" w:themeShade="BF"/>
      <w:spacing w:val="10"/>
    </w:rPr>
  </w:style>
  <w:style w:type="character" w:customStyle="1" w:styleId="Heading8Char">
    <w:name w:val="Heading 8 Char"/>
    <w:basedOn w:val="DefaultParagraphFont"/>
    <w:link w:val="Heading8"/>
    <w:uiPriority w:val="9"/>
    <w:semiHidden/>
    <w:qFormat/>
    <w:rsid w:val="006653EE"/>
    <w:rPr>
      <w:caps/>
      <w:spacing w:val="10"/>
      <w:sz w:val="18"/>
      <w:szCs w:val="18"/>
    </w:rPr>
  </w:style>
  <w:style w:type="character" w:customStyle="1" w:styleId="Heading9Char">
    <w:name w:val="Heading 9 Char"/>
    <w:basedOn w:val="DefaultParagraphFont"/>
    <w:link w:val="Heading9"/>
    <w:uiPriority w:val="9"/>
    <w:semiHidden/>
    <w:qFormat/>
    <w:rsid w:val="006653EE"/>
    <w:rPr>
      <w:i/>
      <w:iCs/>
      <w:caps/>
      <w:spacing w:val="10"/>
      <w:sz w:val="18"/>
      <w:szCs w:val="18"/>
    </w:rPr>
  </w:style>
  <w:style w:type="character" w:customStyle="1" w:styleId="NoSpacingChar">
    <w:name w:val="No Spacing Char"/>
    <w:link w:val="NoSpacing"/>
    <w:uiPriority w:val="1"/>
    <w:qFormat/>
    <w:rsid w:val="00B2557D"/>
  </w:style>
  <w:style w:type="character" w:customStyle="1" w:styleId="ListParagraphChar">
    <w:name w:val="List Paragraph Char"/>
    <w:link w:val="ListParagraph"/>
    <w:qFormat/>
    <w:rsid w:val="00D17981"/>
  </w:style>
  <w:style w:type="character" w:customStyle="1" w:styleId="HeaderChar">
    <w:name w:val="Header Char"/>
    <w:basedOn w:val="DefaultParagraphFont"/>
    <w:link w:val="Header"/>
    <w:uiPriority w:val="99"/>
    <w:qFormat/>
    <w:rsid w:val="00130CFE"/>
    <w:rPr>
      <w:rFonts w:ascii="Calibri" w:eastAsia="Times New Roman" w:hAnsi="Calibri" w:cs="Times New Roman"/>
      <w:sz w:val="20"/>
      <w:szCs w:val="20"/>
      <w:lang w:val="sq-AL" w:bidi="en-US"/>
    </w:rPr>
  </w:style>
  <w:style w:type="character" w:customStyle="1" w:styleId="FooterChar">
    <w:name w:val="Footer Char"/>
    <w:basedOn w:val="DefaultParagraphFont"/>
    <w:link w:val="Footer"/>
    <w:uiPriority w:val="99"/>
    <w:qFormat/>
    <w:rsid w:val="00130CFE"/>
    <w:rPr>
      <w:rFonts w:ascii="Calibri" w:eastAsia="Times New Roman" w:hAnsi="Calibri" w:cs="Times New Roman"/>
      <w:sz w:val="20"/>
      <w:szCs w:val="20"/>
      <w:lang w:val="sq-AL" w:bidi="en-US"/>
    </w:rPr>
  </w:style>
  <w:style w:type="character" w:styleId="CommentReference">
    <w:name w:val="annotation reference"/>
    <w:basedOn w:val="DefaultParagraphFont"/>
    <w:uiPriority w:val="99"/>
    <w:semiHidden/>
    <w:unhideWhenUsed/>
    <w:qFormat/>
    <w:rsid w:val="001E1532"/>
    <w:rPr>
      <w:sz w:val="16"/>
      <w:szCs w:val="16"/>
    </w:rPr>
  </w:style>
  <w:style w:type="character" w:customStyle="1" w:styleId="CommentTextChar">
    <w:name w:val="Comment Text Char"/>
    <w:basedOn w:val="DefaultParagraphFont"/>
    <w:link w:val="CommentText"/>
    <w:uiPriority w:val="99"/>
    <w:qFormat/>
    <w:rsid w:val="001E1532"/>
    <w:rPr>
      <w:rFonts w:ascii="Calibri" w:eastAsia="Times New Roman" w:hAnsi="Calibri" w:cs="Times New Roman"/>
      <w:sz w:val="20"/>
      <w:szCs w:val="20"/>
      <w:lang w:val="sq-AL" w:bidi="en-US"/>
    </w:rPr>
  </w:style>
  <w:style w:type="character" w:customStyle="1" w:styleId="CommentSubjectChar">
    <w:name w:val="Comment Subject Char"/>
    <w:basedOn w:val="CommentTextChar"/>
    <w:link w:val="CommentSubject"/>
    <w:uiPriority w:val="99"/>
    <w:semiHidden/>
    <w:qFormat/>
    <w:rsid w:val="001E1532"/>
    <w:rPr>
      <w:rFonts w:ascii="Calibri" w:eastAsia="Times New Roman" w:hAnsi="Calibri" w:cs="Times New Roman"/>
      <w:b/>
      <w:bCs/>
      <w:sz w:val="20"/>
      <w:szCs w:val="20"/>
      <w:lang w:val="sq-AL" w:bidi="en-US"/>
    </w:rPr>
  </w:style>
  <w:style w:type="character" w:customStyle="1" w:styleId="BalloonTextChar">
    <w:name w:val="Balloon Text Char"/>
    <w:basedOn w:val="DefaultParagraphFont"/>
    <w:link w:val="BalloonText"/>
    <w:uiPriority w:val="99"/>
    <w:semiHidden/>
    <w:qFormat/>
    <w:rsid w:val="001E1532"/>
    <w:rPr>
      <w:rFonts w:ascii="Tahoma" w:eastAsia="Times New Roman" w:hAnsi="Tahoma" w:cs="Tahoma"/>
      <w:sz w:val="16"/>
      <w:szCs w:val="16"/>
      <w:lang w:val="sq-AL" w:bidi="en-US"/>
    </w:rPr>
  </w:style>
  <w:style w:type="character" w:customStyle="1" w:styleId="FootnoteTextChar">
    <w:name w:val="Footnote Text Char"/>
    <w:basedOn w:val="DefaultParagraphFont"/>
    <w:link w:val="FootnoteText"/>
    <w:uiPriority w:val="99"/>
    <w:qFormat/>
    <w:rsid w:val="00C86ED3"/>
    <w:rPr>
      <w:rFonts w:ascii="Times New Roman" w:eastAsia="Times New Roman" w:hAnsi="Times New Roman" w:cs="Times New Roman"/>
      <w:sz w:val="20"/>
      <w:szCs w:val="20"/>
      <w:lang w:val="sq-AL"/>
    </w:rPr>
  </w:style>
  <w:style w:type="character" w:customStyle="1" w:styleId="FootnoteCharacters">
    <w:name w:val="Footnote Characters"/>
    <w:basedOn w:val="DefaultParagraphFont"/>
    <w:link w:val="16Point"/>
    <w:uiPriority w:val="99"/>
    <w:unhideWhenUsed/>
    <w:qFormat/>
    <w:rsid w:val="00C86ED3"/>
    <w:rPr>
      <w:vertAlign w:val="superscript"/>
    </w:rPr>
  </w:style>
  <w:style w:type="character" w:styleId="FootnoteReference">
    <w:name w:val="footnote reference"/>
    <w:rPr>
      <w:vertAlign w:val="superscript"/>
    </w:rPr>
  </w:style>
  <w:style w:type="character" w:customStyle="1" w:styleId="BodyTextChar">
    <w:name w:val="Body Text Char"/>
    <w:basedOn w:val="DefaultParagraphFont"/>
    <w:link w:val="BodyText"/>
    <w:uiPriority w:val="1"/>
    <w:qFormat/>
    <w:rsid w:val="00194B96"/>
    <w:rPr>
      <w:rFonts w:ascii="Calibri" w:eastAsia="Calibri" w:hAnsi="Calibri" w:cs="Calibri"/>
      <w:sz w:val="24"/>
      <w:szCs w:val="24"/>
      <w:lang w:val="sq-AL"/>
    </w:rPr>
  </w:style>
  <w:style w:type="character" w:customStyle="1" w:styleId="xxcontentpasted0">
    <w:name w:val="x_x_contentpasted0"/>
    <w:basedOn w:val="DefaultParagraphFont"/>
    <w:qFormat/>
    <w:rsid w:val="001A2D1B"/>
  </w:style>
  <w:style w:type="character" w:customStyle="1" w:styleId="normaltextrun">
    <w:name w:val="normaltextrun"/>
    <w:qFormat/>
    <w:rsid w:val="00E9162C"/>
  </w:style>
  <w:style w:type="character" w:customStyle="1" w:styleId="apple-converted-space">
    <w:name w:val="apple-converted-space"/>
    <w:basedOn w:val="DefaultParagraphFont"/>
    <w:qFormat/>
    <w:rsid w:val="003C1288"/>
  </w:style>
  <w:style w:type="character" w:styleId="Hyperlink">
    <w:name w:val="Hyperlink"/>
    <w:basedOn w:val="DefaultParagraphFont"/>
    <w:uiPriority w:val="99"/>
    <w:unhideWhenUsed/>
    <w:rsid w:val="00E432A3"/>
    <w:rPr>
      <w:color w:val="AD1F1F" w:themeColor="hyperlink"/>
      <w:u w:val="single"/>
    </w:rPr>
  </w:style>
  <w:style w:type="character" w:customStyle="1" w:styleId="EndnoteTextChar">
    <w:name w:val="Endnote Text Char"/>
    <w:basedOn w:val="DefaultParagraphFont"/>
    <w:link w:val="EndnoteText"/>
    <w:uiPriority w:val="99"/>
    <w:semiHidden/>
    <w:qFormat/>
    <w:rsid w:val="00862DC6"/>
    <w:rPr>
      <w:rFonts w:ascii="Times New Roman" w:eastAsia="Times New Roman" w:hAnsi="Times New Roman" w:cs="Times New Roman"/>
      <w:sz w:val="20"/>
      <w:szCs w:val="20"/>
      <w:lang w:val="sq-AL"/>
    </w:rPr>
  </w:style>
  <w:style w:type="character" w:customStyle="1" w:styleId="UnresolvedMention1">
    <w:name w:val="Unresolved Mention1"/>
    <w:basedOn w:val="DefaultParagraphFont"/>
    <w:uiPriority w:val="99"/>
    <w:semiHidden/>
    <w:unhideWhenUsed/>
    <w:qFormat/>
    <w:rsid w:val="00FF3AFA"/>
    <w:rPr>
      <w:color w:val="605E5C"/>
      <w:shd w:val="clear" w:color="auto" w:fill="E1DFDD"/>
    </w:rPr>
  </w:style>
  <w:style w:type="character" w:customStyle="1" w:styleId="TitleChar">
    <w:name w:val="Title Char"/>
    <w:basedOn w:val="DefaultParagraphFont"/>
    <w:link w:val="Title"/>
    <w:uiPriority w:val="10"/>
    <w:qFormat/>
    <w:rsid w:val="006653EE"/>
    <w:rPr>
      <w:rFonts w:asciiTheme="majorHAnsi" w:eastAsiaTheme="majorEastAsia" w:hAnsiTheme="majorHAnsi" w:cstheme="majorBidi"/>
      <w:caps/>
      <w:color w:val="F0A22E" w:themeColor="accent1"/>
      <w:spacing w:val="10"/>
      <w:sz w:val="52"/>
      <w:szCs w:val="52"/>
    </w:rPr>
  </w:style>
  <w:style w:type="character" w:customStyle="1" w:styleId="SubtitleChar">
    <w:name w:val="Subtitle Char"/>
    <w:basedOn w:val="DefaultParagraphFont"/>
    <w:link w:val="Subtitle"/>
    <w:uiPriority w:val="11"/>
    <w:qFormat/>
    <w:rsid w:val="006653EE"/>
    <w:rPr>
      <w:caps/>
      <w:color w:val="595959" w:themeColor="text1" w:themeTint="A6"/>
      <w:spacing w:val="10"/>
      <w:sz w:val="21"/>
      <w:szCs w:val="21"/>
    </w:rPr>
  </w:style>
  <w:style w:type="character" w:styleId="Strong">
    <w:name w:val="Strong"/>
    <w:uiPriority w:val="22"/>
    <w:qFormat/>
    <w:rsid w:val="006653EE"/>
    <w:rPr>
      <w:b/>
      <w:bCs/>
    </w:rPr>
  </w:style>
  <w:style w:type="character" w:styleId="Emphasis">
    <w:name w:val="Emphasis"/>
    <w:uiPriority w:val="20"/>
    <w:qFormat/>
    <w:rsid w:val="006653EE"/>
    <w:rPr>
      <w:caps/>
      <w:color w:val="845209" w:themeColor="accent1" w:themeShade="7F"/>
      <w:spacing w:val="5"/>
    </w:rPr>
  </w:style>
  <w:style w:type="character" w:customStyle="1" w:styleId="QuoteChar">
    <w:name w:val="Quote Char"/>
    <w:basedOn w:val="DefaultParagraphFont"/>
    <w:link w:val="Quote"/>
    <w:uiPriority w:val="29"/>
    <w:qFormat/>
    <w:rsid w:val="006653EE"/>
    <w:rPr>
      <w:i/>
      <w:iCs/>
      <w:sz w:val="24"/>
      <w:szCs w:val="24"/>
    </w:rPr>
  </w:style>
  <w:style w:type="character" w:customStyle="1" w:styleId="IntenseQuoteChar">
    <w:name w:val="Intense Quote Char"/>
    <w:basedOn w:val="DefaultParagraphFont"/>
    <w:link w:val="IntenseQuote"/>
    <w:uiPriority w:val="30"/>
    <w:qFormat/>
    <w:rsid w:val="006653EE"/>
    <w:rPr>
      <w:color w:val="F0A22E" w:themeColor="accent1"/>
      <w:sz w:val="24"/>
      <w:szCs w:val="24"/>
    </w:rPr>
  </w:style>
  <w:style w:type="character" w:styleId="SubtleEmphasis">
    <w:name w:val="Subtle Emphasis"/>
    <w:uiPriority w:val="19"/>
    <w:qFormat/>
    <w:rsid w:val="006653EE"/>
    <w:rPr>
      <w:i/>
      <w:iCs/>
      <w:color w:val="845209" w:themeColor="accent1" w:themeShade="7F"/>
    </w:rPr>
  </w:style>
  <w:style w:type="character" w:styleId="IntenseEmphasis">
    <w:name w:val="Intense Emphasis"/>
    <w:uiPriority w:val="21"/>
    <w:qFormat/>
    <w:rsid w:val="006653EE"/>
    <w:rPr>
      <w:b/>
      <w:bCs/>
      <w:caps/>
      <w:color w:val="845209" w:themeColor="accent1" w:themeShade="7F"/>
      <w:spacing w:val="10"/>
    </w:rPr>
  </w:style>
  <w:style w:type="character" w:styleId="SubtleReference">
    <w:name w:val="Subtle Reference"/>
    <w:uiPriority w:val="31"/>
    <w:qFormat/>
    <w:rsid w:val="006653EE"/>
    <w:rPr>
      <w:b/>
      <w:bCs/>
      <w:color w:val="F0A22E" w:themeColor="accent1"/>
    </w:rPr>
  </w:style>
  <w:style w:type="character" w:styleId="IntenseReference">
    <w:name w:val="Intense Reference"/>
    <w:uiPriority w:val="32"/>
    <w:qFormat/>
    <w:rsid w:val="006653EE"/>
    <w:rPr>
      <w:b/>
      <w:bCs/>
      <w:i/>
      <w:iCs/>
      <w:caps/>
      <w:color w:val="F0A22E" w:themeColor="accent1"/>
    </w:rPr>
  </w:style>
  <w:style w:type="character" w:styleId="BookTitle">
    <w:name w:val="Book Title"/>
    <w:uiPriority w:val="33"/>
    <w:qFormat/>
    <w:rsid w:val="006653EE"/>
    <w:rPr>
      <w:b/>
      <w:bCs/>
      <w:i/>
      <w:iCs/>
      <w:spacing w:val="0"/>
    </w:rPr>
  </w:style>
  <w:style w:type="character" w:customStyle="1" w:styleId="FootnoteTextChar2">
    <w:name w:val="Footnote Text Char2"/>
    <w:basedOn w:val="DefaultParagraphFont"/>
    <w:uiPriority w:val="99"/>
    <w:semiHidden/>
    <w:qFormat/>
    <w:rsid w:val="007909AF"/>
  </w:style>
  <w:style w:type="character" w:customStyle="1" w:styleId="UnresolvedMention2">
    <w:name w:val="Unresolved Mention2"/>
    <w:basedOn w:val="DefaultParagraphFont"/>
    <w:uiPriority w:val="99"/>
    <w:semiHidden/>
    <w:unhideWhenUsed/>
    <w:qFormat/>
    <w:rsid w:val="001D53D5"/>
    <w:rPr>
      <w:color w:val="605E5C"/>
      <w:shd w:val="clear" w:color="auto" w:fill="E1DFDD"/>
    </w:rPr>
  </w:style>
  <w:style w:type="character" w:styleId="PageNumber">
    <w:name w:val="page number"/>
    <w:basedOn w:val="DefaultParagraphFont"/>
    <w:uiPriority w:val="99"/>
    <w:semiHidden/>
    <w:unhideWhenUsed/>
    <w:rsid w:val="00386342"/>
  </w:style>
  <w:style w:type="character" w:customStyle="1" w:styleId="EndnoteCharacters">
    <w:name w:val="Endnote Characters"/>
    <w:basedOn w:val="DefaultParagraphFont"/>
    <w:uiPriority w:val="99"/>
    <w:semiHidden/>
    <w:unhideWhenUsed/>
    <w:qFormat/>
    <w:rsid w:val="00FD7E3F"/>
    <w:rPr>
      <w:vertAlign w:val="superscript"/>
    </w:rPr>
  </w:style>
  <w:style w:type="character" w:styleId="EndnoteReference">
    <w:name w:val="endnote reference"/>
    <w:rPr>
      <w:vertAlign w:val="superscript"/>
    </w:rPr>
  </w:style>
  <w:style w:type="character" w:customStyle="1" w:styleId="whitespace-normal">
    <w:name w:val="whitespace-normal"/>
    <w:basedOn w:val="DefaultParagraphFont"/>
    <w:qFormat/>
    <w:rsid w:val="00315CDE"/>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1"/>
    <w:rsid w:val="00194B96"/>
    <w:pPr>
      <w:widowControl w:val="0"/>
      <w:spacing w:after="0" w:line="240" w:lineRule="auto"/>
    </w:pPr>
    <w:rPr>
      <w:rFonts w:eastAsia="Calibri" w:cs="Calibri"/>
      <w:sz w:val="24"/>
      <w:szCs w:val="24"/>
    </w:rPr>
  </w:style>
  <w:style w:type="paragraph" w:styleId="List">
    <w:name w:val="List"/>
    <w:basedOn w:val="BodyText"/>
    <w:rPr>
      <w:rFonts w:cs="Lohit Devanagari"/>
    </w:rPr>
  </w:style>
  <w:style w:type="paragraph" w:styleId="Caption">
    <w:name w:val="caption"/>
    <w:basedOn w:val="Normal"/>
    <w:next w:val="Normal"/>
    <w:uiPriority w:val="35"/>
    <w:unhideWhenUsed/>
    <w:qFormat/>
    <w:rsid w:val="006653EE"/>
    <w:rPr>
      <w:b/>
      <w:bCs/>
      <w:color w:val="C77C0E" w:themeColor="accent1" w:themeShade="BF"/>
      <w:sz w:val="16"/>
      <w:szCs w:val="16"/>
    </w:rPr>
  </w:style>
  <w:style w:type="paragraph" w:customStyle="1" w:styleId="Index">
    <w:name w:val="Index"/>
    <w:basedOn w:val="Normal"/>
    <w:qFormat/>
    <w:pPr>
      <w:suppressLineNumbers/>
    </w:pPr>
    <w:rPr>
      <w:rFonts w:cs="Lohit Devanagari"/>
    </w:rPr>
  </w:style>
  <w:style w:type="paragraph" w:styleId="NoSpacing">
    <w:name w:val="No Spacing"/>
    <w:link w:val="NoSpacingChar"/>
    <w:uiPriority w:val="1"/>
    <w:qFormat/>
    <w:rsid w:val="006653EE"/>
    <w:pPr>
      <w:spacing w:before="100"/>
    </w:pPr>
  </w:style>
  <w:style w:type="paragraph" w:styleId="ListParagraph">
    <w:name w:val="List Paragraph"/>
    <w:basedOn w:val="Normal"/>
    <w:link w:val="ListParagraphChar"/>
    <w:qFormat/>
    <w:rsid w:val="00B2557D"/>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130CFE"/>
    <w:pPr>
      <w:tabs>
        <w:tab w:val="center" w:pos="4680"/>
        <w:tab w:val="right" w:pos="9360"/>
      </w:tabs>
      <w:spacing w:after="0" w:line="240" w:lineRule="auto"/>
    </w:pPr>
  </w:style>
  <w:style w:type="paragraph" w:styleId="Footer">
    <w:name w:val="footer"/>
    <w:basedOn w:val="Normal"/>
    <w:link w:val="FooterChar"/>
    <w:uiPriority w:val="99"/>
    <w:unhideWhenUsed/>
    <w:rsid w:val="00130CFE"/>
    <w:pPr>
      <w:tabs>
        <w:tab w:val="center" w:pos="4680"/>
        <w:tab w:val="right" w:pos="9360"/>
      </w:tabs>
      <w:spacing w:after="0" w:line="240" w:lineRule="auto"/>
    </w:pPr>
  </w:style>
  <w:style w:type="paragraph" w:styleId="CommentText">
    <w:name w:val="annotation text"/>
    <w:basedOn w:val="Normal"/>
    <w:link w:val="CommentTextChar"/>
    <w:uiPriority w:val="99"/>
    <w:unhideWhenUsed/>
    <w:qFormat/>
    <w:rsid w:val="001E1532"/>
    <w:pPr>
      <w:spacing w:line="240" w:lineRule="auto"/>
    </w:pPr>
  </w:style>
  <w:style w:type="paragraph" w:styleId="CommentSubject">
    <w:name w:val="annotation subject"/>
    <w:basedOn w:val="CommentText"/>
    <w:next w:val="CommentText"/>
    <w:link w:val="CommentSubjectChar"/>
    <w:uiPriority w:val="99"/>
    <w:semiHidden/>
    <w:unhideWhenUsed/>
    <w:qFormat/>
    <w:rsid w:val="001E1532"/>
    <w:rPr>
      <w:b/>
      <w:bCs/>
    </w:rPr>
  </w:style>
  <w:style w:type="paragraph" w:styleId="BalloonText">
    <w:name w:val="Balloon Text"/>
    <w:basedOn w:val="Normal"/>
    <w:link w:val="BalloonTextChar"/>
    <w:uiPriority w:val="99"/>
    <w:semiHidden/>
    <w:unhideWhenUsed/>
    <w:qFormat/>
    <w:rsid w:val="001E1532"/>
    <w:pPr>
      <w:spacing w:after="0" w:line="240" w:lineRule="auto"/>
    </w:pPr>
    <w:rPr>
      <w:rFonts w:ascii="Tahoma" w:hAnsi="Tahoma" w:cs="Tahoma"/>
      <w:sz w:val="16"/>
      <w:szCs w:val="16"/>
    </w:rPr>
  </w:style>
  <w:style w:type="paragraph" w:styleId="FootnoteText">
    <w:name w:val="footnote text"/>
    <w:basedOn w:val="Normal"/>
    <w:link w:val="FootnoteTextChar"/>
    <w:uiPriority w:val="99"/>
    <w:unhideWhenUsed/>
    <w:qFormat/>
    <w:rsid w:val="00C86ED3"/>
    <w:pPr>
      <w:spacing w:after="0" w:line="240" w:lineRule="auto"/>
    </w:pPr>
    <w:rPr>
      <w:rFonts w:ascii="Times New Roman" w:hAnsi="Times New Roman"/>
    </w:rPr>
  </w:style>
  <w:style w:type="paragraph" w:customStyle="1" w:styleId="16Point">
    <w:name w:val="16 Point"/>
    <w:basedOn w:val="Normal"/>
    <w:link w:val="FootnoteCharacters"/>
    <w:uiPriority w:val="99"/>
    <w:qFormat/>
    <w:rsid w:val="00C86ED3"/>
    <w:pPr>
      <w:spacing w:line="240" w:lineRule="exact"/>
    </w:pPr>
    <w:rPr>
      <w:vertAlign w:val="superscript"/>
    </w:rPr>
  </w:style>
  <w:style w:type="paragraph" w:customStyle="1" w:styleId="AAAAATEXT">
    <w:name w:val="AAAAATEXT"/>
    <w:basedOn w:val="Normal"/>
    <w:qFormat/>
    <w:rsid w:val="00BF4BFF"/>
    <w:pPr>
      <w:spacing w:after="0" w:line="240" w:lineRule="auto"/>
      <w:ind w:firstLine="284"/>
    </w:pPr>
    <w:rPr>
      <w:rFonts w:ascii="Garamond" w:hAnsi="Garamond"/>
      <w:sz w:val="24"/>
      <w:szCs w:val="24"/>
    </w:rPr>
  </w:style>
  <w:style w:type="paragraph" w:customStyle="1" w:styleId="xxxgmail-msolistparagraph">
    <w:name w:val="x_x_x_gmail-msolistparagraph"/>
    <w:basedOn w:val="Normal"/>
    <w:qFormat/>
    <w:rsid w:val="001A2D1B"/>
    <w:pPr>
      <w:spacing w:beforeAutospacing="1" w:afterAutospacing="1" w:line="240" w:lineRule="auto"/>
    </w:pPr>
    <w:rPr>
      <w:rFonts w:ascii="Times New Roman" w:hAnsi="Times New Roman"/>
      <w:sz w:val="24"/>
      <w:szCs w:val="24"/>
    </w:rPr>
  </w:style>
  <w:style w:type="paragraph" w:customStyle="1" w:styleId="xxxmsonormal">
    <w:name w:val="x_x_x_msonormal"/>
    <w:basedOn w:val="Normal"/>
    <w:qFormat/>
    <w:rsid w:val="001A2D1B"/>
    <w:pPr>
      <w:spacing w:beforeAutospacing="1" w:afterAutospacing="1" w:line="240" w:lineRule="auto"/>
    </w:pPr>
    <w:rPr>
      <w:rFonts w:ascii="Times New Roman" w:hAnsi="Times New Roman"/>
      <w:sz w:val="24"/>
      <w:szCs w:val="24"/>
    </w:rPr>
  </w:style>
  <w:style w:type="paragraph" w:styleId="NormalWeb">
    <w:name w:val="Normal (Web)"/>
    <w:basedOn w:val="Normal"/>
    <w:uiPriority w:val="99"/>
    <w:unhideWhenUsed/>
    <w:qFormat/>
    <w:rsid w:val="00305B95"/>
    <w:pPr>
      <w:spacing w:beforeAutospacing="1" w:afterAutospacing="1" w:line="240" w:lineRule="auto"/>
    </w:pPr>
    <w:rPr>
      <w:rFonts w:ascii="Times New Roman" w:hAnsi="Times New Roman"/>
      <w:sz w:val="24"/>
      <w:szCs w:val="24"/>
      <w:lang w:val="fr-FR" w:eastAsia="fr-FR"/>
    </w:rPr>
  </w:style>
  <w:style w:type="paragraph" w:customStyle="1" w:styleId="paragraph">
    <w:name w:val="paragraph"/>
    <w:basedOn w:val="Normal"/>
    <w:qFormat/>
    <w:rsid w:val="00E9162C"/>
    <w:pPr>
      <w:spacing w:beforeAutospacing="1" w:afterAutospacing="1" w:line="240" w:lineRule="auto"/>
    </w:pPr>
    <w:rPr>
      <w:rFonts w:ascii="Times New Roman" w:hAnsi="Times New Roman"/>
      <w:sz w:val="24"/>
      <w:szCs w:val="24"/>
    </w:rPr>
  </w:style>
  <w:style w:type="paragraph" w:styleId="EndnoteText">
    <w:name w:val="endnote text"/>
    <w:basedOn w:val="Normal"/>
    <w:link w:val="EndnoteTextChar"/>
    <w:uiPriority w:val="99"/>
    <w:semiHidden/>
    <w:unhideWhenUsed/>
    <w:rsid w:val="00862DC6"/>
    <w:pPr>
      <w:spacing w:after="0" w:line="240" w:lineRule="auto"/>
    </w:pPr>
    <w:rPr>
      <w:rFonts w:ascii="Times New Roman" w:hAnsi="Times New Roman"/>
    </w:rPr>
  </w:style>
  <w:style w:type="paragraph" w:styleId="Revision">
    <w:name w:val="Revision"/>
    <w:uiPriority w:val="99"/>
    <w:semiHidden/>
    <w:qFormat/>
    <w:rsid w:val="00190370"/>
    <w:pPr>
      <w:spacing w:before="100"/>
    </w:pPr>
  </w:style>
  <w:style w:type="paragraph" w:styleId="Title">
    <w:name w:val="Title"/>
    <w:basedOn w:val="Normal"/>
    <w:next w:val="Normal"/>
    <w:link w:val="TitleChar"/>
    <w:uiPriority w:val="10"/>
    <w:qFormat/>
    <w:rsid w:val="006653EE"/>
    <w:pPr>
      <w:spacing w:before="0" w:after="0"/>
    </w:pPr>
    <w:rPr>
      <w:rFonts w:asciiTheme="majorHAnsi" w:eastAsiaTheme="majorEastAsia" w:hAnsiTheme="majorHAnsi" w:cstheme="majorBidi"/>
      <w:caps/>
      <w:color w:val="F0A22E" w:themeColor="accent1"/>
      <w:spacing w:val="10"/>
      <w:sz w:val="52"/>
      <w:szCs w:val="52"/>
    </w:rPr>
  </w:style>
  <w:style w:type="paragraph" w:styleId="Subtitle">
    <w:name w:val="Subtitle"/>
    <w:basedOn w:val="Normal"/>
    <w:next w:val="Normal"/>
    <w:link w:val="SubtitleChar"/>
    <w:uiPriority w:val="11"/>
    <w:qFormat/>
    <w:rsid w:val="006653EE"/>
    <w:pPr>
      <w:spacing w:before="0" w:after="500" w:line="240" w:lineRule="auto"/>
    </w:pPr>
    <w:rPr>
      <w:caps/>
      <w:color w:val="595959" w:themeColor="text1" w:themeTint="A6"/>
      <w:spacing w:val="10"/>
      <w:sz w:val="21"/>
      <w:szCs w:val="21"/>
    </w:rPr>
  </w:style>
  <w:style w:type="paragraph" w:styleId="Quote">
    <w:name w:val="Quote"/>
    <w:basedOn w:val="Normal"/>
    <w:next w:val="Normal"/>
    <w:link w:val="QuoteChar"/>
    <w:uiPriority w:val="29"/>
    <w:qFormat/>
    <w:rsid w:val="006653EE"/>
    <w:rPr>
      <w:i/>
      <w:iCs/>
      <w:sz w:val="24"/>
      <w:szCs w:val="24"/>
    </w:rPr>
  </w:style>
  <w:style w:type="paragraph" w:styleId="IntenseQuote">
    <w:name w:val="Intense Quote"/>
    <w:basedOn w:val="Normal"/>
    <w:next w:val="Normal"/>
    <w:link w:val="IntenseQuoteChar"/>
    <w:uiPriority w:val="30"/>
    <w:qFormat/>
    <w:rsid w:val="006653EE"/>
    <w:pPr>
      <w:spacing w:before="240" w:after="240" w:line="240" w:lineRule="auto"/>
      <w:ind w:left="1080" w:right="1080"/>
      <w:jc w:val="center"/>
    </w:pPr>
    <w:rPr>
      <w:color w:val="F0A22E" w:themeColor="accent1"/>
      <w:sz w:val="24"/>
      <w:szCs w:val="24"/>
    </w:rPr>
  </w:style>
  <w:style w:type="paragraph" w:styleId="IndexHeading">
    <w:name w:val="index heading"/>
    <w:basedOn w:val="Heading"/>
  </w:style>
  <w:style w:type="paragraph" w:styleId="TOCHeading">
    <w:name w:val="TOC Heading"/>
    <w:basedOn w:val="Heading1"/>
    <w:next w:val="Normal"/>
    <w:uiPriority w:val="39"/>
    <w:unhideWhenUsed/>
    <w:qFormat/>
    <w:rsid w:val="006653EE"/>
    <w:pPr>
      <w:outlineLvl w:val="9"/>
    </w:pPr>
  </w:style>
  <w:style w:type="paragraph" w:customStyle="1" w:styleId="msonormal0">
    <w:name w:val="msonormal"/>
    <w:basedOn w:val="Normal"/>
    <w:qFormat/>
    <w:rsid w:val="007909AF"/>
    <w:pPr>
      <w:spacing w:beforeAutospacing="1" w:afterAutospacing="1" w:line="240" w:lineRule="auto"/>
    </w:pPr>
    <w:rPr>
      <w:rFonts w:ascii="Times New Roman" w:eastAsia="Times New Roman" w:hAnsi="Times New Roman" w:cs="Times New Roman"/>
      <w:sz w:val="24"/>
      <w:szCs w:val="24"/>
      <w:lang w:val="fr-FR" w:eastAsia="fr-FR"/>
    </w:rPr>
  </w:style>
  <w:style w:type="paragraph" w:styleId="TOC3">
    <w:name w:val="toc 3"/>
    <w:basedOn w:val="Normal"/>
    <w:next w:val="Normal"/>
    <w:autoRedefine/>
    <w:uiPriority w:val="39"/>
    <w:unhideWhenUsed/>
    <w:qFormat/>
    <w:rsid w:val="007163C2"/>
    <w:pPr>
      <w:spacing w:after="100"/>
      <w:ind w:left="400"/>
    </w:pPr>
  </w:style>
  <w:style w:type="paragraph" w:styleId="TOC1">
    <w:name w:val="toc 1"/>
    <w:basedOn w:val="Normal"/>
    <w:next w:val="Normal"/>
    <w:autoRedefine/>
    <w:uiPriority w:val="39"/>
    <w:unhideWhenUsed/>
    <w:qFormat/>
    <w:rsid w:val="007163C2"/>
    <w:pPr>
      <w:spacing w:after="100"/>
    </w:pPr>
  </w:style>
  <w:style w:type="paragraph" w:styleId="TOC2">
    <w:name w:val="toc 2"/>
    <w:basedOn w:val="Normal"/>
    <w:next w:val="Normal"/>
    <w:autoRedefine/>
    <w:uiPriority w:val="39"/>
    <w:unhideWhenUsed/>
    <w:qFormat/>
    <w:rsid w:val="00BB03F6"/>
    <w:pPr>
      <w:spacing w:before="0" w:after="100"/>
      <w:ind w:left="220"/>
    </w:pPr>
    <w:rPr>
      <w:sz w:val="22"/>
      <w:szCs w:val="22"/>
      <w:lang w:eastAsia="ja-JP"/>
    </w:rPr>
  </w:style>
  <w:style w:type="paragraph" w:styleId="TableofFigures">
    <w:name w:val="table of figures"/>
    <w:basedOn w:val="Normal"/>
    <w:next w:val="Normal"/>
    <w:uiPriority w:val="99"/>
    <w:unhideWhenUsed/>
    <w:rsid w:val="000533AD"/>
    <w:pPr>
      <w:spacing w:after="0"/>
    </w:pPr>
  </w:style>
  <w:style w:type="paragraph" w:customStyle="1" w:styleId="Default">
    <w:name w:val="Default"/>
    <w:qFormat/>
    <w:rsid w:val="006A419D"/>
    <w:rPr>
      <w:rFonts w:ascii="Times New Roman" w:eastAsia="MS PMincho" w:hAnsi="Times New Roman" w:cs="Times New Roman"/>
      <w:color w:val="000000"/>
      <w:sz w:val="24"/>
      <w:szCs w:val="24"/>
    </w:rPr>
  </w:style>
  <w:style w:type="paragraph" w:customStyle="1" w:styleId="BVIfnrCarCarCarCarChar">
    <w:name w:val="BVI fnr Car Car Car Car Char"/>
    <w:basedOn w:val="Normal"/>
    <w:uiPriority w:val="99"/>
    <w:qFormat/>
    <w:rsid w:val="00386342"/>
    <w:pPr>
      <w:spacing w:before="60" w:after="160" w:line="240" w:lineRule="exact"/>
      <w:jc w:val="both"/>
    </w:pPr>
    <w:rPr>
      <w:rFonts w:eastAsiaTheme="minorHAnsi"/>
      <w:sz w:val="22"/>
      <w:szCs w:val="24"/>
      <w:vertAlign w:val="superscript"/>
    </w:rPr>
  </w:style>
  <w:style w:type="paragraph" w:customStyle="1" w:styleId="Normal0">
    <w:name w:val="Normal_0"/>
    <w:qFormat/>
    <w:rsid w:val="00A11D16"/>
    <w:pPr>
      <w:numPr>
        <w:numId w:val="14"/>
      </w:numPr>
      <w:spacing w:after="60"/>
      <w:jc w:val="both"/>
    </w:pPr>
    <w:rPr>
      <w:rFonts w:ascii="Calibri" w:eastAsiaTheme="minorHAnsi" w:hAnsi="Calibri" w:cs="Calibri"/>
      <w:sz w:val="22"/>
      <w:szCs w:val="22"/>
    </w:rPr>
  </w:style>
  <w:style w:type="paragraph" w:customStyle="1" w:styleId="aaaaatexxxx">
    <w:name w:val="aaaaatexxxx"/>
    <w:basedOn w:val="Normal"/>
    <w:uiPriority w:val="99"/>
    <w:qFormat/>
    <w:rsid w:val="00113027"/>
    <w:pPr>
      <w:spacing w:before="0" w:after="0" w:line="240" w:lineRule="auto"/>
      <w:ind w:firstLine="284"/>
      <w:jc w:val="both"/>
    </w:pPr>
    <w:rPr>
      <w:rFonts w:ascii="Garamond" w:eastAsiaTheme="minorHAnsi" w:hAnsi="Garamond" w:cs="Times New Roman"/>
      <w:sz w:val="24"/>
      <w:szCs w:val="24"/>
      <w:lang w:val="sq-AL"/>
    </w:rPr>
  </w:style>
  <w:style w:type="paragraph" w:customStyle="1" w:styleId="FrameContents">
    <w:name w:val="Frame Contents"/>
    <w:basedOn w:val="Normal"/>
    <w:qFormat/>
  </w:style>
  <w:style w:type="paragraph" w:customStyle="1" w:styleId="HeaderLeft">
    <w:name w:val="Header Left"/>
    <w:basedOn w:val="Header"/>
    <w:qFormat/>
  </w:style>
  <w:style w:type="table" w:customStyle="1" w:styleId="GridTable5Dark-Accent11">
    <w:name w:val="Grid Table 5 Dark - Accent 11"/>
    <w:basedOn w:val="TableNormal"/>
    <w:uiPriority w:val="50"/>
    <w:rsid w:val="00C86E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CECD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22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22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22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22E" w:themeFill="accent1"/>
      </w:tcPr>
    </w:tblStylePr>
    <w:tblStylePr w:type="band1Vert">
      <w:tblPr/>
      <w:tcPr>
        <w:shd w:val="clear" w:color="auto" w:fill="F9D9AB" w:themeFill="accent1" w:themeFillTint="66"/>
      </w:tcPr>
    </w:tblStylePr>
    <w:tblStylePr w:type="band1Horz">
      <w:tblPr/>
      <w:tcPr>
        <w:shd w:val="clear" w:color="auto" w:fill="F9D9AB" w:themeFill="accent1" w:themeFillTint="66"/>
      </w:tcPr>
    </w:tblStylePr>
  </w:style>
  <w:style w:type="table" w:customStyle="1" w:styleId="GridTable4-Accent21">
    <w:name w:val="Grid Table 4 - Accent 21"/>
    <w:basedOn w:val="TableNormal"/>
    <w:uiPriority w:val="49"/>
    <w:rsid w:val="00C679DC"/>
    <w:tblPr>
      <w:tblStyleRowBandSize w:val="1"/>
      <w:tblStyleColBandSize w:val="1"/>
      <w:tblInd w:w="0" w:type="dxa"/>
      <w:tblBorders>
        <w:top w:val="single" w:sz="4" w:space="0" w:color="CBA092" w:themeColor="accent2" w:themeTint="99"/>
        <w:left w:val="single" w:sz="4" w:space="0" w:color="CBA092" w:themeColor="accent2" w:themeTint="99"/>
        <w:bottom w:val="single" w:sz="4" w:space="0" w:color="CBA092" w:themeColor="accent2" w:themeTint="99"/>
        <w:right w:val="single" w:sz="4" w:space="0" w:color="CBA092" w:themeColor="accent2" w:themeTint="99"/>
        <w:insideH w:val="single" w:sz="4" w:space="0" w:color="CBA092" w:themeColor="accent2" w:themeTint="99"/>
        <w:insideV w:val="single" w:sz="4" w:space="0" w:color="CBA092"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644E" w:themeColor="accent2"/>
          <w:left w:val="single" w:sz="4" w:space="0" w:color="A5644E" w:themeColor="accent2"/>
          <w:bottom w:val="single" w:sz="4" w:space="0" w:color="A5644E" w:themeColor="accent2"/>
          <w:right w:val="single" w:sz="4" w:space="0" w:color="A5644E" w:themeColor="accent2"/>
          <w:insideH w:val="nil"/>
          <w:insideV w:val="nil"/>
        </w:tcBorders>
        <w:shd w:val="clear" w:color="auto" w:fill="A5644E" w:themeFill="accent2"/>
      </w:tcPr>
    </w:tblStylePr>
    <w:tblStylePr w:type="lastRow">
      <w:rPr>
        <w:b/>
        <w:bCs/>
      </w:rPr>
      <w:tblPr/>
      <w:tcPr>
        <w:tcBorders>
          <w:top w:val="double" w:sz="4" w:space="0" w:color="A5644E" w:themeColor="accent2"/>
        </w:tcBorders>
      </w:tcPr>
    </w:tblStylePr>
    <w:tblStylePr w:type="firstCol">
      <w:rPr>
        <w:b/>
        <w:bCs/>
      </w:rPr>
    </w:tblStylePr>
    <w:tblStylePr w:type="lastCol">
      <w:rPr>
        <w:b/>
        <w:bCs/>
      </w:rPr>
    </w:tblStylePr>
    <w:tblStylePr w:type="band1Vert">
      <w:tblPr/>
      <w:tcPr>
        <w:shd w:val="clear" w:color="auto" w:fill="EDDFDA" w:themeFill="accent2" w:themeFillTint="33"/>
      </w:tcPr>
    </w:tblStylePr>
    <w:tblStylePr w:type="band1Horz">
      <w:tblPr/>
      <w:tcPr>
        <w:shd w:val="clear" w:color="auto" w:fill="EDDFDA" w:themeFill="accent2" w:themeFillTint="33"/>
      </w:tcPr>
    </w:tblStylePr>
  </w:style>
  <w:style w:type="table" w:styleId="MediumGrid3-Accent4">
    <w:name w:val="Medium Grid 3 Accent 4"/>
    <w:basedOn w:val="TableNormal"/>
    <w:uiPriority w:val="69"/>
    <w:rsid w:val="007C286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0E5DA"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986D"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986D"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986D"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3986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CBB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CBB6" w:themeFill="accent4" w:themeFillTint="7F"/>
      </w:tcPr>
    </w:tblStylePr>
  </w:style>
  <w:style w:type="table" w:styleId="ColorfulGrid-Accent2">
    <w:name w:val="Colorful Grid Accent 2"/>
    <w:basedOn w:val="TableNormal"/>
    <w:uiPriority w:val="73"/>
    <w:rsid w:val="007C286F"/>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DFDA" w:themeFill="accent2" w:themeFillTint="33"/>
    </w:tcPr>
    <w:tblStylePr w:type="firstRow">
      <w:rPr>
        <w:b/>
        <w:bCs/>
      </w:rPr>
      <w:tblPr/>
      <w:tcPr>
        <w:shd w:val="clear" w:color="auto" w:fill="DCBFB6" w:themeFill="accent2" w:themeFillTint="66"/>
      </w:tcPr>
    </w:tblStylePr>
    <w:tblStylePr w:type="lastRow">
      <w:rPr>
        <w:b/>
        <w:bCs/>
        <w:color w:val="000000" w:themeColor="text1"/>
      </w:rPr>
      <w:tblPr/>
      <w:tcPr>
        <w:shd w:val="clear" w:color="auto" w:fill="DCBFB6" w:themeFill="accent2" w:themeFillTint="66"/>
      </w:tcPr>
    </w:tblStylePr>
    <w:tblStylePr w:type="firstCol">
      <w:rPr>
        <w:color w:val="FFFFFF" w:themeColor="background1"/>
      </w:rPr>
      <w:tblPr/>
      <w:tcPr>
        <w:shd w:val="clear" w:color="auto" w:fill="7B4A3A" w:themeFill="accent2" w:themeFillShade="BF"/>
      </w:tcPr>
    </w:tblStylePr>
    <w:tblStylePr w:type="lastCol">
      <w:rPr>
        <w:color w:val="FFFFFF" w:themeColor="background1"/>
      </w:rPr>
      <w:tblPr/>
      <w:tcPr>
        <w:shd w:val="clear" w:color="auto" w:fill="7B4A3A" w:themeFill="accent2" w:themeFillShade="BF"/>
      </w:tcPr>
    </w:tblStylePr>
    <w:tblStylePr w:type="band1Vert">
      <w:tblPr/>
      <w:tcPr>
        <w:shd w:val="clear" w:color="auto" w:fill="D4B0A4" w:themeFill="accent2" w:themeFillTint="7F"/>
      </w:tcPr>
    </w:tblStylePr>
    <w:tblStylePr w:type="band1Horz">
      <w:tblPr/>
      <w:tcPr>
        <w:shd w:val="clear" w:color="auto" w:fill="D4B0A4" w:themeFill="accent2" w:themeFillTint="7F"/>
      </w:tcPr>
    </w:tblStylePr>
  </w:style>
  <w:style w:type="table" w:styleId="MediumGrid3-Accent2">
    <w:name w:val="Medium Grid 3 Accent 2"/>
    <w:basedOn w:val="TableNormal"/>
    <w:uiPriority w:val="69"/>
    <w:rsid w:val="007C286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9D8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644E"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644E"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644E"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A5644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B0A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B0A4" w:themeFill="accent2" w:themeFillTint="7F"/>
      </w:tcPr>
    </w:tblStylePr>
  </w:style>
  <w:style w:type="table" w:styleId="MediumShading2-Accent3">
    <w:name w:val="Medium Shading 2 Accent 3"/>
    <w:basedOn w:val="TableNormal"/>
    <w:uiPriority w:val="64"/>
    <w:semiHidden/>
    <w:unhideWhenUsed/>
    <w:rsid w:val="00587EC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afterLines="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58B80" w:themeFill="accent3"/>
      </w:tcPr>
    </w:tblStylePr>
    <w:tblStylePr w:type="lastRow">
      <w:pPr>
        <w:spacing w:beforeLines="0" w:before="0" w:afterLines="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58B80" w:themeFill="accent3"/>
      </w:tcPr>
    </w:tblStylePr>
    <w:tblStylePr w:type="lastCol">
      <w:rPr>
        <w:b/>
        <w:bCs/>
        <w:color w:val="FFFFFF" w:themeColor="background1"/>
      </w:rPr>
      <w:tblPr/>
      <w:tcPr>
        <w:tcBorders>
          <w:left w:val="nil"/>
          <w:right w:val="nil"/>
          <w:insideH w:val="nil"/>
          <w:insideV w:val="nil"/>
        </w:tcBorders>
        <w:shd w:val="clear" w:color="auto" w:fill="B58B8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5Dark-Accent41">
    <w:name w:val="Grid Table 5 Dark - Accent 41"/>
    <w:basedOn w:val="TableNormal"/>
    <w:uiPriority w:val="50"/>
    <w:rsid w:val="005A2BD1"/>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3EAE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986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986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986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986D" w:themeFill="accent4"/>
      </w:tcPr>
    </w:tblStylePr>
    <w:tblStylePr w:type="band1Vert">
      <w:tblPr/>
      <w:tcPr>
        <w:shd w:val="clear" w:color="auto" w:fill="E7D5C4" w:themeFill="accent4" w:themeFillTint="66"/>
      </w:tcPr>
    </w:tblStylePr>
    <w:tblStylePr w:type="band1Horz">
      <w:tblPr/>
      <w:tcPr>
        <w:shd w:val="clear" w:color="auto" w:fill="E7D5C4" w:themeFill="accent4" w:themeFillTint="66"/>
      </w:tcPr>
    </w:tblStylePr>
  </w:style>
  <w:style w:type="table" w:customStyle="1" w:styleId="GridTable5Dark-Accent21">
    <w:name w:val="Grid Table 5 Dark - Accent 21"/>
    <w:basedOn w:val="TableNormal"/>
    <w:uiPriority w:val="50"/>
    <w:rsid w:val="005A2BD1"/>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DF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644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644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644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644E" w:themeFill="accent2"/>
      </w:tcPr>
    </w:tblStylePr>
    <w:tblStylePr w:type="band1Vert">
      <w:tblPr/>
      <w:tcPr>
        <w:shd w:val="clear" w:color="auto" w:fill="DCBFB6" w:themeFill="accent2" w:themeFillTint="66"/>
      </w:tcPr>
    </w:tblStylePr>
    <w:tblStylePr w:type="band1Horz">
      <w:tblPr/>
      <w:tcPr>
        <w:shd w:val="clear" w:color="auto" w:fill="DCBFB6" w:themeFill="accent2" w:themeFillTint="66"/>
      </w:tcPr>
    </w:tblStylePr>
  </w:style>
  <w:style w:type="table" w:styleId="MediumGrid3-Accent1">
    <w:name w:val="Medium Grid 3 Accent 1"/>
    <w:basedOn w:val="TableNormal"/>
    <w:uiPriority w:val="69"/>
    <w:rsid w:val="0050665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BE7CB"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22E"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22E"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22E"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0A22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09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096" w:themeFill="accent1" w:themeFillTint="7F"/>
      </w:tcPr>
    </w:tblStylePr>
  </w:style>
  <w:style w:type="table" w:styleId="TableGrid">
    <w:name w:val="Table Grid"/>
    <w:basedOn w:val="TableNormal"/>
    <w:uiPriority w:val="59"/>
    <w:rsid w:val="00D05F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3">
    <w:name w:val="Unresolved Mention3"/>
    <w:basedOn w:val="DefaultParagraphFont"/>
    <w:uiPriority w:val="99"/>
    <w:semiHidden/>
    <w:unhideWhenUsed/>
    <w:rsid w:val="00962E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734240">
      <w:bodyDiv w:val="1"/>
      <w:marLeft w:val="0"/>
      <w:marRight w:val="0"/>
      <w:marTop w:val="0"/>
      <w:marBottom w:val="0"/>
      <w:divBdr>
        <w:top w:val="none" w:sz="0" w:space="0" w:color="auto"/>
        <w:left w:val="none" w:sz="0" w:space="0" w:color="auto"/>
        <w:bottom w:val="none" w:sz="0" w:space="0" w:color="auto"/>
        <w:right w:val="none" w:sz="0" w:space="0" w:color="auto"/>
      </w:divBdr>
    </w:div>
    <w:div w:id="1304626187">
      <w:bodyDiv w:val="1"/>
      <w:marLeft w:val="0"/>
      <w:marRight w:val="0"/>
      <w:marTop w:val="0"/>
      <w:marBottom w:val="0"/>
      <w:divBdr>
        <w:top w:val="none" w:sz="0" w:space="0" w:color="auto"/>
        <w:left w:val="none" w:sz="0" w:space="0" w:color="auto"/>
        <w:bottom w:val="none" w:sz="0" w:space="0" w:color="auto"/>
        <w:right w:val="none" w:sz="0" w:space="0" w:color="auto"/>
      </w:divBdr>
    </w:div>
    <w:div w:id="1979718971">
      <w:bodyDiv w:val="1"/>
      <w:marLeft w:val="0"/>
      <w:marRight w:val="0"/>
      <w:marTop w:val="0"/>
      <w:marBottom w:val="0"/>
      <w:divBdr>
        <w:top w:val="none" w:sz="0" w:space="0" w:color="auto"/>
        <w:left w:val="none" w:sz="0" w:space="0" w:color="auto"/>
        <w:bottom w:val="none" w:sz="0" w:space="0" w:color="auto"/>
        <w:right w:val="none" w:sz="0" w:space="0" w:color="auto"/>
      </w:divBdr>
    </w:div>
    <w:div w:id="206185390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footer" Target="footer3.xml"/><Relationship Id="rId21" Type="http://schemas.openxmlformats.org/officeDocument/2006/relationships/image" Target="media/image2.png"/><Relationship Id="rId22" Type="http://schemas.openxmlformats.org/officeDocument/2006/relationships/image" Target="media/image3.png"/><Relationship Id="rId23" Type="http://schemas.openxmlformats.org/officeDocument/2006/relationships/image" Target="media/image4.png"/><Relationship Id="rId24" Type="http://schemas.openxmlformats.org/officeDocument/2006/relationships/chart" Target="charts/chart1.xml"/><Relationship Id="rId25" Type="http://schemas.openxmlformats.org/officeDocument/2006/relationships/chart" Target="charts/chart2.xml"/><Relationship Id="rId26" Type="http://schemas.openxmlformats.org/officeDocument/2006/relationships/header" Target="header4.xml"/><Relationship Id="rId27" Type="http://schemas.openxmlformats.org/officeDocument/2006/relationships/footer" Target="footer4.xml"/><Relationship Id="rId28" Type="http://schemas.openxmlformats.org/officeDocument/2006/relationships/footer" Target="footer5.xml"/><Relationship Id="rId29" Type="http://schemas.openxmlformats.org/officeDocument/2006/relationships/footer" Target="footer6.xm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hyperlink" Target="https://www.sherbimisocial.gov.al/wp-content/uploads/2025/01/Vendim-Nr.-882-date-24.12.2019-Per-mekanizmin-e-bashkerendimit-nderinstitucional-te-punes-per-referimin-per-punesim-te-individeve-dhe-anetareve-ne-moshe-aktive-pune-te-familjev.pdf" TargetMode="External"/><Relationship Id="rId12" Type="http://schemas.openxmlformats.org/officeDocument/2006/relationships/hyperlink" Target="https://www.sherbimisocial.gov.al/wp-content/uploads/2025/01/Vendim-Nr.277-date-18.6.1997-Per-perfitimet-nga-statusi-i-te-verberit.pdf" TargetMode="External"/><Relationship Id="rId13" Type="http://schemas.openxmlformats.org/officeDocument/2006/relationships/hyperlink" Target="https://www.sherbimisocial.gov.al/wp-content/uploads/2025/01/Vendim-Nr.-31-date-20.1.2001-Per-perfitimet-nga-statusi-I-invalidit-paraplegjik-dhe-tetraplegjik-.pdf" TargetMode="External"/><Relationship Id="rId14" Type="http://schemas.openxmlformats.org/officeDocument/2006/relationships/hyperlink" Target="https://www.sherbimisocial.gov.al/legjislacion-pak/..."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shendetesia.gov.al/sp-content/uploads/2021/07/Strategjia-Kombetare-per-Barazine-Gjinore-2021-2030.docx" TargetMode="External"/><Relationship Id="rId2" Type="http://schemas.openxmlformats.org/officeDocument/2006/relationships/hyperlink" Target="https://natlex.ilo.org/dyn/natlex2/natlex2/files/download/118177/ALB-118177.pdf"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roundedCorners val="0"/>
  <c:style val="2"/>
  <c:chart>
    <c:title>
      <c:tx>
        <c:rich>
          <a:bodyPr rot="0"/>
          <a:lstStyle/>
          <a:p>
            <a:pPr>
              <a:defRPr sz="1300" b="0" u="none" strike="noStrike">
                <a:uFillTx/>
                <a:latin typeface="Arial"/>
              </a:defRPr>
            </a:pPr>
            <a:r>
              <a:rPr lang="en-US" sz="1200" b="0" u="none" strike="noStrike">
                <a:solidFill>
                  <a:srgbClr val="595959"/>
                </a:solidFill>
                <a:uFillTx/>
                <a:latin typeface="Times New Roman"/>
              </a:rPr>
              <a:t>Ecuria në numër dhe llojet përkujdesi të Qendrave/Shëprbimeve të mbështetura me Fond Social</a:t>
            </a:r>
          </a:p>
        </c:rich>
      </c:tx>
      <c:layout>
        <c:manualLayout>
          <c:xMode val="edge"/>
          <c:yMode val="edge"/>
          <c:x val="0.118434522403339"/>
          <c:y val="0.0"/>
        </c:manualLayout>
      </c:layout>
      <c:overlay val="0"/>
      <c:spPr>
        <a:noFill/>
        <a:ln w="0">
          <a:noFill/>
        </a:ln>
      </c:spPr>
    </c:title>
    <c:autoTitleDeleted val="0"/>
    <c:view3D>
      <c:rotX val="15"/>
      <c:rotY val="20"/>
      <c:rAngAx val="1"/>
    </c:view3D>
    <c:floor>
      <c:thickness val="0"/>
      <c:spPr>
        <a:noFill/>
        <a:ln w="6480">
          <a:noFill/>
        </a:ln>
      </c:spPr>
    </c:floor>
    <c:sideWall>
      <c:thickness val="0"/>
      <c:spPr>
        <a:noFill/>
        <a:ln w="6480">
          <a:noFill/>
        </a:ln>
      </c:spPr>
    </c:sideWall>
    <c:backWall>
      <c:thickness val="0"/>
      <c:spPr>
        <a:noFill/>
        <a:ln w="6480">
          <a:noFill/>
        </a:ln>
      </c:spPr>
    </c:backWall>
    <c:plotArea>
      <c:layout/>
      <c:bar3DChart>
        <c:barDir val="col"/>
        <c:grouping val="clustered"/>
        <c:varyColors val="0"/>
        <c:ser>
          <c:idx val="0"/>
          <c:order val="0"/>
          <c:tx>
            <c:strRef>
              <c:f>label 0</c:f>
              <c:strCache>
                <c:ptCount val="1"/>
                <c:pt idx="0">
                  <c:v>2022</c:v>
                </c:pt>
              </c:strCache>
            </c:strRef>
          </c:tx>
          <c:spPr>
            <a:solidFill>
              <a:srgbClr val="F0A22E"/>
            </a:solidFill>
            <a:ln w="0">
              <a:noFill/>
            </a:ln>
          </c:spPr>
          <c:invertIfNegative val="0"/>
          <c:dLbls>
            <c:numFmt formatCode="General" sourceLinked="0"/>
            <c:spPr>
              <a:noFill/>
              <a:ln>
                <a:noFill/>
              </a:ln>
              <a:effectLst/>
            </c:spPr>
            <c:txPr>
              <a:bodyPr wrap="square"/>
              <a:lstStyle/>
              <a:p>
                <a:pPr>
                  <a:defRPr sz="900" b="0" u="none" strike="noStrike">
                    <a:solidFill>
                      <a:srgbClr val="404040"/>
                    </a:solidFill>
                    <a:uFillTx/>
                    <a:latin typeface="Garamond"/>
                  </a:defRPr>
                </a:pPr>
                <a:endParaRPr lang="en-US"/>
              </a:p>
            </c:txPr>
            <c:showLegendKey val="0"/>
            <c:showVal val="1"/>
            <c:showCatName val="0"/>
            <c:showSerName val="0"/>
            <c:showPercent val="0"/>
            <c:showBubbleSize val="1"/>
            <c:separator>; </c:separator>
            <c:showLeaderLines val="0"/>
            <c:extLst xmlns:c16r2="http://schemas.microsoft.com/office/drawing/2015/06/chart">
              <c:ext xmlns:c15="http://schemas.microsoft.com/office/drawing/2012/chart" uri="{CE6537A1-D6FC-4f65-9D91-7224C49458BB}">
                <c15:showLeaderLines val="1"/>
              </c:ext>
            </c:extLst>
          </c:dLbls>
          <c:cat>
            <c:strRef>
              <c:f>categories</c:f>
              <c:strCache>
                <c:ptCount val="4"/>
                <c:pt idx="0">
                  <c:v>Nr. Shërbimeve</c:v>
                </c:pt>
                <c:pt idx="1">
                  <c:v>Shërbime Komunitare</c:v>
                </c:pt>
                <c:pt idx="2">
                  <c:v>Shërbime Rezidenciale</c:v>
                </c:pt>
                <c:pt idx="3">
                  <c:v>Shërbime Emergjente</c:v>
                </c:pt>
              </c:strCache>
            </c:strRef>
          </c:cat>
          <c:val>
            <c:numRef>
              <c:f>0</c:f>
              <c:numCache>
                <c:formatCode>General</c:formatCode>
                <c:ptCount val="4"/>
                <c:pt idx="0">
                  <c:v>26.0</c:v>
                </c:pt>
                <c:pt idx="1">
                  <c:v>18.0</c:v>
                </c:pt>
                <c:pt idx="2">
                  <c:v>5.0</c:v>
                </c:pt>
                <c:pt idx="3">
                  <c:v>3.0</c:v>
                </c:pt>
              </c:numCache>
            </c:numRef>
          </c:val>
          <c:extLst xmlns:c16r2="http://schemas.microsoft.com/office/drawing/2015/06/chart">
            <c:ext xmlns:c16="http://schemas.microsoft.com/office/drawing/2014/chart" uri="{C3380CC4-5D6E-409C-BE32-E72D297353CC}">
              <c16:uniqueId val="{00000000-6EDB-468C-8FAA-07E801F07DE8}"/>
            </c:ext>
          </c:extLst>
        </c:ser>
        <c:ser>
          <c:idx val="1"/>
          <c:order val="1"/>
          <c:tx>
            <c:strRef>
              <c:f>label 1</c:f>
              <c:strCache>
                <c:ptCount val="1"/>
                <c:pt idx="0">
                  <c:v>2023</c:v>
                </c:pt>
              </c:strCache>
            </c:strRef>
          </c:tx>
          <c:spPr>
            <a:solidFill>
              <a:srgbClr val="A5644E"/>
            </a:solidFill>
            <a:ln w="0">
              <a:noFill/>
            </a:ln>
          </c:spPr>
          <c:invertIfNegative val="0"/>
          <c:dLbls>
            <c:numFmt formatCode="General" sourceLinked="0"/>
            <c:spPr>
              <a:noFill/>
              <a:ln>
                <a:noFill/>
              </a:ln>
              <a:effectLst/>
            </c:spPr>
            <c:txPr>
              <a:bodyPr wrap="square"/>
              <a:lstStyle/>
              <a:p>
                <a:pPr>
                  <a:defRPr sz="900" b="0" u="none" strike="noStrike">
                    <a:solidFill>
                      <a:srgbClr val="404040"/>
                    </a:solidFill>
                    <a:uFillTx/>
                    <a:latin typeface="Garamond"/>
                  </a:defRPr>
                </a:pPr>
                <a:endParaRPr lang="en-US"/>
              </a:p>
            </c:txPr>
            <c:showLegendKey val="0"/>
            <c:showVal val="1"/>
            <c:showCatName val="0"/>
            <c:showSerName val="0"/>
            <c:showPercent val="0"/>
            <c:showBubbleSize val="1"/>
            <c:separator>; </c:separator>
            <c:showLeaderLines val="0"/>
            <c:extLst xmlns:c16r2="http://schemas.microsoft.com/office/drawing/2015/06/chart">
              <c:ext xmlns:c15="http://schemas.microsoft.com/office/drawing/2012/chart" uri="{CE6537A1-D6FC-4f65-9D91-7224C49458BB}">
                <c15:showLeaderLines val="1"/>
              </c:ext>
            </c:extLst>
          </c:dLbls>
          <c:cat>
            <c:strRef>
              <c:f>categories</c:f>
              <c:strCache>
                <c:ptCount val="4"/>
                <c:pt idx="0">
                  <c:v>Nr. Shërbimeve</c:v>
                </c:pt>
                <c:pt idx="1">
                  <c:v>Shërbime Komunitare</c:v>
                </c:pt>
                <c:pt idx="2">
                  <c:v>Shërbime Rezidenciale</c:v>
                </c:pt>
                <c:pt idx="3">
                  <c:v>Shërbime Emergjente</c:v>
                </c:pt>
              </c:strCache>
            </c:strRef>
          </c:cat>
          <c:val>
            <c:numRef>
              <c:f>1</c:f>
              <c:numCache>
                <c:formatCode>General</c:formatCode>
                <c:ptCount val="4"/>
                <c:pt idx="0">
                  <c:v>33.0</c:v>
                </c:pt>
                <c:pt idx="1">
                  <c:v>23.0</c:v>
                </c:pt>
                <c:pt idx="2">
                  <c:v>6.0</c:v>
                </c:pt>
                <c:pt idx="3">
                  <c:v>4.0</c:v>
                </c:pt>
              </c:numCache>
            </c:numRef>
          </c:val>
          <c:extLst xmlns:c16r2="http://schemas.microsoft.com/office/drawing/2015/06/chart">
            <c:ext xmlns:c16="http://schemas.microsoft.com/office/drawing/2014/chart" uri="{C3380CC4-5D6E-409C-BE32-E72D297353CC}">
              <c16:uniqueId val="{00000001-6EDB-468C-8FAA-07E801F07DE8}"/>
            </c:ext>
          </c:extLst>
        </c:ser>
        <c:ser>
          <c:idx val="2"/>
          <c:order val="2"/>
          <c:tx>
            <c:strRef>
              <c:f>label 2</c:f>
              <c:strCache>
                <c:ptCount val="1"/>
                <c:pt idx="0">
                  <c:v>2024</c:v>
                </c:pt>
              </c:strCache>
            </c:strRef>
          </c:tx>
          <c:spPr>
            <a:solidFill>
              <a:srgbClr val="C17529"/>
            </a:solidFill>
            <a:ln w="0">
              <a:noFill/>
            </a:ln>
          </c:spPr>
          <c:invertIfNegative val="0"/>
          <c:dLbls>
            <c:numFmt formatCode="General" sourceLinked="0"/>
            <c:spPr>
              <a:noFill/>
              <a:ln>
                <a:noFill/>
              </a:ln>
              <a:effectLst/>
            </c:spPr>
            <c:txPr>
              <a:bodyPr wrap="square"/>
              <a:lstStyle/>
              <a:p>
                <a:pPr>
                  <a:defRPr sz="900" b="0" u="none" strike="noStrike">
                    <a:solidFill>
                      <a:srgbClr val="404040"/>
                    </a:solidFill>
                    <a:uFillTx/>
                    <a:latin typeface="Garamond"/>
                  </a:defRPr>
                </a:pPr>
                <a:endParaRPr lang="en-US"/>
              </a:p>
            </c:txPr>
            <c:showLegendKey val="0"/>
            <c:showVal val="1"/>
            <c:showCatName val="0"/>
            <c:showSerName val="0"/>
            <c:showPercent val="0"/>
            <c:showBubbleSize val="1"/>
            <c:separator>; </c:separator>
            <c:showLeaderLines val="0"/>
            <c:extLst xmlns:c16r2="http://schemas.microsoft.com/office/drawing/2015/06/chart">
              <c:ext xmlns:c15="http://schemas.microsoft.com/office/drawing/2012/chart" uri="{CE6537A1-D6FC-4f65-9D91-7224C49458BB}">
                <c15:showLeaderLines val="1"/>
              </c:ext>
            </c:extLst>
          </c:dLbls>
          <c:cat>
            <c:strRef>
              <c:f>categories</c:f>
              <c:strCache>
                <c:ptCount val="4"/>
                <c:pt idx="0">
                  <c:v>Nr. Shërbimeve</c:v>
                </c:pt>
                <c:pt idx="1">
                  <c:v>Shërbime Komunitare</c:v>
                </c:pt>
                <c:pt idx="2">
                  <c:v>Shërbime Rezidenciale</c:v>
                </c:pt>
                <c:pt idx="3">
                  <c:v>Shërbime Emergjente</c:v>
                </c:pt>
              </c:strCache>
            </c:strRef>
          </c:cat>
          <c:val>
            <c:numRef>
              <c:f>2</c:f>
              <c:numCache>
                <c:formatCode>General</c:formatCode>
                <c:ptCount val="4"/>
                <c:pt idx="0">
                  <c:v>48.0</c:v>
                </c:pt>
                <c:pt idx="1">
                  <c:v>37.0</c:v>
                </c:pt>
                <c:pt idx="2">
                  <c:v>7.0</c:v>
                </c:pt>
                <c:pt idx="3">
                  <c:v>4.0</c:v>
                </c:pt>
              </c:numCache>
            </c:numRef>
          </c:val>
          <c:extLst xmlns:c16r2="http://schemas.microsoft.com/office/drawing/2015/06/chart">
            <c:ext xmlns:c16="http://schemas.microsoft.com/office/drawing/2014/chart" uri="{C3380CC4-5D6E-409C-BE32-E72D297353CC}">
              <c16:uniqueId val="{00000002-6EDB-468C-8FAA-07E801F07DE8}"/>
            </c:ext>
          </c:extLst>
        </c:ser>
        <c:ser>
          <c:idx val="3"/>
          <c:order val="3"/>
          <c:tx>
            <c:strRef>
              <c:f>label 3</c:f>
              <c:strCache>
                <c:ptCount val="1"/>
                <c:pt idx="0">
                  <c:v>2025</c:v>
                </c:pt>
              </c:strCache>
            </c:strRef>
          </c:tx>
          <c:spPr>
            <a:solidFill>
              <a:srgbClr val="FFFF00"/>
            </a:solidFill>
            <a:ln w="0">
              <a:noFill/>
            </a:ln>
          </c:spPr>
          <c:invertIfNegative val="0"/>
          <c:dLbls>
            <c:numFmt formatCode="General" sourceLinked="0"/>
            <c:spPr>
              <a:noFill/>
              <a:ln>
                <a:noFill/>
              </a:ln>
              <a:effectLst/>
            </c:spPr>
            <c:txPr>
              <a:bodyPr wrap="square"/>
              <a:lstStyle/>
              <a:p>
                <a:pPr>
                  <a:defRPr sz="900" b="0" u="none" strike="noStrike">
                    <a:solidFill>
                      <a:srgbClr val="404040"/>
                    </a:solidFill>
                    <a:uFillTx/>
                    <a:latin typeface="Garamond"/>
                  </a:defRPr>
                </a:pPr>
                <a:endParaRPr lang="en-US"/>
              </a:p>
            </c:txPr>
            <c:showLegendKey val="0"/>
            <c:showVal val="1"/>
            <c:showCatName val="0"/>
            <c:showSerName val="0"/>
            <c:showPercent val="0"/>
            <c:showBubbleSize val="1"/>
            <c:separator>; </c:separator>
            <c:showLeaderLines val="0"/>
            <c:extLst xmlns:c16r2="http://schemas.microsoft.com/office/drawing/2015/06/chart">
              <c:ext xmlns:c15="http://schemas.microsoft.com/office/drawing/2012/chart" uri="{CE6537A1-D6FC-4f65-9D91-7224C49458BB}">
                <c15:showLeaderLines val="1"/>
              </c:ext>
            </c:extLst>
          </c:dLbls>
          <c:cat>
            <c:strRef>
              <c:f>categories</c:f>
              <c:strCache>
                <c:ptCount val="4"/>
                <c:pt idx="0">
                  <c:v>Nr. Shërbimeve</c:v>
                </c:pt>
                <c:pt idx="1">
                  <c:v>Shërbime Komunitare</c:v>
                </c:pt>
                <c:pt idx="2">
                  <c:v>Shërbime Rezidenciale</c:v>
                </c:pt>
                <c:pt idx="3">
                  <c:v>Shërbime Emergjente</c:v>
                </c:pt>
              </c:strCache>
            </c:strRef>
          </c:cat>
          <c:val>
            <c:numRef>
              <c:f>3</c:f>
              <c:numCache>
                <c:formatCode>General</c:formatCode>
                <c:ptCount val="4"/>
                <c:pt idx="0">
                  <c:v>68.0</c:v>
                </c:pt>
                <c:pt idx="1">
                  <c:v>57.0</c:v>
                </c:pt>
                <c:pt idx="2">
                  <c:v>8.0</c:v>
                </c:pt>
                <c:pt idx="3">
                  <c:v>3.0</c:v>
                </c:pt>
              </c:numCache>
            </c:numRef>
          </c:val>
          <c:extLst xmlns:c16r2="http://schemas.microsoft.com/office/drawing/2015/06/chart">
            <c:ext xmlns:c16="http://schemas.microsoft.com/office/drawing/2014/chart" uri="{C3380CC4-5D6E-409C-BE32-E72D297353CC}">
              <c16:uniqueId val="{00000003-6EDB-468C-8FAA-07E801F07DE8}"/>
            </c:ext>
          </c:extLst>
        </c:ser>
        <c:dLbls>
          <c:showLegendKey val="0"/>
          <c:showVal val="0"/>
          <c:showCatName val="0"/>
          <c:showSerName val="0"/>
          <c:showPercent val="0"/>
          <c:showBubbleSize val="0"/>
        </c:dLbls>
        <c:gapWidth val="150"/>
        <c:shape val="box"/>
        <c:axId val="2106737672"/>
        <c:axId val="2104192232"/>
        <c:axId val="0"/>
      </c:bar3DChart>
      <c:catAx>
        <c:axId val="2106737672"/>
        <c:scaling>
          <c:orientation val="minMax"/>
        </c:scaling>
        <c:delete val="0"/>
        <c:axPos val="b"/>
        <c:numFmt formatCode="General" sourceLinked="0"/>
        <c:majorTickMark val="none"/>
        <c:minorTickMark val="none"/>
        <c:tickLblPos val="nextTo"/>
        <c:spPr>
          <a:ln w="6480">
            <a:noFill/>
          </a:ln>
        </c:spPr>
        <c:txPr>
          <a:bodyPr/>
          <a:lstStyle/>
          <a:p>
            <a:pPr>
              <a:defRPr sz="900" b="0" u="none" strike="noStrike">
                <a:solidFill>
                  <a:srgbClr val="595959"/>
                </a:solidFill>
                <a:uFillTx/>
                <a:latin typeface="Garamond"/>
              </a:defRPr>
            </a:pPr>
            <a:endParaRPr lang="en-US"/>
          </a:p>
        </c:txPr>
        <c:crossAx val="2104192232"/>
        <c:crosses val="autoZero"/>
        <c:auto val="1"/>
        <c:lblAlgn val="ctr"/>
        <c:lblOffset val="100"/>
        <c:noMultiLvlLbl val="0"/>
      </c:catAx>
      <c:valAx>
        <c:axId val="2104192232"/>
        <c:scaling>
          <c:orientation val="minMax"/>
        </c:scaling>
        <c:delete val="1"/>
        <c:axPos val="l"/>
        <c:numFmt formatCode="General" sourceLinked="1"/>
        <c:majorTickMark val="none"/>
        <c:minorTickMark val="none"/>
        <c:tickLblPos val="nextTo"/>
        <c:crossAx val="2106737672"/>
        <c:crosses val="autoZero"/>
        <c:crossBetween val="between"/>
      </c:valAx>
    </c:plotArea>
    <c:legend>
      <c:legendPos val="b"/>
      <c:layout>
        <c:manualLayout>
          <c:xMode val="edge"/>
          <c:yMode val="edge"/>
          <c:x val="0.229125"/>
          <c:y val="0.897888888888889"/>
          <c:w val="0.51946996687293"/>
          <c:h val="0.0752305811756862"/>
        </c:manualLayout>
      </c:layout>
      <c:overlay val="0"/>
      <c:spPr>
        <a:noFill/>
        <a:ln w="0">
          <a:noFill/>
        </a:ln>
      </c:spPr>
      <c:txPr>
        <a:bodyPr/>
        <a:lstStyle/>
        <a:p>
          <a:pPr>
            <a:defRPr sz="900" b="1" u="none" strike="noStrike">
              <a:solidFill>
                <a:srgbClr val="595959"/>
              </a:solidFill>
              <a:uFillTx/>
              <a:latin typeface="Garamond"/>
            </a:defRPr>
          </a:pPr>
          <a:endParaRPr lang="en-US"/>
        </a:p>
      </c:txPr>
    </c:legend>
    <c:plotVisOnly val="1"/>
    <c:dispBlanksAs val="gap"/>
    <c:showDLblsOverMax val="1"/>
  </c:chart>
  <c:spPr>
    <a:solidFill>
      <a:srgbClr val="FFFFFF"/>
    </a:solidFill>
    <a:ln w="9360">
      <a:noFill/>
    </a:ln>
  </c:spPr>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roundedCorners val="0"/>
  <c:style val="2"/>
  <c:chart>
    <c:title>
      <c:tx>
        <c:rich>
          <a:bodyPr rot="0"/>
          <a:lstStyle/>
          <a:p>
            <a:pPr>
              <a:defRPr sz="1300" b="0" u="none" strike="noStrike">
                <a:uFillTx/>
                <a:latin typeface="Arial"/>
              </a:defRPr>
            </a:pPr>
            <a:r>
              <a:rPr lang="en-US" sz="1200" b="0" u="none" strike="noStrike">
                <a:solidFill>
                  <a:srgbClr val="595959"/>
                </a:solidFill>
                <a:uFillTx/>
                <a:latin typeface="Times New Roman"/>
              </a:rPr>
              <a:t>Raporti në % i inspektimeve në subjekte Publike dhe Jopublike</a:t>
            </a:r>
          </a:p>
        </c:rich>
      </c:tx>
      <c:overlay val="0"/>
      <c:spPr>
        <a:noFill/>
        <a:ln w="0">
          <a:noFill/>
        </a:ln>
      </c:spPr>
    </c:title>
    <c:autoTitleDeleted val="0"/>
    <c:view3D>
      <c:rotX val="15"/>
      <c:rotY val="20"/>
      <c:rAngAx val="1"/>
    </c:view3D>
    <c:floor>
      <c:thickness val="0"/>
      <c:spPr>
        <a:noFill/>
        <a:ln w="6480">
          <a:noFill/>
        </a:ln>
      </c:spPr>
    </c:floor>
    <c:sideWall>
      <c:thickness val="0"/>
      <c:spPr>
        <a:noFill/>
        <a:ln w="6480">
          <a:noFill/>
        </a:ln>
      </c:spPr>
    </c:sideWall>
    <c:backWall>
      <c:thickness val="0"/>
      <c:spPr>
        <a:noFill/>
        <a:ln w="6480">
          <a:noFill/>
        </a:ln>
      </c:spPr>
    </c:backWall>
    <c:plotArea>
      <c:layout/>
      <c:bar3DChart>
        <c:barDir val="col"/>
        <c:grouping val="clustered"/>
        <c:varyColors val="0"/>
        <c:ser>
          <c:idx val="0"/>
          <c:order val="0"/>
          <c:tx>
            <c:strRef>
              <c:f>label 0</c:f>
              <c:strCache>
                <c:ptCount val="1"/>
                <c:pt idx="0">
                  <c:v>Qendra/shërbime Jopublike</c:v>
                </c:pt>
              </c:strCache>
            </c:strRef>
          </c:tx>
          <c:spPr>
            <a:solidFill>
              <a:srgbClr val="F0A22E"/>
            </a:solidFill>
            <a:ln w="0">
              <a:noFill/>
            </a:ln>
          </c:spPr>
          <c:invertIfNegative val="0"/>
          <c:dLbls>
            <c:numFmt formatCode="0.0" sourceLinked="0"/>
            <c:spPr>
              <a:noFill/>
              <a:ln>
                <a:noFill/>
              </a:ln>
              <a:effectLst/>
            </c:spPr>
            <c:txPr>
              <a:bodyPr wrap="square"/>
              <a:lstStyle/>
              <a:p>
                <a:pPr>
                  <a:defRPr sz="1100" b="0" u="none" strike="noStrike">
                    <a:solidFill>
                      <a:srgbClr val="404040"/>
                    </a:solidFill>
                    <a:uFillTx/>
                    <a:latin typeface="Garamond"/>
                  </a:defRPr>
                </a:pPr>
                <a:endParaRPr lang="en-US"/>
              </a:p>
            </c:txPr>
            <c:showLegendKey val="0"/>
            <c:showVal val="1"/>
            <c:showCatName val="0"/>
            <c:showSerName val="0"/>
            <c:showPercent val="0"/>
            <c:showBubbleSize val="1"/>
            <c:separator>; </c:separator>
            <c:showLeaderLines val="0"/>
            <c:extLst xmlns:c16r2="http://schemas.microsoft.com/office/drawing/2015/06/chart">
              <c:ext xmlns:c15="http://schemas.microsoft.com/office/drawing/2012/chart" uri="{CE6537A1-D6FC-4f65-9D91-7224C49458BB}">
                <c15:showLeaderLines val="1"/>
              </c:ext>
            </c:extLst>
          </c:dLbls>
          <c:cat>
            <c:strRef>
              <c:f>categories</c:f>
              <c:strCache>
                <c:ptCount val="4"/>
                <c:pt idx="0">
                  <c:v>2022</c:v>
                </c:pt>
                <c:pt idx="1">
                  <c:v>2023</c:v>
                </c:pt>
                <c:pt idx="2">
                  <c:v>2024</c:v>
                </c:pt>
                <c:pt idx="3">
                  <c:v>2025</c:v>
                </c:pt>
              </c:strCache>
            </c:strRef>
          </c:cat>
          <c:val>
            <c:numRef>
              <c:f>0</c:f>
              <c:numCache>
                <c:formatCode>General</c:formatCode>
                <c:ptCount val="4"/>
                <c:pt idx="0">
                  <c:v>58.62068965517238</c:v>
                </c:pt>
                <c:pt idx="1">
                  <c:v>37.962962962963</c:v>
                </c:pt>
                <c:pt idx="2">
                  <c:v>42.06349206349208</c:v>
                </c:pt>
                <c:pt idx="3">
                  <c:v>43.2835820895522</c:v>
                </c:pt>
              </c:numCache>
            </c:numRef>
          </c:val>
          <c:extLst xmlns:c16r2="http://schemas.microsoft.com/office/drawing/2015/06/chart">
            <c:ext xmlns:c16="http://schemas.microsoft.com/office/drawing/2014/chart" uri="{C3380CC4-5D6E-409C-BE32-E72D297353CC}">
              <c16:uniqueId val="{00000000-1201-4E74-B860-B2A3F803842D}"/>
            </c:ext>
          </c:extLst>
        </c:ser>
        <c:ser>
          <c:idx val="1"/>
          <c:order val="1"/>
          <c:tx>
            <c:strRef>
              <c:f>label 1</c:f>
              <c:strCache>
                <c:ptCount val="1"/>
                <c:pt idx="0">
                  <c:v>Qendra/shërbime Publike</c:v>
                </c:pt>
              </c:strCache>
            </c:strRef>
          </c:tx>
          <c:spPr>
            <a:solidFill>
              <a:srgbClr val="A5644E"/>
            </a:solidFill>
            <a:ln w="0">
              <a:noFill/>
            </a:ln>
          </c:spPr>
          <c:invertIfNegative val="0"/>
          <c:dLbls>
            <c:numFmt formatCode="0.0" sourceLinked="0"/>
            <c:spPr>
              <a:noFill/>
              <a:ln>
                <a:noFill/>
              </a:ln>
              <a:effectLst/>
            </c:spPr>
            <c:txPr>
              <a:bodyPr wrap="square"/>
              <a:lstStyle/>
              <a:p>
                <a:pPr>
                  <a:defRPr sz="1100" b="0" u="none" strike="noStrike">
                    <a:solidFill>
                      <a:srgbClr val="404040"/>
                    </a:solidFill>
                    <a:uFillTx/>
                    <a:latin typeface="Garamond"/>
                  </a:defRPr>
                </a:pPr>
                <a:endParaRPr lang="en-US"/>
              </a:p>
            </c:txPr>
            <c:showLegendKey val="0"/>
            <c:showVal val="1"/>
            <c:showCatName val="0"/>
            <c:showSerName val="0"/>
            <c:showPercent val="0"/>
            <c:showBubbleSize val="1"/>
            <c:separator>; </c:separator>
            <c:showLeaderLines val="0"/>
            <c:extLst xmlns:c16r2="http://schemas.microsoft.com/office/drawing/2015/06/chart">
              <c:ext xmlns:c15="http://schemas.microsoft.com/office/drawing/2012/chart" uri="{CE6537A1-D6FC-4f65-9D91-7224C49458BB}">
                <c15:showLeaderLines val="1"/>
              </c:ext>
            </c:extLst>
          </c:dLbls>
          <c:cat>
            <c:strRef>
              <c:f>categories</c:f>
              <c:strCache>
                <c:ptCount val="4"/>
                <c:pt idx="0">
                  <c:v>2022</c:v>
                </c:pt>
                <c:pt idx="1">
                  <c:v>2023</c:v>
                </c:pt>
                <c:pt idx="2">
                  <c:v>2024</c:v>
                </c:pt>
                <c:pt idx="3">
                  <c:v>2025</c:v>
                </c:pt>
              </c:strCache>
            </c:strRef>
          </c:cat>
          <c:val>
            <c:numRef>
              <c:f>1</c:f>
              <c:numCache>
                <c:formatCode>General</c:formatCode>
                <c:ptCount val="4"/>
                <c:pt idx="0">
                  <c:v>41.3793103448276</c:v>
                </c:pt>
                <c:pt idx="1">
                  <c:v>60.1851851851852</c:v>
                </c:pt>
                <c:pt idx="2">
                  <c:v>57.9365079365079</c:v>
                </c:pt>
                <c:pt idx="3">
                  <c:v>52.2388059701493</c:v>
                </c:pt>
              </c:numCache>
            </c:numRef>
          </c:val>
          <c:extLst xmlns:c16r2="http://schemas.microsoft.com/office/drawing/2015/06/chart">
            <c:ext xmlns:c16="http://schemas.microsoft.com/office/drawing/2014/chart" uri="{C3380CC4-5D6E-409C-BE32-E72D297353CC}">
              <c16:uniqueId val="{00000001-1201-4E74-B860-B2A3F803842D}"/>
            </c:ext>
          </c:extLst>
        </c:ser>
        <c:dLbls>
          <c:showLegendKey val="0"/>
          <c:showVal val="0"/>
          <c:showCatName val="0"/>
          <c:showSerName val="0"/>
          <c:showPercent val="0"/>
          <c:showBubbleSize val="0"/>
        </c:dLbls>
        <c:gapWidth val="150"/>
        <c:shape val="box"/>
        <c:axId val="-2137662648"/>
        <c:axId val="-2137686120"/>
        <c:axId val="0"/>
      </c:bar3DChart>
      <c:catAx>
        <c:axId val="-2137662648"/>
        <c:scaling>
          <c:orientation val="minMax"/>
        </c:scaling>
        <c:delete val="0"/>
        <c:axPos val="b"/>
        <c:numFmt formatCode="General" sourceLinked="0"/>
        <c:majorTickMark val="none"/>
        <c:minorTickMark val="none"/>
        <c:tickLblPos val="nextTo"/>
        <c:spPr>
          <a:ln w="6480">
            <a:noFill/>
          </a:ln>
        </c:spPr>
        <c:txPr>
          <a:bodyPr/>
          <a:lstStyle/>
          <a:p>
            <a:pPr>
              <a:defRPr sz="1100" b="0" u="none" strike="noStrike">
                <a:solidFill>
                  <a:srgbClr val="595959"/>
                </a:solidFill>
                <a:uFillTx/>
                <a:latin typeface="Garamond"/>
              </a:defRPr>
            </a:pPr>
            <a:endParaRPr lang="en-US"/>
          </a:p>
        </c:txPr>
        <c:crossAx val="-2137686120"/>
        <c:crosses val="autoZero"/>
        <c:auto val="1"/>
        <c:lblAlgn val="ctr"/>
        <c:lblOffset val="100"/>
        <c:noMultiLvlLbl val="0"/>
      </c:catAx>
      <c:valAx>
        <c:axId val="-2137686120"/>
        <c:scaling>
          <c:orientation val="minMax"/>
        </c:scaling>
        <c:delete val="1"/>
        <c:axPos val="l"/>
        <c:numFmt formatCode="General" sourceLinked="1"/>
        <c:majorTickMark val="none"/>
        <c:minorTickMark val="none"/>
        <c:tickLblPos val="nextTo"/>
        <c:crossAx val="-2137662648"/>
        <c:crosses val="autoZero"/>
        <c:crossBetween val="between"/>
      </c:valAx>
    </c:plotArea>
    <c:legend>
      <c:legendPos val="b"/>
      <c:overlay val="0"/>
      <c:spPr>
        <a:noFill/>
        <a:ln w="0">
          <a:noFill/>
        </a:ln>
      </c:spPr>
      <c:txPr>
        <a:bodyPr/>
        <a:lstStyle/>
        <a:p>
          <a:pPr>
            <a:defRPr sz="1100" b="0" u="none" strike="noStrike">
              <a:solidFill>
                <a:srgbClr val="595959"/>
              </a:solidFill>
              <a:uFillTx/>
              <a:latin typeface="Times New Roman"/>
            </a:defRPr>
          </a:pPr>
          <a:endParaRPr lang="en-US"/>
        </a:p>
      </c:txPr>
    </c:legend>
    <c:plotVisOnly val="1"/>
    <c:dispBlanksAs val="gap"/>
    <c:showDLblsOverMax val="1"/>
  </c:chart>
  <c:spPr>
    <a:solidFill>
      <a:srgbClr val="FFFFFF"/>
    </a:solidFill>
    <a:ln w="9360">
      <a:noFill/>
    </a:ln>
  </c:spPr>
</c:chartSpace>
</file>

<file path=word/theme/theme1.xml><?xml version="1.0" encoding="utf-8"?>
<a:theme xmlns:a="http://schemas.openxmlformats.org/drawingml/2006/main" name="Organic">
  <a:themeElements>
    <a:clrScheme name="Yellow Orange">
      <a:dk1>
        <a:srgbClr val="000000"/>
      </a:dk1>
      <a:lt1>
        <a:srgbClr val="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rganic">
      <a:majorFont>
        <a:latin typeface="Garamond"/>
        <a:ea typeface=""/>
        <a:cs typeface=""/>
      </a:majorFont>
      <a:minorFont>
        <a:latin typeface="Garamond"/>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gradFill>
          <a:gsLst>
            <a:gs pos="0">
              <a:schemeClr val="phClr">
                <a:tint val="90000"/>
                <a:lumMod val="110000"/>
              </a:schemeClr>
            </a:gs>
            <a:gs pos="100000">
              <a:schemeClr val="phClr">
                <a:shade val="88000"/>
                <a:lumMod val="98000"/>
              </a:schemeClr>
            </a:gs>
          </a:gsLst>
          <a:lin ang="5400000" scaled="0"/>
          <a:tileRect/>
        </a:gradFill>
        <a:blipFill rotWithShape="0">
          <a:srcRect/>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3A835-DF17-4181-B69C-2E03C799CEFC}">
  <ds:schemaRefs>
    <ds:schemaRef ds:uri="http://schemas.microsoft.com/office/2006/coverPageProps"/>
  </ds:schemaRefs>
</ds:datastoreItem>
</file>

<file path=customXml/itemProps2.xml><?xml version="1.0" encoding="utf-8"?>
<ds:datastoreItem xmlns:ds="http://schemas.openxmlformats.org/officeDocument/2006/customXml" ds:itemID="{DC0448F1-BBF4-0749-A118-5206A59E28B0}">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39</Pages>
  <Words>23219</Words>
  <Characters>132352</Characters>
  <Application>Microsoft Macintosh Word</Application>
  <DocSecurity>0</DocSecurity>
  <Lines>1102</Lines>
  <Paragraphs>310</Paragraphs>
  <ScaleCrop>false</ScaleCrop>
  <Company/>
  <LinksUpToDate>false</LinksUpToDate>
  <CharactersWithSpaces>155261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STRATEGJIA KOMBËTARE E MBROJTJES SOCIALE        2024-2030</dc:title>
  <dc:subject>RAPORT PROGRESI VITI 2025</dc:subject>
  <dc:creator>Përgatitën  :Merita Xhafaj, Albana Ahmeti</dc:creator>
  <dc:description/>
  <cp:lastModifiedBy>Xhilda Papajani</cp:lastModifiedBy>
  <cp:revision>2</cp:revision>
  <cp:lastPrinted>2023-07-16T21:35:00Z</cp:lastPrinted>
  <dcterms:created xsi:type="dcterms:W3CDTF">2026-03-13T01:04:00Z</dcterms:created>
  <dcterms:modified xsi:type="dcterms:W3CDTF">2026-03-13T01:04:00Z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a91ebaa0846f1aac44a35fa8246177dd81018da0c0a39dd2e13b7be9ca559e2a</vt:lpwstr>
  </property>
</Properties>
</file>